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75223" w14:textId="77777777" w:rsidR="00105CE0" w:rsidRDefault="00105CE0">
      <w:bookmarkStart w:id="0" w:name="_GoBack"/>
      <w:bookmarkEnd w:id="0"/>
    </w:p>
    <w:p w14:paraId="3636DC13" w14:textId="77777777" w:rsidR="005F6958" w:rsidRDefault="005F6958"/>
    <w:p w14:paraId="71A58E7B" w14:textId="77777777" w:rsidR="005F6958" w:rsidRDefault="005F6958"/>
    <w:p w14:paraId="7757ECC2" w14:textId="0585F06F" w:rsidR="005F6958" w:rsidRDefault="00B42B5A" w:rsidP="005F6958">
      <w:pPr>
        <w:pStyle w:val="Title"/>
      </w:pPr>
      <w:r>
        <w:t xml:space="preserve">Proposed adoption of </w:t>
      </w:r>
      <w:r w:rsidR="00AD55B0">
        <w:t>an</w:t>
      </w:r>
      <w:r>
        <w:t xml:space="preserve"> Australian Sunscreen Exposure Model</w:t>
      </w:r>
    </w:p>
    <w:p w14:paraId="0322B3DC" w14:textId="6F2A5ECE" w:rsidR="005F6958" w:rsidRDefault="00B42B5A" w:rsidP="005F6958">
      <w:pPr>
        <w:pStyle w:val="Subtitle"/>
        <w:ind w:left="0"/>
      </w:pPr>
      <w:r>
        <w:t>Impact Analysis</w:t>
      </w:r>
    </w:p>
    <w:p w14:paraId="2DA58F1C" w14:textId="760454DC" w:rsidR="00B42B5A" w:rsidRDefault="00B42B5A" w:rsidP="005F6958">
      <w:pPr>
        <w:pStyle w:val="Subtitle"/>
        <w:ind w:left="0"/>
      </w:pPr>
      <w:r>
        <w:t>Therapeutic Goods Administration</w:t>
      </w:r>
    </w:p>
    <w:p w14:paraId="52C862EC" w14:textId="4234C89C" w:rsidR="00B42B5A" w:rsidRDefault="00B42B5A" w:rsidP="005F6958">
      <w:pPr>
        <w:pStyle w:val="Subtitle"/>
        <w:ind w:left="0"/>
      </w:pPr>
      <w:r>
        <w:t>Department of Health &amp; Aged Care</w:t>
      </w:r>
    </w:p>
    <w:p w14:paraId="655AA941" w14:textId="77777777" w:rsidR="005F6958" w:rsidRDefault="005F6958"/>
    <w:p w14:paraId="621C1481" w14:textId="77777777" w:rsidR="005F6958" w:rsidRDefault="005F6958"/>
    <w:p w14:paraId="0BCF0123" w14:textId="5A7C77AB" w:rsidR="00B42B5A" w:rsidRDefault="00B42B5A" w:rsidP="005F6958">
      <w:pPr>
        <w:pStyle w:val="Date"/>
      </w:pPr>
      <w:r>
        <w:t>Office of Impact Analysis (OIA) ID number: OI</w:t>
      </w:r>
      <w:r w:rsidR="00FF1C9F">
        <w:rPr>
          <w:rFonts w:eastAsia="Times New Roman"/>
        </w:rPr>
        <w:t>A24-07792</w:t>
      </w:r>
      <w:r>
        <w:t xml:space="preserve"> </w:t>
      </w:r>
    </w:p>
    <w:p w14:paraId="049E07A7" w14:textId="5E7C89F1" w:rsidR="005F6958" w:rsidRDefault="002543B9" w:rsidP="005F6958">
      <w:pPr>
        <w:pStyle w:val="Date"/>
      </w:pPr>
      <w:r>
        <w:t>December</w:t>
      </w:r>
      <w:r w:rsidR="00EA3D27">
        <w:t xml:space="preserve"> </w:t>
      </w:r>
      <w:r w:rsidR="00B42B5A">
        <w:t>2024</w:t>
      </w:r>
    </w:p>
    <w:p w14:paraId="3D98346F" w14:textId="77777777" w:rsidR="005F6958" w:rsidRDefault="005F6958">
      <w:r>
        <w:br w:type="page"/>
      </w:r>
    </w:p>
    <w:p w14:paraId="13206AF5" w14:textId="77777777" w:rsidR="00DD3815" w:rsidRPr="004E2F19" w:rsidRDefault="00DD3815" w:rsidP="004E2F19">
      <w:pPr>
        <w:pStyle w:val="LegalSubheading"/>
        <w:rPr>
          <w:b/>
          <w:bCs/>
        </w:rPr>
      </w:pPr>
      <w:bookmarkStart w:id="1" w:name="_Toc126664137"/>
      <w:r w:rsidRPr="004E2F19">
        <w:rPr>
          <w:b/>
          <w:bCs/>
        </w:rPr>
        <w:lastRenderedPageBreak/>
        <w:t>Copyright</w:t>
      </w:r>
      <w:bookmarkEnd w:id="1"/>
    </w:p>
    <w:p w14:paraId="5DB3EA4E" w14:textId="77777777" w:rsidR="0089410A" w:rsidRDefault="00DD3815" w:rsidP="004E2F19">
      <w:pPr>
        <w:pStyle w:val="LegalSubheading"/>
      </w:pPr>
      <w:bookmarkStart w:id="2" w:name="_Toc126664138"/>
      <w:r w:rsidRPr="00DD3815">
        <w:t>© Commonwealth of Australia</w:t>
      </w:r>
      <w:r w:rsidR="00F35094">
        <w:t xml:space="preserve"> 202</w:t>
      </w:r>
      <w:r w:rsidR="008C7621">
        <w:t>4</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2"/>
    </w:p>
    <w:p w14:paraId="5A30A01B"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167B099F" w14:textId="77777777" w:rsidR="0089410A" w:rsidRPr="00215D48" w:rsidRDefault="0089410A" w:rsidP="0089410A">
          <w:pPr>
            <w:pStyle w:val="NonTOCheading2"/>
          </w:pPr>
          <w:r w:rsidRPr="00215D48">
            <w:t>Contents</w:t>
          </w:r>
        </w:p>
        <w:p w14:paraId="29A9BECA" w14:textId="6342E3A6" w:rsidR="006347CF"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4730537" w:history="1">
            <w:r w:rsidR="006347CF" w:rsidRPr="003E6635">
              <w:rPr>
                <w:rStyle w:val="Hyperlink"/>
                <w:noProof/>
              </w:rPr>
              <w:t>Executive Summary</w:t>
            </w:r>
            <w:r w:rsidR="006347CF">
              <w:rPr>
                <w:noProof/>
                <w:webHidden/>
              </w:rPr>
              <w:tab/>
            </w:r>
            <w:r w:rsidR="006347CF">
              <w:rPr>
                <w:noProof/>
                <w:webHidden/>
              </w:rPr>
              <w:fldChar w:fldCharType="begin"/>
            </w:r>
            <w:r w:rsidR="006347CF">
              <w:rPr>
                <w:noProof/>
                <w:webHidden/>
              </w:rPr>
              <w:instrText xml:space="preserve"> PAGEREF _Toc184730537 \h </w:instrText>
            </w:r>
            <w:r w:rsidR="006347CF">
              <w:rPr>
                <w:noProof/>
                <w:webHidden/>
              </w:rPr>
            </w:r>
            <w:r w:rsidR="006347CF">
              <w:rPr>
                <w:noProof/>
                <w:webHidden/>
              </w:rPr>
              <w:fldChar w:fldCharType="separate"/>
            </w:r>
            <w:r w:rsidR="006347CF">
              <w:rPr>
                <w:noProof/>
                <w:webHidden/>
              </w:rPr>
              <w:t>6</w:t>
            </w:r>
            <w:r w:rsidR="006347CF">
              <w:rPr>
                <w:noProof/>
                <w:webHidden/>
              </w:rPr>
              <w:fldChar w:fldCharType="end"/>
            </w:r>
          </w:hyperlink>
        </w:p>
        <w:p w14:paraId="70091A34" w14:textId="34A45C9E" w:rsidR="006347CF" w:rsidRDefault="00ED32F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730538" w:history="1">
            <w:r w:rsidR="006347CF" w:rsidRPr="003E6635">
              <w:rPr>
                <w:rStyle w:val="Hyperlink"/>
                <w:noProof/>
              </w:rPr>
              <w:t>Background</w:t>
            </w:r>
            <w:r w:rsidR="006347CF">
              <w:rPr>
                <w:noProof/>
                <w:webHidden/>
              </w:rPr>
              <w:tab/>
            </w:r>
            <w:r w:rsidR="006347CF">
              <w:rPr>
                <w:noProof/>
                <w:webHidden/>
              </w:rPr>
              <w:fldChar w:fldCharType="begin"/>
            </w:r>
            <w:r w:rsidR="006347CF">
              <w:rPr>
                <w:noProof/>
                <w:webHidden/>
              </w:rPr>
              <w:instrText xml:space="preserve"> PAGEREF _Toc184730538 \h </w:instrText>
            </w:r>
            <w:r w:rsidR="006347CF">
              <w:rPr>
                <w:noProof/>
                <w:webHidden/>
              </w:rPr>
            </w:r>
            <w:r w:rsidR="006347CF">
              <w:rPr>
                <w:noProof/>
                <w:webHidden/>
              </w:rPr>
              <w:fldChar w:fldCharType="separate"/>
            </w:r>
            <w:r w:rsidR="006347CF">
              <w:rPr>
                <w:noProof/>
                <w:webHidden/>
              </w:rPr>
              <w:t>9</w:t>
            </w:r>
            <w:r w:rsidR="006347CF">
              <w:rPr>
                <w:noProof/>
                <w:webHidden/>
              </w:rPr>
              <w:fldChar w:fldCharType="end"/>
            </w:r>
          </w:hyperlink>
        </w:p>
        <w:p w14:paraId="283F4064" w14:textId="2F073729"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39" w:history="1">
            <w:r w:rsidR="006347CF" w:rsidRPr="003E6635">
              <w:rPr>
                <w:rStyle w:val="Hyperlink"/>
                <w:noProof/>
                <w:lang w:val="en-US"/>
              </w:rPr>
              <w:t>Skin cancer rates in Australia</w:t>
            </w:r>
            <w:r w:rsidR="006347CF">
              <w:rPr>
                <w:noProof/>
                <w:webHidden/>
              </w:rPr>
              <w:tab/>
            </w:r>
            <w:r w:rsidR="006347CF">
              <w:rPr>
                <w:noProof/>
                <w:webHidden/>
              </w:rPr>
              <w:fldChar w:fldCharType="begin"/>
            </w:r>
            <w:r w:rsidR="006347CF">
              <w:rPr>
                <w:noProof/>
                <w:webHidden/>
              </w:rPr>
              <w:instrText xml:space="preserve"> PAGEREF _Toc184730539 \h </w:instrText>
            </w:r>
            <w:r w:rsidR="006347CF">
              <w:rPr>
                <w:noProof/>
                <w:webHidden/>
              </w:rPr>
            </w:r>
            <w:r w:rsidR="006347CF">
              <w:rPr>
                <w:noProof/>
                <w:webHidden/>
              </w:rPr>
              <w:fldChar w:fldCharType="separate"/>
            </w:r>
            <w:r w:rsidR="006347CF">
              <w:rPr>
                <w:noProof/>
                <w:webHidden/>
              </w:rPr>
              <w:t>9</w:t>
            </w:r>
            <w:r w:rsidR="006347CF">
              <w:rPr>
                <w:noProof/>
                <w:webHidden/>
              </w:rPr>
              <w:fldChar w:fldCharType="end"/>
            </w:r>
          </w:hyperlink>
        </w:p>
        <w:p w14:paraId="1D960DC7" w14:textId="09EF9065"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40" w:history="1">
            <w:r w:rsidR="006347CF" w:rsidRPr="003E6635">
              <w:rPr>
                <w:rStyle w:val="Hyperlink"/>
                <w:noProof/>
              </w:rPr>
              <w:t>Ultraviolet radiation</w:t>
            </w:r>
            <w:r w:rsidR="006347CF">
              <w:rPr>
                <w:noProof/>
                <w:webHidden/>
              </w:rPr>
              <w:tab/>
            </w:r>
            <w:r w:rsidR="006347CF">
              <w:rPr>
                <w:noProof/>
                <w:webHidden/>
              </w:rPr>
              <w:fldChar w:fldCharType="begin"/>
            </w:r>
            <w:r w:rsidR="006347CF">
              <w:rPr>
                <w:noProof/>
                <w:webHidden/>
              </w:rPr>
              <w:instrText xml:space="preserve"> PAGEREF _Toc184730540 \h </w:instrText>
            </w:r>
            <w:r w:rsidR="006347CF">
              <w:rPr>
                <w:noProof/>
                <w:webHidden/>
              </w:rPr>
            </w:r>
            <w:r w:rsidR="006347CF">
              <w:rPr>
                <w:noProof/>
                <w:webHidden/>
              </w:rPr>
              <w:fldChar w:fldCharType="separate"/>
            </w:r>
            <w:r w:rsidR="006347CF">
              <w:rPr>
                <w:noProof/>
                <w:webHidden/>
              </w:rPr>
              <w:t>11</w:t>
            </w:r>
            <w:r w:rsidR="006347CF">
              <w:rPr>
                <w:noProof/>
                <w:webHidden/>
              </w:rPr>
              <w:fldChar w:fldCharType="end"/>
            </w:r>
          </w:hyperlink>
        </w:p>
        <w:p w14:paraId="209B4FC8" w14:textId="1C2ED51E"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1" w:history="1">
            <w:r w:rsidR="006347CF" w:rsidRPr="003E6635">
              <w:rPr>
                <w:rStyle w:val="Hyperlink"/>
                <w:noProof/>
              </w:rPr>
              <w:t>Protection from ultraviolet radiation</w:t>
            </w:r>
            <w:r w:rsidR="006347CF">
              <w:rPr>
                <w:noProof/>
                <w:webHidden/>
              </w:rPr>
              <w:tab/>
            </w:r>
            <w:r w:rsidR="006347CF">
              <w:rPr>
                <w:noProof/>
                <w:webHidden/>
              </w:rPr>
              <w:fldChar w:fldCharType="begin"/>
            </w:r>
            <w:r w:rsidR="006347CF">
              <w:rPr>
                <w:noProof/>
                <w:webHidden/>
              </w:rPr>
              <w:instrText xml:space="preserve"> PAGEREF _Toc184730541 \h </w:instrText>
            </w:r>
            <w:r w:rsidR="006347CF">
              <w:rPr>
                <w:noProof/>
                <w:webHidden/>
              </w:rPr>
            </w:r>
            <w:r w:rsidR="006347CF">
              <w:rPr>
                <w:noProof/>
                <w:webHidden/>
              </w:rPr>
              <w:fldChar w:fldCharType="separate"/>
            </w:r>
            <w:r w:rsidR="006347CF">
              <w:rPr>
                <w:noProof/>
                <w:webHidden/>
              </w:rPr>
              <w:t>11</w:t>
            </w:r>
            <w:r w:rsidR="006347CF">
              <w:rPr>
                <w:noProof/>
                <w:webHidden/>
              </w:rPr>
              <w:fldChar w:fldCharType="end"/>
            </w:r>
          </w:hyperlink>
        </w:p>
        <w:p w14:paraId="01505FE3" w14:textId="1F166DA4"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42" w:history="1">
            <w:r w:rsidR="006347CF" w:rsidRPr="003E6635">
              <w:rPr>
                <w:rStyle w:val="Hyperlink"/>
                <w:noProof/>
              </w:rPr>
              <w:t>Sunscreen regulation in Australia</w:t>
            </w:r>
            <w:r w:rsidR="006347CF">
              <w:rPr>
                <w:noProof/>
                <w:webHidden/>
              </w:rPr>
              <w:tab/>
            </w:r>
            <w:r w:rsidR="006347CF">
              <w:rPr>
                <w:noProof/>
                <w:webHidden/>
              </w:rPr>
              <w:fldChar w:fldCharType="begin"/>
            </w:r>
            <w:r w:rsidR="006347CF">
              <w:rPr>
                <w:noProof/>
                <w:webHidden/>
              </w:rPr>
              <w:instrText xml:space="preserve"> PAGEREF _Toc184730542 \h </w:instrText>
            </w:r>
            <w:r w:rsidR="006347CF">
              <w:rPr>
                <w:noProof/>
                <w:webHidden/>
              </w:rPr>
            </w:r>
            <w:r w:rsidR="006347CF">
              <w:rPr>
                <w:noProof/>
                <w:webHidden/>
              </w:rPr>
              <w:fldChar w:fldCharType="separate"/>
            </w:r>
            <w:r w:rsidR="006347CF">
              <w:rPr>
                <w:noProof/>
                <w:webHidden/>
              </w:rPr>
              <w:t>12</w:t>
            </w:r>
            <w:r w:rsidR="006347CF">
              <w:rPr>
                <w:noProof/>
                <w:webHidden/>
              </w:rPr>
              <w:fldChar w:fldCharType="end"/>
            </w:r>
          </w:hyperlink>
        </w:p>
        <w:p w14:paraId="037B2BBC" w14:textId="6A92CCB1"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3" w:history="1">
            <w:r w:rsidR="006347CF" w:rsidRPr="003E6635">
              <w:rPr>
                <w:rStyle w:val="Hyperlink"/>
                <w:noProof/>
              </w:rPr>
              <w:t>Primary and secondary sunscreens</w:t>
            </w:r>
            <w:r w:rsidR="006347CF">
              <w:rPr>
                <w:noProof/>
                <w:webHidden/>
              </w:rPr>
              <w:tab/>
            </w:r>
            <w:r w:rsidR="006347CF">
              <w:rPr>
                <w:noProof/>
                <w:webHidden/>
              </w:rPr>
              <w:fldChar w:fldCharType="begin"/>
            </w:r>
            <w:r w:rsidR="006347CF">
              <w:rPr>
                <w:noProof/>
                <w:webHidden/>
              </w:rPr>
              <w:instrText xml:space="preserve"> PAGEREF _Toc184730543 \h </w:instrText>
            </w:r>
            <w:r w:rsidR="006347CF">
              <w:rPr>
                <w:noProof/>
                <w:webHidden/>
              </w:rPr>
            </w:r>
            <w:r w:rsidR="006347CF">
              <w:rPr>
                <w:noProof/>
                <w:webHidden/>
              </w:rPr>
              <w:fldChar w:fldCharType="separate"/>
            </w:r>
            <w:r w:rsidR="006347CF">
              <w:rPr>
                <w:noProof/>
                <w:webHidden/>
              </w:rPr>
              <w:t>12</w:t>
            </w:r>
            <w:r w:rsidR="006347CF">
              <w:rPr>
                <w:noProof/>
                <w:webHidden/>
              </w:rPr>
              <w:fldChar w:fldCharType="end"/>
            </w:r>
          </w:hyperlink>
        </w:p>
        <w:p w14:paraId="27497B7B" w14:textId="4EE73E4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4" w:history="1">
            <w:r w:rsidR="006347CF" w:rsidRPr="003E6635">
              <w:rPr>
                <w:rStyle w:val="Hyperlink"/>
                <w:noProof/>
              </w:rPr>
              <w:t>Therapeutic sunscreens</w:t>
            </w:r>
            <w:r w:rsidR="006347CF">
              <w:rPr>
                <w:noProof/>
                <w:webHidden/>
              </w:rPr>
              <w:tab/>
            </w:r>
            <w:r w:rsidR="006347CF">
              <w:rPr>
                <w:noProof/>
                <w:webHidden/>
              </w:rPr>
              <w:fldChar w:fldCharType="begin"/>
            </w:r>
            <w:r w:rsidR="006347CF">
              <w:rPr>
                <w:noProof/>
                <w:webHidden/>
              </w:rPr>
              <w:instrText xml:space="preserve"> PAGEREF _Toc184730544 \h </w:instrText>
            </w:r>
            <w:r w:rsidR="006347CF">
              <w:rPr>
                <w:noProof/>
                <w:webHidden/>
              </w:rPr>
            </w:r>
            <w:r w:rsidR="006347CF">
              <w:rPr>
                <w:noProof/>
                <w:webHidden/>
              </w:rPr>
              <w:fldChar w:fldCharType="separate"/>
            </w:r>
            <w:r w:rsidR="006347CF">
              <w:rPr>
                <w:noProof/>
                <w:webHidden/>
              </w:rPr>
              <w:t>12</w:t>
            </w:r>
            <w:r w:rsidR="006347CF">
              <w:rPr>
                <w:noProof/>
                <w:webHidden/>
              </w:rPr>
              <w:fldChar w:fldCharType="end"/>
            </w:r>
          </w:hyperlink>
        </w:p>
        <w:p w14:paraId="4912D4CA" w14:textId="0A7F855F"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45" w:history="1">
            <w:r w:rsidR="006347CF" w:rsidRPr="003E6635">
              <w:rPr>
                <w:rStyle w:val="Hyperlink"/>
                <w:noProof/>
              </w:rPr>
              <w:t>How ingredients in therapeutic sunscreens are regulated</w:t>
            </w:r>
            <w:r w:rsidR="006347CF">
              <w:rPr>
                <w:noProof/>
                <w:webHidden/>
              </w:rPr>
              <w:tab/>
            </w:r>
            <w:r w:rsidR="006347CF">
              <w:rPr>
                <w:noProof/>
                <w:webHidden/>
              </w:rPr>
              <w:fldChar w:fldCharType="begin"/>
            </w:r>
            <w:r w:rsidR="006347CF">
              <w:rPr>
                <w:noProof/>
                <w:webHidden/>
              </w:rPr>
              <w:instrText xml:space="preserve"> PAGEREF _Toc184730545 \h </w:instrText>
            </w:r>
            <w:r w:rsidR="006347CF">
              <w:rPr>
                <w:noProof/>
                <w:webHidden/>
              </w:rPr>
            </w:r>
            <w:r w:rsidR="006347CF">
              <w:rPr>
                <w:noProof/>
                <w:webHidden/>
              </w:rPr>
              <w:fldChar w:fldCharType="separate"/>
            </w:r>
            <w:r w:rsidR="006347CF">
              <w:rPr>
                <w:noProof/>
                <w:webHidden/>
              </w:rPr>
              <w:t>13</w:t>
            </w:r>
            <w:r w:rsidR="006347CF">
              <w:rPr>
                <w:noProof/>
                <w:webHidden/>
              </w:rPr>
              <w:fldChar w:fldCharType="end"/>
            </w:r>
          </w:hyperlink>
        </w:p>
        <w:p w14:paraId="727A1F49" w14:textId="4068D593"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6" w:history="1">
            <w:r w:rsidR="006347CF" w:rsidRPr="003E6635">
              <w:rPr>
                <w:rStyle w:val="Hyperlink"/>
                <w:noProof/>
              </w:rPr>
              <w:t>How risk for ingredients is evaluated</w:t>
            </w:r>
            <w:r w:rsidR="006347CF">
              <w:rPr>
                <w:noProof/>
                <w:webHidden/>
              </w:rPr>
              <w:tab/>
            </w:r>
            <w:r w:rsidR="006347CF">
              <w:rPr>
                <w:noProof/>
                <w:webHidden/>
              </w:rPr>
              <w:fldChar w:fldCharType="begin"/>
            </w:r>
            <w:r w:rsidR="006347CF">
              <w:rPr>
                <w:noProof/>
                <w:webHidden/>
              </w:rPr>
              <w:instrText xml:space="preserve"> PAGEREF _Toc184730546 \h </w:instrText>
            </w:r>
            <w:r w:rsidR="006347CF">
              <w:rPr>
                <w:noProof/>
                <w:webHidden/>
              </w:rPr>
            </w:r>
            <w:r w:rsidR="006347CF">
              <w:rPr>
                <w:noProof/>
                <w:webHidden/>
              </w:rPr>
              <w:fldChar w:fldCharType="separate"/>
            </w:r>
            <w:r w:rsidR="006347CF">
              <w:rPr>
                <w:noProof/>
                <w:webHidden/>
              </w:rPr>
              <w:t>14</w:t>
            </w:r>
            <w:r w:rsidR="006347CF">
              <w:rPr>
                <w:noProof/>
                <w:webHidden/>
              </w:rPr>
              <w:fldChar w:fldCharType="end"/>
            </w:r>
          </w:hyperlink>
        </w:p>
        <w:p w14:paraId="520F2A35" w14:textId="35B325D3"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7" w:history="1">
            <w:r w:rsidR="006347CF" w:rsidRPr="003E6635">
              <w:rPr>
                <w:rStyle w:val="Hyperlink"/>
                <w:noProof/>
              </w:rPr>
              <w:t>Factors affecting exposure</w:t>
            </w:r>
            <w:r w:rsidR="006347CF">
              <w:rPr>
                <w:noProof/>
                <w:webHidden/>
              </w:rPr>
              <w:tab/>
            </w:r>
            <w:r w:rsidR="006347CF">
              <w:rPr>
                <w:noProof/>
                <w:webHidden/>
              </w:rPr>
              <w:fldChar w:fldCharType="begin"/>
            </w:r>
            <w:r w:rsidR="006347CF">
              <w:rPr>
                <w:noProof/>
                <w:webHidden/>
              </w:rPr>
              <w:instrText xml:space="preserve"> PAGEREF _Toc184730547 \h </w:instrText>
            </w:r>
            <w:r w:rsidR="006347CF">
              <w:rPr>
                <w:noProof/>
                <w:webHidden/>
              </w:rPr>
            </w:r>
            <w:r w:rsidR="006347CF">
              <w:rPr>
                <w:noProof/>
                <w:webHidden/>
              </w:rPr>
              <w:fldChar w:fldCharType="separate"/>
            </w:r>
            <w:r w:rsidR="006347CF">
              <w:rPr>
                <w:noProof/>
                <w:webHidden/>
              </w:rPr>
              <w:t>15</w:t>
            </w:r>
            <w:r w:rsidR="006347CF">
              <w:rPr>
                <w:noProof/>
                <w:webHidden/>
              </w:rPr>
              <w:fldChar w:fldCharType="end"/>
            </w:r>
          </w:hyperlink>
        </w:p>
        <w:p w14:paraId="2AD3024E" w14:textId="3C0E1314"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48" w:history="1">
            <w:r w:rsidR="006347CF" w:rsidRPr="003E6635">
              <w:rPr>
                <w:rStyle w:val="Hyperlink"/>
                <w:noProof/>
              </w:rPr>
              <w:t>Different approaches for assessing sunscreen exposure</w:t>
            </w:r>
            <w:r w:rsidR="006347CF">
              <w:rPr>
                <w:noProof/>
                <w:webHidden/>
              </w:rPr>
              <w:tab/>
            </w:r>
            <w:r w:rsidR="006347CF">
              <w:rPr>
                <w:noProof/>
                <w:webHidden/>
              </w:rPr>
              <w:fldChar w:fldCharType="begin"/>
            </w:r>
            <w:r w:rsidR="006347CF">
              <w:rPr>
                <w:noProof/>
                <w:webHidden/>
              </w:rPr>
              <w:instrText xml:space="preserve"> PAGEREF _Toc184730548 \h </w:instrText>
            </w:r>
            <w:r w:rsidR="006347CF">
              <w:rPr>
                <w:noProof/>
                <w:webHidden/>
              </w:rPr>
            </w:r>
            <w:r w:rsidR="006347CF">
              <w:rPr>
                <w:noProof/>
                <w:webHidden/>
              </w:rPr>
              <w:fldChar w:fldCharType="separate"/>
            </w:r>
            <w:r w:rsidR="006347CF">
              <w:rPr>
                <w:noProof/>
                <w:webHidden/>
              </w:rPr>
              <w:t>16</w:t>
            </w:r>
            <w:r w:rsidR="006347CF">
              <w:rPr>
                <w:noProof/>
                <w:webHidden/>
              </w:rPr>
              <w:fldChar w:fldCharType="end"/>
            </w:r>
          </w:hyperlink>
        </w:p>
        <w:p w14:paraId="7C0C3603" w14:textId="4E88A16D"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49" w:history="1">
            <w:r w:rsidR="006347CF" w:rsidRPr="003E6635">
              <w:rPr>
                <w:rStyle w:val="Hyperlink"/>
                <w:noProof/>
              </w:rPr>
              <w:t>Sunscreen</w:t>
            </w:r>
            <w:r w:rsidR="006347CF" w:rsidRPr="003E6635">
              <w:rPr>
                <w:rStyle w:val="Hyperlink"/>
                <w:noProof/>
                <w:spacing w:val="-6"/>
              </w:rPr>
              <w:t xml:space="preserve"> </w:t>
            </w:r>
            <w:r w:rsidR="006347CF" w:rsidRPr="003E6635">
              <w:rPr>
                <w:rStyle w:val="Hyperlink"/>
                <w:noProof/>
              </w:rPr>
              <w:t>use</w:t>
            </w:r>
            <w:r w:rsidR="006347CF" w:rsidRPr="003E6635">
              <w:rPr>
                <w:rStyle w:val="Hyperlink"/>
                <w:noProof/>
                <w:spacing w:val="-7"/>
              </w:rPr>
              <w:t xml:space="preserve"> </w:t>
            </w:r>
            <w:r w:rsidR="006347CF" w:rsidRPr="003E6635">
              <w:rPr>
                <w:rStyle w:val="Hyperlink"/>
                <w:noProof/>
              </w:rPr>
              <w:t>by</w:t>
            </w:r>
            <w:r w:rsidR="006347CF" w:rsidRPr="003E6635">
              <w:rPr>
                <w:rStyle w:val="Hyperlink"/>
                <w:noProof/>
                <w:spacing w:val="-6"/>
              </w:rPr>
              <w:t xml:space="preserve"> </w:t>
            </w:r>
            <w:r w:rsidR="006347CF" w:rsidRPr="003E6635">
              <w:rPr>
                <w:rStyle w:val="Hyperlink"/>
                <w:noProof/>
              </w:rPr>
              <w:t>the</w:t>
            </w:r>
            <w:r w:rsidR="006347CF" w:rsidRPr="003E6635">
              <w:rPr>
                <w:rStyle w:val="Hyperlink"/>
                <w:noProof/>
                <w:spacing w:val="-5"/>
              </w:rPr>
              <w:t xml:space="preserve"> </w:t>
            </w:r>
            <w:r w:rsidR="006347CF" w:rsidRPr="003E6635">
              <w:rPr>
                <w:rStyle w:val="Hyperlink"/>
                <w:noProof/>
              </w:rPr>
              <w:t>general</w:t>
            </w:r>
            <w:r w:rsidR="006347CF" w:rsidRPr="003E6635">
              <w:rPr>
                <w:rStyle w:val="Hyperlink"/>
                <w:noProof/>
                <w:spacing w:val="-7"/>
              </w:rPr>
              <w:t xml:space="preserve"> Australian </w:t>
            </w:r>
            <w:r w:rsidR="006347CF" w:rsidRPr="003E6635">
              <w:rPr>
                <w:rStyle w:val="Hyperlink"/>
                <w:noProof/>
                <w:spacing w:val="-2"/>
              </w:rPr>
              <w:t>population</w:t>
            </w:r>
            <w:r w:rsidR="006347CF">
              <w:rPr>
                <w:noProof/>
                <w:webHidden/>
              </w:rPr>
              <w:tab/>
            </w:r>
            <w:r w:rsidR="006347CF">
              <w:rPr>
                <w:noProof/>
                <w:webHidden/>
              </w:rPr>
              <w:fldChar w:fldCharType="begin"/>
            </w:r>
            <w:r w:rsidR="006347CF">
              <w:rPr>
                <w:noProof/>
                <w:webHidden/>
              </w:rPr>
              <w:instrText xml:space="preserve"> PAGEREF _Toc184730549 \h </w:instrText>
            </w:r>
            <w:r w:rsidR="006347CF">
              <w:rPr>
                <w:noProof/>
                <w:webHidden/>
              </w:rPr>
            </w:r>
            <w:r w:rsidR="006347CF">
              <w:rPr>
                <w:noProof/>
                <w:webHidden/>
              </w:rPr>
              <w:fldChar w:fldCharType="separate"/>
            </w:r>
            <w:r w:rsidR="006347CF">
              <w:rPr>
                <w:noProof/>
                <w:webHidden/>
              </w:rPr>
              <w:t>17</w:t>
            </w:r>
            <w:r w:rsidR="006347CF">
              <w:rPr>
                <w:noProof/>
                <w:webHidden/>
              </w:rPr>
              <w:fldChar w:fldCharType="end"/>
            </w:r>
          </w:hyperlink>
        </w:p>
        <w:p w14:paraId="7B80FC75" w14:textId="2A140BE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0" w:history="1">
            <w:r w:rsidR="006347CF" w:rsidRPr="003E6635">
              <w:rPr>
                <w:rStyle w:val="Hyperlink"/>
                <w:noProof/>
              </w:rPr>
              <w:t>Sunscreen</w:t>
            </w:r>
            <w:r w:rsidR="006347CF" w:rsidRPr="003E6635">
              <w:rPr>
                <w:rStyle w:val="Hyperlink"/>
                <w:noProof/>
                <w:spacing w:val="-6"/>
              </w:rPr>
              <w:t xml:space="preserve"> </w:t>
            </w:r>
            <w:r w:rsidR="006347CF" w:rsidRPr="003E6635">
              <w:rPr>
                <w:rStyle w:val="Hyperlink"/>
                <w:noProof/>
              </w:rPr>
              <w:t>use</w:t>
            </w:r>
            <w:r w:rsidR="006347CF" w:rsidRPr="003E6635">
              <w:rPr>
                <w:rStyle w:val="Hyperlink"/>
                <w:noProof/>
                <w:spacing w:val="-7"/>
              </w:rPr>
              <w:t xml:space="preserve"> </w:t>
            </w:r>
            <w:r w:rsidR="006347CF" w:rsidRPr="003E6635">
              <w:rPr>
                <w:rStyle w:val="Hyperlink"/>
                <w:noProof/>
              </w:rPr>
              <w:t>in</w:t>
            </w:r>
            <w:r w:rsidR="006347CF" w:rsidRPr="003E6635">
              <w:rPr>
                <w:rStyle w:val="Hyperlink"/>
                <w:noProof/>
                <w:spacing w:val="-4"/>
              </w:rPr>
              <w:t xml:space="preserve"> </w:t>
            </w:r>
            <w:r w:rsidR="006347CF" w:rsidRPr="003E6635">
              <w:rPr>
                <w:rStyle w:val="Hyperlink"/>
                <w:noProof/>
                <w:spacing w:val="-2"/>
              </w:rPr>
              <w:t>children</w:t>
            </w:r>
            <w:r w:rsidR="006347CF">
              <w:rPr>
                <w:noProof/>
                <w:webHidden/>
              </w:rPr>
              <w:tab/>
            </w:r>
            <w:r w:rsidR="006347CF">
              <w:rPr>
                <w:noProof/>
                <w:webHidden/>
              </w:rPr>
              <w:fldChar w:fldCharType="begin"/>
            </w:r>
            <w:r w:rsidR="006347CF">
              <w:rPr>
                <w:noProof/>
                <w:webHidden/>
              </w:rPr>
              <w:instrText xml:space="preserve"> PAGEREF _Toc184730550 \h </w:instrText>
            </w:r>
            <w:r w:rsidR="006347CF">
              <w:rPr>
                <w:noProof/>
                <w:webHidden/>
              </w:rPr>
            </w:r>
            <w:r w:rsidR="006347CF">
              <w:rPr>
                <w:noProof/>
                <w:webHidden/>
              </w:rPr>
              <w:fldChar w:fldCharType="separate"/>
            </w:r>
            <w:r w:rsidR="006347CF">
              <w:rPr>
                <w:noProof/>
                <w:webHidden/>
              </w:rPr>
              <w:t>18</w:t>
            </w:r>
            <w:r w:rsidR="006347CF">
              <w:rPr>
                <w:noProof/>
                <w:webHidden/>
              </w:rPr>
              <w:fldChar w:fldCharType="end"/>
            </w:r>
          </w:hyperlink>
        </w:p>
        <w:p w14:paraId="1E621FF3" w14:textId="6A95F133"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1" w:history="1">
            <w:r w:rsidR="006347CF" w:rsidRPr="003E6635">
              <w:rPr>
                <w:rStyle w:val="Hyperlink"/>
                <w:noProof/>
              </w:rPr>
              <w:t>Sunscreen use by outdoor workers</w:t>
            </w:r>
            <w:r w:rsidR="006347CF">
              <w:rPr>
                <w:noProof/>
                <w:webHidden/>
              </w:rPr>
              <w:tab/>
            </w:r>
            <w:r w:rsidR="006347CF">
              <w:rPr>
                <w:noProof/>
                <w:webHidden/>
              </w:rPr>
              <w:fldChar w:fldCharType="begin"/>
            </w:r>
            <w:r w:rsidR="006347CF">
              <w:rPr>
                <w:noProof/>
                <w:webHidden/>
              </w:rPr>
              <w:instrText xml:space="preserve"> PAGEREF _Toc184730551 \h </w:instrText>
            </w:r>
            <w:r w:rsidR="006347CF">
              <w:rPr>
                <w:noProof/>
                <w:webHidden/>
              </w:rPr>
            </w:r>
            <w:r w:rsidR="006347CF">
              <w:rPr>
                <w:noProof/>
                <w:webHidden/>
              </w:rPr>
              <w:fldChar w:fldCharType="separate"/>
            </w:r>
            <w:r w:rsidR="006347CF">
              <w:rPr>
                <w:noProof/>
                <w:webHidden/>
              </w:rPr>
              <w:t>19</w:t>
            </w:r>
            <w:r w:rsidR="006347CF">
              <w:rPr>
                <w:noProof/>
                <w:webHidden/>
              </w:rPr>
              <w:fldChar w:fldCharType="end"/>
            </w:r>
          </w:hyperlink>
        </w:p>
        <w:p w14:paraId="3570621A" w14:textId="6AE7D76D"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2" w:history="1">
            <w:r w:rsidR="006347CF" w:rsidRPr="003E6635">
              <w:rPr>
                <w:rStyle w:val="Hyperlink"/>
                <w:noProof/>
              </w:rPr>
              <w:t>Application</w:t>
            </w:r>
            <w:r w:rsidR="006347CF" w:rsidRPr="003E6635">
              <w:rPr>
                <w:rStyle w:val="Hyperlink"/>
                <w:noProof/>
                <w:spacing w:val="-12"/>
              </w:rPr>
              <w:t xml:space="preserve"> </w:t>
            </w:r>
            <w:r w:rsidR="006347CF" w:rsidRPr="003E6635">
              <w:rPr>
                <w:rStyle w:val="Hyperlink"/>
                <w:noProof/>
              </w:rPr>
              <w:t>thickness</w:t>
            </w:r>
            <w:r w:rsidR="006347CF" w:rsidRPr="003E6635">
              <w:rPr>
                <w:rStyle w:val="Hyperlink"/>
                <w:noProof/>
                <w:spacing w:val="-9"/>
              </w:rPr>
              <w:t xml:space="preserve"> </w:t>
            </w:r>
            <w:r w:rsidR="006347CF" w:rsidRPr="003E6635">
              <w:rPr>
                <w:rStyle w:val="Hyperlink"/>
                <w:noProof/>
              </w:rPr>
              <w:t>of</w:t>
            </w:r>
            <w:r w:rsidR="006347CF" w:rsidRPr="003E6635">
              <w:rPr>
                <w:rStyle w:val="Hyperlink"/>
                <w:noProof/>
                <w:spacing w:val="-9"/>
              </w:rPr>
              <w:t xml:space="preserve"> </w:t>
            </w:r>
            <w:r w:rsidR="006347CF" w:rsidRPr="003E6635">
              <w:rPr>
                <w:rStyle w:val="Hyperlink"/>
                <w:noProof/>
                <w:spacing w:val="-2"/>
              </w:rPr>
              <w:t>sunscreens</w:t>
            </w:r>
            <w:r w:rsidR="006347CF">
              <w:rPr>
                <w:noProof/>
                <w:webHidden/>
              </w:rPr>
              <w:tab/>
            </w:r>
            <w:r w:rsidR="006347CF">
              <w:rPr>
                <w:noProof/>
                <w:webHidden/>
              </w:rPr>
              <w:fldChar w:fldCharType="begin"/>
            </w:r>
            <w:r w:rsidR="006347CF">
              <w:rPr>
                <w:noProof/>
                <w:webHidden/>
              </w:rPr>
              <w:instrText xml:space="preserve"> PAGEREF _Toc184730552 \h </w:instrText>
            </w:r>
            <w:r w:rsidR="006347CF">
              <w:rPr>
                <w:noProof/>
                <w:webHidden/>
              </w:rPr>
            </w:r>
            <w:r w:rsidR="006347CF">
              <w:rPr>
                <w:noProof/>
                <w:webHidden/>
              </w:rPr>
              <w:fldChar w:fldCharType="separate"/>
            </w:r>
            <w:r w:rsidR="006347CF">
              <w:rPr>
                <w:noProof/>
                <w:webHidden/>
              </w:rPr>
              <w:t>20</w:t>
            </w:r>
            <w:r w:rsidR="006347CF">
              <w:rPr>
                <w:noProof/>
                <w:webHidden/>
              </w:rPr>
              <w:fldChar w:fldCharType="end"/>
            </w:r>
          </w:hyperlink>
        </w:p>
        <w:p w14:paraId="33705B75" w14:textId="5075F053"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53" w:history="1">
            <w:r w:rsidR="006347CF" w:rsidRPr="003E6635">
              <w:rPr>
                <w:rStyle w:val="Hyperlink"/>
                <w:noProof/>
              </w:rPr>
              <w:t>Correct</w:t>
            </w:r>
            <w:r w:rsidR="006347CF" w:rsidRPr="003E6635">
              <w:rPr>
                <w:rStyle w:val="Hyperlink"/>
                <w:noProof/>
                <w:spacing w:val="-14"/>
              </w:rPr>
              <w:t xml:space="preserve"> </w:t>
            </w:r>
            <w:r w:rsidR="006347CF" w:rsidRPr="003E6635">
              <w:rPr>
                <w:rStyle w:val="Hyperlink"/>
                <w:noProof/>
              </w:rPr>
              <w:t>sunscreen</w:t>
            </w:r>
            <w:r w:rsidR="006347CF" w:rsidRPr="003E6635">
              <w:rPr>
                <w:rStyle w:val="Hyperlink"/>
                <w:noProof/>
                <w:spacing w:val="-12"/>
              </w:rPr>
              <w:t xml:space="preserve"> </w:t>
            </w:r>
            <w:r w:rsidR="006347CF" w:rsidRPr="003E6635">
              <w:rPr>
                <w:rStyle w:val="Hyperlink"/>
                <w:noProof/>
                <w:spacing w:val="-2"/>
              </w:rPr>
              <w:t>application</w:t>
            </w:r>
            <w:r w:rsidR="006347CF">
              <w:rPr>
                <w:noProof/>
                <w:webHidden/>
              </w:rPr>
              <w:tab/>
            </w:r>
            <w:r w:rsidR="006347CF">
              <w:rPr>
                <w:noProof/>
                <w:webHidden/>
              </w:rPr>
              <w:fldChar w:fldCharType="begin"/>
            </w:r>
            <w:r w:rsidR="006347CF">
              <w:rPr>
                <w:noProof/>
                <w:webHidden/>
              </w:rPr>
              <w:instrText xml:space="preserve"> PAGEREF _Toc184730553 \h </w:instrText>
            </w:r>
            <w:r w:rsidR="006347CF">
              <w:rPr>
                <w:noProof/>
                <w:webHidden/>
              </w:rPr>
            </w:r>
            <w:r w:rsidR="006347CF">
              <w:rPr>
                <w:noProof/>
                <w:webHidden/>
              </w:rPr>
              <w:fldChar w:fldCharType="separate"/>
            </w:r>
            <w:r w:rsidR="006347CF">
              <w:rPr>
                <w:noProof/>
                <w:webHidden/>
              </w:rPr>
              <w:t>20</w:t>
            </w:r>
            <w:r w:rsidR="006347CF">
              <w:rPr>
                <w:noProof/>
                <w:webHidden/>
              </w:rPr>
              <w:fldChar w:fldCharType="end"/>
            </w:r>
          </w:hyperlink>
        </w:p>
        <w:p w14:paraId="78717370" w14:textId="06AAC665"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4" w:history="1">
            <w:r w:rsidR="006347CF" w:rsidRPr="003E6635">
              <w:rPr>
                <w:rStyle w:val="Hyperlink"/>
                <w:noProof/>
              </w:rPr>
              <w:t>Current</w:t>
            </w:r>
            <w:r w:rsidR="006347CF" w:rsidRPr="003E6635">
              <w:rPr>
                <w:rStyle w:val="Hyperlink"/>
                <w:noProof/>
                <w:spacing w:val="-10"/>
              </w:rPr>
              <w:t xml:space="preserve"> </w:t>
            </w:r>
            <w:r w:rsidR="006347CF" w:rsidRPr="003E6635">
              <w:rPr>
                <w:rStyle w:val="Hyperlink"/>
                <w:noProof/>
              </w:rPr>
              <w:t>evidence-based</w:t>
            </w:r>
            <w:r w:rsidR="006347CF" w:rsidRPr="003E6635">
              <w:rPr>
                <w:rStyle w:val="Hyperlink"/>
                <w:noProof/>
                <w:spacing w:val="-10"/>
              </w:rPr>
              <w:t xml:space="preserve"> </w:t>
            </w:r>
            <w:r w:rsidR="006347CF" w:rsidRPr="003E6635">
              <w:rPr>
                <w:rStyle w:val="Hyperlink"/>
                <w:noProof/>
              </w:rPr>
              <w:t>sunscreen</w:t>
            </w:r>
            <w:r w:rsidR="006347CF" w:rsidRPr="003E6635">
              <w:rPr>
                <w:rStyle w:val="Hyperlink"/>
                <w:noProof/>
                <w:spacing w:val="-10"/>
              </w:rPr>
              <w:t xml:space="preserve"> </w:t>
            </w:r>
            <w:r w:rsidR="006347CF" w:rsidRPr="003E6635">
              <w:rPr>
                <w:rStyle w:val="Hyperlink"/>
                <w:noProof/>
              </w:rPr>
              <w:t>use</w:t>
            </w:r>
            <w:r w:rsidR="006347CF" w:rsidRPr="003E6635">
              <w:rPr>
                <w:rStyle w:val="Hyperlink"/>
                <w:noProof/>
                <w:spacing w:val="-11"/>
              </w:rPr>
              <w:t xml:space="preserve"> </w:t>
            </w:r>
            <w:r w:rsidR="006347CF" w:rsidRPr="003E6635">
              <w:rPr>
                <w:rStyle w:val="Hyperlink"/>
                <w:noProof/>
                <w:spacing w:val="-2"/>
              </w:rPr>
              <w:t>guidelines</w:t>
            </w:r>
            <w:r w:rsidR="006347CF">
              <w:rPr>
                <w:noProof/>
                <w:webHidden/>
              </w:rPr>
              <w:tab/>
            </w:r>
            <w:r w:rsidR="006347CF">
              <w:rPr>
                <w:noProof/>
                <w:webHidden/>
              </w:rPr>
              <w:fldChar w:fldCharType="begin"/>
            </w:r>
            <w:r w:rsidR="006347CF">
              <w:rPr>
                <w:noProof/>
                <w:webHidden/>
              </w:rPr>
              <w:instrText xml:space="preserve"> PAGEREF _Toc184730554 \h </w:instrText>
            </w:r>
            <w:r w:rsidR="006347CF">
              <w:rPr>
                <w:noProof/>
                <w:webHidden/>
              </w:rPr>
            </w:r>
            <w:r w:rsidR="006347CF">
              <w:rPr>
                <w:noProof/>
                <w:webHidden/>
              </w:rPr>
              <w:fldChar w:fldCharType="separate"/>
            </w:r>
            <w:r w:rsidR="006347CF">
              <w:rPr>
                <w:noProof/>
                <w:webHidden/>
              </w:rPr>
              <w:t>20</w:t>
            </w:r>
            <w:r w:rsidR="006347CF">
              <w:rPr>
                <w:noProof/>
                <w:webHidden/>
              </w:rPr>
              <w:fldChar w:fldCharType="end"/>
            </w:r>
          </w:hyperlink>
        </w:p>
        <w:p w14:paraId="33668B05" w14:textId="27DD6A3F"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5" w:history="1">
            <w:r w:rsidR="006347CF" w:rsidRPr="003E6635">
              <w:rPr>
                <w:rStyle w:val="Hyperlink"/>
                <w:noProof/>
              </w:rPr>
              <w:t>How</w:t>
            </w:r>
            <w:r w:rsidR="006347CF" w:rsidRPr="003E6635">
              <w:rPr>
                <w:rStyle w:val="Hyperlink"/>
                <w:noProof/>
                <w:spacing w:val="-7"/>
              </w:rPr>
              <w:t xml:space="preserve"> </w:t>
            </w:r>
            <w:r w:rsidR="006347CF" w:rsidRPr="003E6635">
              <w:rPr>
                <w:rStyle w:val="Hyperlink"/>
                <w:noProof/>
              </w:rPr>
              <w:t>sunscreens</w:t>
            </w:r>
            <w:r w:rsidR="006347CF" w:rsidRPr="003E6635">
              <w:rPr>
                <w:rStyle w:val="Hyperlink"/>
                <w:noProof/>
                <w:spacing w:val="-5"/>
              </w:rPr>
              <w:t xml:space="preserve"> </w:t>
            </w:r>
            <w:r w:rsidR="006347CF" w:rsidRPr="003E6635">
              <w:rPr>
                <w:rStyle w:val="Hyperlink"/>
                <w:noProof/>
              </w:rPr>
              <w:t>should</w:t>
            </w:r>
            <w:r w:rsidR="006347CF" w:rsidRPr="003E6635">
              <w:rPr>
                <w:rStyle w:val="Hyperlink"/>
                <w:noProof/>
                <w:spacing w:val="-4"/>
              </w:rPr>
              <w:t xml:space="preserve"> </w:t>
            </w:r>
            <w:r w:rsidR="006347CF" w:rsidRPr="003E6635">
              <w:rPr>
                <w:rStyle w:val="Hyperlink"/>
                <w:noProof/>
              </w:rPr>
              <w:t>be</w:t>
            </w:r>
            <w:r w:rsidR="006347CF" w:rsidRPr="003E6635">
              <w:rPr>
                <w:rStyle w:val="Hyperlink"/>
                <w:noProof/>
                <w:spacing w:val="-7"/>
              </w:rPr>
              <w:t xml:space="preserve"> </w:t>
            </w:r>
            <w:r w:rsidR="006347CF" w:rsidRPr="003E6635">
              <w:rPr>
                <w:rStyle w:val="Hyperlink"/>
                <w:noProof/>
              </w:rPr>
              <w:t>used</w:t>
            </w:r>
            <w:r w:rsidR="006347CF" w:rsidRPr="003E6635">
              <w:rPr>
                <w:rStyle w:val="Hyperlink"/>
                <w:noProof/>
                <w:spacing w:val="-6"/>
              </w:rPr>
              <w:t xml:space="preserve"> </w:t>
            </w:r>
            <w:r w:rsidR="006347CF" w:rsidRPr="003E6635">
              <w:rPr>
                <w:rStyle w:val="Hyperlink"/>
                <w:noProof/>
              </w:rPr>
              <w:t>to</w:t>
            </w:r>
            <w:r w:rsidR="006347CF" w:rsidRPr="003E6635">
              <w:rPr>
                <w:rStyle w:val="Hyperlink"/>
                <w:noProof/>
                <w:spacing w:val="-6"/>
              </w:rPr>
              <w:t xml:space="preserve"> </w:t>
            </w:r>
            <w:r w:rsidR="006347CF" w:rsidRPr="003E6635">
              <w:rPr>
                <w:rStyle w:val="Hyperlink"/>
                <w:noProof/>
              </w:rPr>
              <w:t>achieve</w:t>
            </w:r>
            <w:r w:rsidR="006347CF" w:rsidRPr="003E6635">
              <w:rPr>
                <w:rStyle w:val="Hyperlink"/>
                <w:noProof/>
                <w:spacing w:val="-7"/>
              </w:rPr>
              <w:t xml:space="preserve"> </w:t>
            </w:r>
            <w:r w:rsidR="006347CF" w:rsidRPr="003E6635">
              <w:rPr>
                <w:rStyle w:val="Hyperlink"/>
                <w:noProof/>
              </w:rPr>
              <w:t>the</w:t>
            </w:r>
            <w:r w:rsidR="006347CF" w:rsidRPr="003E6635">
              <w:rPr>
                <w:rStyle w:val="Hyperlink"/>
                <w:noProof/>
                <w:spacing w:val="-7"/>
              </w:rPr>
              <w:t xml:space="preserve"> </w:t>
            </w:r>
            <w:r w:rsidR="006347CF" w:rsidRPr="003E6635">
              <w:rPr>
                <w:rStyle w:val="Hyperlink"/>
                <w:noProof/>
              </w:rPr>
              <w:t>labelled</w:t>
            </w:r>
            <w:r w:rsidR="006347CF" w:rsidRPr="003E6635">
              <w:rPr>
                <w:rStyle w:val="Hyperlink"/>
                <w:noProof/>
                <w:spacing w:val="-5"/>
              </w:rPr>
              <w:t xml:space="preserve"> </w:t>
            </w:r>
            <w:r w:rsidR="006347CF" w:rsidRPr="003E6635">
              <w:rPr>
                <w:rStyle w:val="Hyperlink"/>
                <w:noProof/>
              </w:rPr>
              <w:t>SPF</w:t>
            </w:r>
            <w:r w:rsidR="006347CF" w:rsidRPr="003E6635">
              <w:rPr>
                <w:rStyle w:val="Hyperlink"/>
                <w:noProof/>
                <w:spacing w:val="-4"/>
              </w:rPr>
              <w:t xml:space="preserve"> </w:t>
            </w:r>
            <w:r w:rsidR="006347CF" w:rsidRPr="003E6635">
              <w:rPr>
                <w:rStyle w:val="Hyperlink"/>
                <w:noProof/>
                <w:spacing w:val="-2"/>
              </w:rPr>
              <w:t>rating</w:t>
            </w:r>
            <w:r w:rsidR="006347CF">
              <w:rPr>
                <w:noProof/>
                <w:webHidden/>
              </w:rPr>
              <w:tab/>
            </w:r>
            <w:r w:rsidR="006347CF">
              <w:rPr>
                <w:noProof/>
                <w:webHidden/>
              </w:rPr>
              <w:fldChar w:fldCharType="begin"/>
            </w:r>
            <w:r w:rsidR="006347CF">
              <w:rPr>
                <w:noProof/>
                <w:webHidden/>
              </w:rPr>
              <w:instrText xml:space="preserve"> PAGEREF _Toc184730555 \h </w:instrText>
            </w:r>
            <w:r w:rsidR="006347CF">
              <w:rPr>
                <w:noProof/>
                <w:webHidden/>
              </w:rPr>
            </w:r>
            <w:r w:rsidR="006347CF">
              <w:rPr>
                <w:noProof/>
                <w:webHidden/>
              </w:rPr>
              <w:fldChar w:fldCharType="separate"/>
            </w:r>
            <w:r w:rsidR="006347CF">
              <w:rPr>
                <w:noProof/>
                <w:webHidden/>
              </w:rPr>
              <w:t>23</w:t>
            </w:r>
            <w:r w:rsidR="006347CF">
              <w:rPr>
                <w:noProof/>
                <w:webHidden/>
              </w:rPr>
              <w:fldChar w:fldCharType="end"/>
            </w:r>
          </w:hyperlink>
        </w:p>
        <w:p w14:paraId="7FF0180D" w14:textId="1ABFDBD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56" w:history="1">
            <w:r w:rsidR="006347CF" w:rsidRPr="003E6635">
              <w:rPr>
                <w:rStyle w:val="Hyperlink"/>
                <w:noProof/>
              </w:rPr>
              <w:t>Challenge</w:t>
            </w:r>
            <w:r w:rsidR="006347CF" w:rsidRPr="003E6635">
              <w:rPr>
                <w:rStyle w:val="Hyperlink"/>
                <w:noProof/>
                <w:spacing w:val="-10"/>
              </w:rPr>
              <w:t xml:space="preserve"> </w:t>
            </w:r>
            <w:r w:rsidR="006347CF" w:rsidRPr="003E6635">
              <w:rPr>
                <w:rStyle w:val="Hyperlink"/>
                <w:noProof/>
              </w:rPr>
              <w:t>of</w:t>
            </w:r>
            <w:r w:rsidR="006347CF" w:rsidRPr="003E6635">
              <w:rPr>
                <w:rStyle w:val="Hyperlink"/>
                <w:noProof/>
                <w:spacing w:val="-6"/>
              </w:rPr>
              <w:t xml:space="preserve"> </w:t>
            </w:r>
            <w:r w:rsidR="006347CF" w:rsidRPr="003E6635">
              <w:rPr>
                <w:rStyle w:val="Hyperlink"/>
                <w:noProof/>
              </w:rPr>
              <w:t>aligning</w:t>
            </w:r>
            <w:r w:rsidR="006347CF" w:rsidRPr="003E6635">
              <w:rPr>
                <w:rStyle w:val="Hyperlink"/>
                <w:noProof/>
                <w:spacing w:val="-9"/>
              </w:rPr>
              <w:t xml:space="preserve"> </w:t>
            </w:r>
            <w:r w:rsidR="006347CF" w:rsidRPr="003E6635">
              <w:rPr>
                <w:rStyle w:val="Hyperlink"/>
                <w:noProof/>
              </w:rPr>
              <w:t>recommended</w:t>
            </w:r>
            <w:r w:rsidR="006347CF" w:rsidRPr="003E6635">
              <w:rPr>
                <w:rStyle w:val="Hyperlink"/>
                <w:noProof/>
                <w:spacing w:val="-8"/>
              </w:rPr>
              <w:t xml:space="preserve"> </w:t>
            </w:r>
            <w:r w:rsidR="006347CF" w:rsidRPr="003E6635">
              <w:rPr>
                <w:rStyle w:val="Hyperlink"/>
                <w:noProof/>
              </w:rPr>
              <w:t>sunscreen</w:t>
            </w:r>
            <w:r w:rsidR="006347CF" w:rsidRPr="003E6635">
              <w:rPr>
                <w:rStyle w:val="Hyperlink"/>
                <w:noProof/>
                <w:spacing w:val="-8"/>
              </w:rPr>
              <w:t xml:space="preserve"> </w:t>
            </w:r>
            <w:r w:rsidR="006347CF" w:rsidRPr="003E6635">
              <w:rPr>
                <w:rStyle w:val="Hyperlink"/>
                <w:noProof/>
              </w:rPr>
              <w:t>application</w:t>
            </w:r>
            <w:r w:rsidR="006347CF" w:rsidRPr="003E6635">
              <w:rPr>
                <w:rStyle w:val="Hyperlink"/>
                <w:noProof/>
                <w:spacing w:val="-8"/>
              </w:rPr>
              <w:t xml:space="preserve"> </w:t>
            </w:r>
            <w:r w:rsidR="006347CF" w:rsidRPr="003E6635">
              <w:rPr>
                <w:rStyle w:val="Hyperlink"/>
                <w:noProof/>
              </w:rPr>
              <w:t>with</w:t>
            </w:r>
            <w:r w:rsidR="006347CF" w:rsidRPr="003E6635">
              <w:rPr>
                <w:rStyle w:val="Hyperlink"/>
                <w:noProof/>
                <w:spacing w:val="-9"/>
              </w:rPr>
              <w:t xml:space="preserve"> </w:t>
            </w:r>
            <w:r w:rsidR="006347CF" w:rsidRPr="003E6635">
              <w:rPr>
                <w:rStyle w:val="Hyperlink"/>
                <w:noProof/>
              </w:rPr>
              <w:t>the</w:t>
            </w:r>
            <w:r w:rsidR="006347CF" w:rsidRPr="003E6635">
              <w:rPr>
                <w:rStyle w:val="Hyperlink"/>
                <w:noProof/>
                <w:spacing w:val="-9"/>
              </w:rPr>
              <w:t xml:space="preserve"> </w:t>
            </w:r>
            <w:r w:rsidR="006347CF" w:rsidRPr="003E6635">
              <w:rPr>
                <w:rStyle w:val="Hyperlink"/>
                <w:noProof/>
              </w:rPr>
              <w:t>risk</w:t>
            </w:r>
            <w:r w:rsidR="006347CF" w:rsidRPr="003E6635">
              <w:rPr>
                <w:rStyle w:val="Hyperlink"/>
                <w:noProof/>
                <w:spacing w:val="-7"/>
              </w:rPr>
              <w:t xml:space="preserve"> </w:t>
            </w:r>
            <w:r w:rsidR="006347CF" w:rsidRPr="003E6635">
              <w:rPr>
                <w:rStyle w:val="Hyperlink"/>
                <w:noProof/>
                <w:spacing w:val="-2"/>
              </w:rPr>
              <w:t>assessment</w:t>
            </w:r>
            <w:r w:rsidR="006347CF">
              <w:rPr>
                <w:noProof/>
                <w:webHidden/>
              </w:rPr>
              <w:tab/>
            </w:r>
            <w:r w:rsidR="006347CF">
              <w:rPr>
                <w:noProof/>
                <w:webHidden/>
              </w:rPr>
              <w:fldChar w:fldCharType="begin"/>
            </w:r>
            <w:r w:rsidR="006347CF">
              <w:rPr>
                <w:noProof/>
                <w:webHidden/>
              </w:rPr>
              <w:instrText xml:space="preserve"> PAGEREF _Toc184730556 \h </w:instrText>
            </w:r>
            <w:r w:rsidR="006347CF">
              <w:rPr>
                <w:noProof/>
                <w:webHidden/>
              </w:rPr>
            </w:r>
            <w:r w:rsidR="006347CF">
              <w:rPr>
                <w:noProof/>
                <w:webHidden/>
              </w:rPr>
              <w:fldChar w:fldCharType="separate"/>
            </w:r>
            <w:r w:rsidR="006347CF">
              <w:rPr>
                <w:noProof/>
                <w:webHidden/>
              </w:rPr>
              <w:t>23</w:t>
            </w:r>
            <w:r w:rsidR="006347CF">
              <w:rPr>
                <w:noProof/>
                <w:webHidden/>
              </w:rPr>
              <w:fldChar w:fldCharType="end"/>
            </w:r>
          </w:hyperlink>
        </w:p>
        <w:p w14:paraId="38D7B7BD" w14:textId="1EC6CA38"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557" w:history="1">
            <w:r w:rsidR="006347CF" w:rsidRPr="003E6635">
              <w:rPr>
                <w:rStyle w:val="Hyperlink"/>
                <w:noProof/>
              </w:rPr>
              <w:t>1.</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What is the policy problem you are trying to solve and what data is available?</w:t>
            </w:r>
            <w:r w:rsidR="006347CF">
              <w:rPr>
                <w:noProof/>
                <w:webHidden/>
              </w:rPr>
              <w:tab/>
            </w:r>
            <w:r w:rsidR="006347CF">
              <w:rPr>
                <w:noProof/>
                <w:webHidden/>
              </w:rPr>
              <w:fldChar w:fldCharType="begin"/>
            </w:r>
            <w:r w:rsidR="006347CF">
              <w:rPr>
                <w:noProof/>
                <w:webHidden/>
              </w:rPr>
              <w:instrText xml:space="preserve"> PAGEREF _Toc184730557 \h </w:instrText>
            </w:r>
            <w:r w:rsidR="006347CF">
              <w:rPr>
                <w:noProof/>
                <w:webHidden/>
              </w:rPr>
            </w:r>
            <w:r w:rsidR="006347CF">
              <w:rPr>
                <w:noProof/>
                <w:webHidden/>
              </w:rPr>
              <w:fldChar w:fldCharType="separate"/>
            </w:r>
            <w:r w:rsidR="006347CF">
              <w:rPr>
                <w:noProof/>
                <w:webHidden/>
              </w:rPr>
              <w:t>24</w:t>
            </w:r>
            <w:r w:rsidR="006347CF">
              <w:rPr>
                <w:noProof/>
                <w:webHidden/>
              </w:rPr>
              <w:fldChar w:fldCharType="end"/>
            </w:r>
          </w:hyperlink>
        </w:p>
        <w:p w14:paraId="46B0A1CE" w14:textId="598EA322"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58" w:history="1">
            <w:r w:rsidR="006347CF" w:rsidRPr="003E6635">
              <w:rPr>
                <w:rStyle w:val="Hyperlink"/>
                <w:noProof/>
              </w:rPr>
              <w:t>The problem</w:t>
            </w:r>
            <w:r w:rsidR="006347CF">
              <w:rPr>
                <w:noProof/>
                <w:webHidden/>
              </w:rPr>
              <w:tab/>
            </w:r>
            <w:r w:rsidR="006347CF">
              <w:rPr>
                <w:noProof/>
                <w:webHidden/>
              </w:rPr>
              <w:fldChar w:fldCharType="begin"/>
            </w:r>
            <w:r w:rsidR="006347CF">
              <w:rPr>
                <w:noProof/>
                <w:webHidden/>
              </w:rPr>
              <w:instrText xml:space="preserve"> PAGEREF _Toc184730558 \h </w:instrText>
            </w:r>
            <w:r w:rsidR="006347CF">
              <w:rPr>
                <w:noProof/>
                <w:webHidden/>
              </w:rPr>
            </w:r>
            <w:r w:rsidR="006347CF">
              <w:rPr>
                <w:noProof/>
                <w:webHidden/>
              </w:rPr>
              <w:fldChar w:fldCharType="separate"/>
            </w:r>
            <w:r w:rsidR="006347CF">
              <w:rPr>
                <w:noProof/>
                <w:webHidden/>
              </w:rPr>
              <w:t>24</w:t>
            </w:r>
            <w:r w:rsidR="006347CF">
              <w:rPr>
                <w:noProof/>
                <w:webHidden/>
              </w:rPr>
              <w:fldChar w:fldCharType="end"/>
            </w:r>
          </w:hyperlink>
        </w:p>
        <w:p w14:paraId="013C3501" w14:textId="4ACDF42F"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59" w:history="1">
            <w:r w:rsidR="006347CF" w:rsidRPr="003E6635">
              <w:rPr>
                <w:rStyle w:val="Hyperlink"/>
                <w:noProof/>
              </w:rPr>
              <w:t>Why it is a problem?</w:t>
            </w:r>
            <w:r w:rsidR="006347CF">
              <w:rPr>
                <w:noProof/>
                <w:webHidden/>
              </w:rPr>
              <w:tab/>
            </w:r>
            <w:r w:rsidR="006347CF">
              <w:rPr>
                <w:noProof/>
                <w:webHidden/>
              </w:rPr>
              <w:fldChar w:fldCharType="begin"/>
            </w:r>
            <w:r w:rsidR="006347CF">
              <w:rPr>
                <w:noProof/>
                <w:webHidden/>
              </w:rPr>
              <w:instrText xml:space="preserve"> PAGEREF _Toc184730559 \h </w:instrText>
            </w:r>
            <w:r w:rsidR="006347CF">
              <w:rPr>
                <w:noProof/>
                <w:webHidden/>
              </w:rPr>
            </w:r>
            <w:r w:rsidR="006347CF">
              <w:rPr>
                <w:noProof/>
                <w:webHidden/>
              </w:rPr>
              <w:fldChar w:fldCharType="separate"/>
            </w:r>
            <w:r w:rsidR="006347CF">
              <w:rPr>
                <w:noProof/>
                <w:webHidden/>
              </w:rPr>
              <w:t>25</w:t>
            </w:r>
            <w:r w:rsidR="006347CF">
              <w:rPr>
                <w:noProof/>
                <w:webHidden/>
              </w:rPr>
              <w:fldChar w:fldCharType="end"/>
            </w:r>
          </w:hyperlink>
        </w:p>
        <w:p w14:paraId="7DCA20AE" w14:textId="15598FB5"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60" w:history="1">
            <w:r w:rsidR="006347CF" w:rsidRPr="003E6635">
              <w:rPr>
                <w:rStyle w:val="Hyperlink"/>
                <w:noProof/>
              </w:rPr>
              <w:t>Magnitude of the problem &amp; costs of not doing anything</w:t>
            </w:r>
            <w:r w:rsidR="006347CF">
              <w:rPr>
                <w:noProof/>
                <w:webHidden/>
              </w:rPr>
              <w:tab/>
            </w:r>
            <w:r w:rsidR="006347CF">
              <w:rPr>
                <w:noProof/>
                <w:webHidden/>
              </w:rPr>
              <w:fldChar w:fldCharType="begin"/>
            </w:r>
            <w:r w:rsidR="006347CF">
              <w:rPr>
                <w:noProof/>
                <w:webHidden/>
              </w:rPr>
              <w:instrText xml:space="preserve"> PAGEREF _Toc184730560 \h </w:instrText>
            </w:r>
            <w:r w:rsidR="006347CF">
              <w:rPr>
                <w:noProof/>
                <w:webHidden/>
              </w:rPr>
            </w:r>
            <w:r w:rsidR="006347CF">
              <w:rPr>
                <w:noProof/>
                <w:webHidden/>
              </w:rPr>
              <w:fldChar w:fldCharType="separate"/>
            </w:r>
            <w:r w:rsidR="006347CF">
              <w:rPr>
                <w:noProof/>
                <w:webHidden/>
              </w:rPr>
              <w:t>26</w:t>
            </w:r>
            <w:r w:rsidR="006347CF">
              <w:rPr>
                <w:noProof/>
                <w:webHidden/>
              </w:rPr>
              <w:fldChar w:fldCharType="end"/>
            </w:r>
          </w:hyperlink>
        </w:p>
        <w:p w14:paraId="4E54B1B1" w14:textId="068FD8A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61" w:history="1">
            <w:r w:rsidR="006347CF" w:rsidRPr="003E6635">
              <w:rPr>
                <w:rStyle w:val="Hyperlink"/>
                <w:noProof/>
              </w:rPr>
              <w:t>Australian public</w:t>
            </w:r>
            <w:r w:rsidR="006347CF">
              <w:rPr>
                <w:noProof/>
                <w:webHidden/>
              </w:rPr>
              <w:tab/>
            </w:r>
            <w:r w:rsidR="006347CF">
              <w:rPr>
                <w:noProof/>
                <w:webHidden/>
              </w:rPr>
              <w:fldChar w:fldCharType="begin"/>
            </w:r>
            <w:r w:rsidR="006347CF">
              <w:rPr>
                <w:noProof/>
                <w:webHidden/>
              </w:rPr>
              <w:instrText xml:space="preserve"> PAGEREF _Toc184730561 \h </w:instrText>
            </w:r>
            <w:r w:rsidR="006347CF">
              <w:rPr>
                <w:noProof/>
                <w:webHidden/>
              </w:rPr>
            </w:r>
            <w:r w:rsidR="006347CF">
              <w:rPr>
                <w:noProof/>
                <w:webHidden/>
              </w:rPr>
              <w:fldChar w:fldCharType="separate"/>
            </w:r>
            <w:r w:rsidR="006347CF">
              <w:rPr>
                <w:noProof/>
                <w:webHidden/>
              </w:rPr>
              <w:t>26</w:t>
            </w:r>
            <w:r w:rsidR="006347CF">
              <w:rPr>
                <w:noProof/>
                <w:webHidden/>
              </w:rPr>
              <w:fldChar w:fldCharType="end"/>
            </w:r>
          </w:hyperlink>
        </w:p>
        <w:p w14:paraId="2231A9B2" w14:textId="5EC221DA"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62" w:history="1">
            <w:r w:rsidR="006347CF" w:rsidRPr="003E6635">
              <w:rPr>
                <w:rStyle w:val="Hyperlink"/>
                <w:noProof/>
              </w:rPr>
              <w:t>Industry</w:t>
            </w:r>
            <w:r w:rsidR="006347CF">
              <w:rPr>
                <w:noProof/>
                <w:webHidden/>
              </w:rPr>
              <w:tab/>
            </w:r>
            <w:r w:rsidR="006347CF">
              <w:rPr>
                <w:noProof/>
                <w:webHidden/>
              </w:rPr>
              <w:fldChar w:fldCharType="begin"/>
            </w:r>
            <w:r w:rsidR="006347CF">
              <w:rPr>
                <w:noProof/>
                <w:webHidden/>
              </w:rPr>
              <w:instrText xml:space="preserve"> PAGEREF _Toc184730562 \h </w:instrText>
            </w:r>
            <w:r w:rsidR="006347CF">
              <w:rPr>
                <w:noProof/>
                <w:webHidden/>
              </w:rPr>
            </w:r>
            <w:r w:rsidR="006347CF">
              <w:rPr>
                <w:noProof/>
                <w:webHidden/>
              </w:rPr>
              <w:fldChar w:fldCharType="separate"/>
            </w:r>
            <w:r w:rsidR="006347CF">
              <w:rPr>
                <w:noProof/>
                <w:webHidden/>
              </w:rPr>
              <w:t>26</w:t>
            </w:r>
            <w:r w:rsidR="006347CF">
              <w:rPr>
                <w:noProof/>
                <w:webHidden/>
              </w:rPr>
              <w:fldChar w:fldCharType="end"/>
            </w:r>
          </w:hyperlink>
        </w:p>
        <w:p w14:paraId="6647D5B2" w14:textId="783E691B"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63" w:history="1">
            <w:r w:rsidR="006347CF" w:rsidRPr="003E6635">
              <w:rPr>
                <w:rStyle w:val="Hyperlink"/>
                <w:noProof/>
              </w:rPr>
              <w:t>Government</w:t>
            </w:r>
            <w:r w:rsidR="006347CF">
              <w:rPr>
                <w:noProof/>
                <w:webHidden/>
              </w:rPr>
              <w:tab/>
            </w:r>
            <w:r w:rsidR="006347CF">
              <w:rPr>
                <w:noProof/>
                <w:webHidden/>
              </w:rPr>
              <w:fldChar w:fldCharType="begin"/>
            </w:r>
            <w:r w:rsidR="006347CF">
              <w:rPr>
                <w:noProof/>
                <w:webHidden/>
              </w:rPr>
              <w:instrText xml:space="preserve"> PAGEREF _Toc184730563 \h </w:instrText>
            </w:r>
            <w:r w:rsidR="006347CF">
              <w:rPr>
                <w:noProof/>
                <w:webHidden/>
              </w:rPr>
            </w:r>
            <w:r w:rsidR="006347CF">
              <w:rPr>
                <w:noProof/>
                <w:webHidden/>
              </w:rPr>
              <w:fldChar w:fldCharType="separate"/>
            </w:r>
            <w:r w:rsidR="006347CF">
              <w:rPr>
                <w:noProof/>
                <w:webHidden/>
              </w:rPr>
              <w:t>27</w:t>
            </w:r>
            <w:r w:rsidR="006347CF">
              <w:rPr>
                <w:noProof/>
                <w:webHidden/>
              </w:rPr>
              <w:fldChar w:fldCharType="end"/>
            </w:r>
          </w:hyperlink>
        </w:p>
        <w:p w14:paraId="6CDE0B2B" w14:textId="245220B5"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564" w:history="1">
            <w:r w:rsidR="006347CF" w:rsidRPr="003E6635">
              <w:rPr>
                <w:rStyle w:val="Hyperlink"/>
                <w:noProof/>
              </w:rPr>
              <w:t>2.</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What are the objectives, why is government intervention needed &amp; how will success be measured?</w:t>
            </w:r>
            <w:r w:rsidR="006347CF">
              <w:rPr>
                <w:noProof/>
                <w:webHidden/>
              </w:rPr>
              <w:tab/>
            </w:r>
            <w:r w:rsidR="006347CF">
              <w:rPr>
                <w:noProof/>
                <w:webHidden/>
              </w:rPr>
              <w:fldChar w:fldCharType="begin"/>
            </w:r>
            <w:r w:rsidR="006347CF">
              <w:rPr>
                <w:noProof/>
                <w:webHidden/>
              </w:rPr>
              <w:instrText xml:space="preserve"> PAGEREF _Toc184730564 \h </w:instrText>
            </w:r>
            <w:r w:rsidR="006347CF">
              <w:rPr>
                <w:noProof/>
                <w:webHidden/>
              </w:rPr>
            </w:r>
            <w:r w:rsidR="006347CF">
              <w:rPr>
                <w:noProof/>
                <w:webHidden/>
              </w:rPr>
              <w:fldChar w:fldCharType="separate"/>
            </w:r>
            <w:r w:rsidR="006347CF">
              <w:rPr>
                <w:noProof/>
                <w:webHidden/>
              </w:rPr>
              <w:t>27</w:t>
            </w:r>
            <w:r w:rsidR="006347CF">
              <w:rPr>
                <w:noProof/>
                <w:webHidden/>
              </w:rPr>
              <w:fldChar w:fldCharType="end"/>
            </w:r>
          </w:hyperlink>
        </w:p>
        <w:p w14:paraId="1D5F53FA" w14:textId="733E68DE"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65" w:history="1">
            <w:r w:rsidR="006347CF" w:rsidRPr="003E6635">
              <w:rPr>
                <w:rStyle w:val="Hyperlink"/>
                <w:noProof/>
                <w:shd w:val="clear" w:color="auto" w:fill="FFFFFF"/>
              </w:rPr>
              <w:t>Objectives of intervention</w:t>
            </w:r>
            <w:r w:rsidR="006347CF">
              <w:rPr>
                <w:noProof/>
                <w:webHidden/>
              </w:rPr>
              <w:tab/>
            </w:r>
            <w:r w:rsidR="006347CF">
              <w:rPr>
                <w:noProof/>
                <w:webHidden/>
              </w:rPr>
              <w:fldChar w:fldCharType="begin"/>
            </w:r>
            <w:r w:rsidR="006347CF">
              <w:rPr>
                <w:noProof/>
                <w:webHidden/>
              </w:rPr>
              <w:instrText xml:space="preserve"> PAGEREF _Toc184730565 \h </w:instrText>
            </w:r>
            <w:r w:rsidR="006347CF">
              <w:rPr>
                <w:noProof/>
                <w:webHidden/>
              </w:rPr>
            </w:r>
            <w:r w:rsidR="006347CF">
              <w:rPr>
                <w:noProof/>
                <w:webHidden/>
              </w:rPr>
              <w:fldChar w:fldCharType="separate"/>
            </w:r>
            <w:r w:rsidR="006347CF">
              <w:rPr>
                <w:noProof/>
                <w:webHidden/>
              </w:rPr>
              <w:t>27</w:t>
            </w:r>
            <w:r w:rsidR="006347CF">
              <w:rPr>
                <w:noProof/>
                <w:webHidden/>
              </w:rPr>
              <w:fldChar w:fldCharType="end"/>
            </w:r>
          </w:hyperlink>
        </w:p>
        <w:p w14:paraId="6D257243" w14:textId="2251C509"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66" w:history="1">
            <w:r w:rsidR="006347CF" w:rsidRPr="003E6635">
              <w:rPr>
                <w:rStyle w:val="Hyperlink"/>
                <w:noProof/>
                <w:shd w:val="clear" w:color="auto" w:fill="FFFFFF"/>
              </w:rPr>
              <w:t>Why is Government intervention needed</w:t>
            </w:r>
            <w:r w:rsidR="006347CF">
              <w:rPr>
                <w:noProof/>
                <w:webHidden/>
              </w:rPr>
              <w:tab/>
            </w:r>
            <w:r w:rsidR="006347CF">
              <w:rPr>
                <w:noProof/>
                <w:webHidden/>
              </w:rPr>
              <w:fldChar w:fldCharType="begin"/>
            </w:r>
            <w:r w:rsidR="006347CF">
              <w:rPr>
                <w:noProof/>
                <w:webHidden/>
              </w:rPr>
              <w:instrText xml:space="preserve"> PAGEREF _Toc184730566 \h </w:instrText>
            </w:r>
            <w:r w:rsidR="006347CF">
              <w:rPr>
                <w:noProof/>
                <w:webHidden/>
              </w:rPr>
            </w:r>
            <w:r w:rsidR="006347CF">
              <w:rPr>
                <w:noProof/>
                <w:webHidden/>
              </w:rPr>
              <w:fldChar w:fldCharType="separate"/>
            </w:r>
            <w:r w:rsidR="006347CF">
              <w:rPr>
                <w:noProof/>
                <w:webHidden/>
              </w:rPr>
              <w:t>29</w:t>
            </w:r>
            <w:r w:rsidR="006347CF">
              <w:rPr>
                <w:noProof/>
                <w:webHidden/>
              </w:rPr>
              <w:fldChar w:fldCharType="end"/>
            </w:r>
          </w:hyperlink>
        </w:p>
        <w:p w14:paraId="509D6961" w14:textId="4BE5B53A"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67" w:history="1">
            <w:r w:rsidR="006347CF" w:rsidRPr="003E6635">
              <w:rPr>
                <w:rStyle w:val="Hyperlink"/>
                <w:noProof/>
              </w:rPr>
              <w:t>Alternatives to government intervention</w:t>
            </w:r>
            <w:r w:rsidR="006347CF">
              <w:rPr>
                <w:noProof/>
                <w:webHidden/>
              </w:rPr>
              <w:tab/>
            </w:r>
            <w:r w:rsidR="006347CF">
              <w:rPr>
                <w:noProof/>
                <w:webHidden/>
              </w:rPr>
              <w:fldChar w:fldCharType="begin"/>
            </w:r>
            <w:r w:rsidR="006347CF">
              <w:rPr>
                <w:noProof/>
                <w:webHidden/>
              </w:rPr>
              <w:instrText xml:space="preserve"> PAGEREF _Toc184730567 \h </w:instrText>
            </w:r>
            <w:r w:rsidR="006347CF">
              <w:rPr>
                <w:noProof/>
                <w:webHidden/>
              </w:rPr>
            </w:r>
            <w:r w:rsidR="006347CF">
              <w:rPr>
                <w:noProof/>
                <w:webHidden/>
              </w:rPr>
              <w:fldChar w:fldCharType="separate"/>
            </w:r>
            <w:r w:rsidR="006347CF">
              <w:rPr>
                <w:noProof/>
                <w:webHidden/>
              </w:rPr>
              <w:t>30</w:t>
            </w:r>
            <w:r w:rsidR="006347CF">
              <w:rPr>
                <w:noProof/>
                <w:webHidden/>
              </w:rPr>
              <w:fldChar w:fldCharType="end"/>
            </w:r>
          </w:hyperlink>
        </w:p>
        <w:p w14:paraId="41E07D96" w14:textId="50022AA5"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68" w:history="1">
            <w:r w:rsidR="006347CF" w:rsidRPr="003E6635">
              <w:rPr>
                <w:rStyle w:val="Hyperlink"/>
                <w:noProof/>
              </w:rPr>
              <w:t>How success will be measured</w:t>
            </w:r>
            <w:r w:rsidR="006347CF">
              <w:rPr>
                <w:noProof/>
                <w:webHidden/>
              </w:rPr>
              <w:tab/>
            </w:r>
            <w:r w:rsidR="006347CF">
              <w:rPr>
                <w:noProof/>
                <w:webHidden/>
              </w:rPr>
              <w:fldChar w:fldCharType="begin"/>
            </w:r>
            <w:r w:rsidR="006347CF">
              <w:rPr>
                <w:noProof/>
                <w:webHidden/>
              </w:rPr>
              <w:instrText xml:space="preserve"> PAGEREF _Toc184730568 \h </w:instrText>
            </w:r>
            <w:r w:rsidR="006347CF">
              <w:rPr>
                <w:noProof/>
                <w:webHidden/>
              </w:rPr>
            </w:r>
            <w:r w:rsidR="006347CF">
              <w:rPr>
                <w:noProof/>
                <w:webHidden/>
              </w:rPr>
              <w:fldChar w:fldCharType="separate"/>
            </w:r>
            <w:r w:rsidR="006347CF">
              <w:rPr>
                <w:noProof/>
                <w:webHidden/>
              </w:rPr>
              <w:t>30</w:t>
            </w:r>
            <w:r w:rsidR="006347CF">
              <w:rPr>
                <w:noProof/>
                <w:webHidden/>
              </w:rPr>
              <w:fldChar w:fldCharType="end"/>
            </w:r>
          </w:hyperlink>
        </w:p>
        <w:p w14:paraId="5C3ECB0B" w14:textId="1EC2EC0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69" w:history="1">
            <w:r w:rsidR="006347CF" w:rsidRPr="003E6635">
              <w:rPr>
                <w:rStyle w:val="Hyperlink"/>
                <w:noProof/>
              </w:rPr>
              <w:t>Monitoring of new ingredient applications</w:t>
            </w:r>
            <w:r w:rsidR="006347CF">
              <w:rPr>
                <w:noProof/>
                <w:webHidden/>
              </w:rPr>
              <w:tab/>
            </w:r>
            <w:r w:rsidR="006347CF">
              <w:rPr>
                <w:noProof/>
                <w:webHidden/>
              </w:rPr>
              <w:fldChar w:fldCharType="begin"/>
            </w:r>
            <w:r w:rsidR="006347CF">
              <w:rPr>
                <w:noProof/>
                <w:webHidden/>
              </w:rPr>
              <w:instrText xml:space="preserve"> PAGEREF _Toc184730569 \h </w:instrText>
            </w:r>
            <w:r w:rsidR="006347CF">
              <w:rPr>
                <w:noProof/>
                <w:webHidden/>
              </w:rPr>
            </w:r>
            <w:r w:rsidR="006347CF">
              <w:rPr>
                <w:noProof/>
                <w:webHidden/>
              </w:rPr>
              <w:fldChar w:fldCharType="separate"/>
            </w:r>
            <w:r w:rsidR="006347CF">
              <w:rPr>
                <w:noProof/>
                <w:webHidden/>
              </w:rPr>
              <w:t>30</w:t>
            </w:r>
            <w:r w:rsidR="006347CF">
              <w:rPr>
                <w:noProof/>
                <w:webHidden/>
              </w:rPr>
              <w:fldChar w:fldCharType="end"/>
            </w:r>
          </w:hyperlink>
        </w:p>
        <w:p w14:paraId="70003FE2" w14:textId="61F42218"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0" w:history="1">
            <w:r w:rsidR="006347CF" w:rsidRPr="003E6635">
              <w:rPr>
                <w:rStyle w:val="Hyperlink"/>
                <w:noProof/>
              </w:rPr>
              <w:t>Applicant surveys</w:t>
            </w:r>
            <w:r w:rsidR="006347CF">
              <w:rPr>
                <w:noProof/>
                <w:webHidden/>
              </w:rPr>
              <w:tab/>
            </w:r>
            <w:r w:rsidR="006347CF">
              <w:rPr>
                <w:noProof/>
                <w:webHidden/>
              </w:rPr>
              <w:fldChar w:fldCharType="begin"/>
            </w:r>
            <w:r w:rsidR="006347CF">
              <w:rPr>
                <w:noProof/>
                <w:webHidden/>
              </w:rPr>
              <w:instrText xml:space="preserve"> PAGEREF _Toc184730570 \h </w:instrText>
            </w:r>
            <w:r w:rsidR="006347CF">
              <w:rPr>
                <w:noProof/>
                <w:webHidden/>
              </w:rPr>
            </w:r>
            <w:r w:rsidR="006347CF">
              <w:rPr>
                <w:noProof/>
                <w:webHidden/>
              </w:rPr>
              <w:fldChar w:fldCharType="separate"/>
            </w:r>
            <w:r w:rsidR="006347CF">
              <w:rPr>
                <w:noProof/>
                <w:webHidden/>
              </w:rPr>
              <w:t>30</w:t>
            </w:r>
            <w:r w:rsidR="006347CF">
              <w:rPr>
                <w:noProof/>
                <w:webHidden/>
              </w:rPr>
              <w:fldChar w:fldCharType="end"/>
            </w:r>
          </w:hyperlink>
        </w:p>
        <w:p w14:paraId="549FA79A" w14:textId="0242FD62"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1" w:history="1">
            <w:r w:rsidR="006347CF" w:rsidRPr="003E6635">
              <w:rPr>
                <w:rStyle w:val="Hyperlink"/>
                <w:noProof/>
              </w:rPr>
              <w:t>Stakeholder engagement/feedback:</w:t>
            </w:r>
            <w:r w:rsidR="006347CF">
              <w:rPr>
                <w:noProof/>
                <w:webHidden/>
              </w:rPr>
              <w:tab/>
            </w:r>
            <w:r w:rsidR="006347CF">
              <w:rPr>
                <w:noProof/>
                <w:webHidden/>
              </w:rPr>
              <w:fldChar w:fldCharType="begin"/>
            </w:r>
            <w:r w:rsidR="006347CF">
              <w:rPr>
                <w:noProof/>
                <w:webHidden/>
              </w:rPr>
              <w:instrText xml:space="preserve"> PAGEREF _Toc184730571 \h </w:instrText>
            </w:r>
            <w:r w:rsidR="006347CF">
              <w:rPr>
                <w:noProof/>
                <w:webHidden/>
              </w:rPr>
            </w:r>
            <w:r w:rsidR="006347CF">
              <w:rPr>
                <w:noProof/>
                <w:webHidden/>
              </w:rPr>
              <w:fldChar w:fldCharType="separate"/>
            </w:r>
            <w:r w:rsidR="006347CF">
              <w:rPr>
                <w:noProof/>
                <w:webHidden/>
              </w:rPr>
              <w:t>30</w:t>
            </w:r>
            <w:r w:rsidR="006347CF">
              <w:rPr>
                <w:noProof/>
                <w:webHidden/>
              </w:rPr>
              <w:fldChar w:fldCharType="end"/>
            </w:r>
          </w:hyperlink>
        </w:p>
        <w:p w14:paraId="0BEDAB5F" w14:textId="772E1B7D"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2" w:history="1">
            <w:r w:rsidR="006347CF" w:rsidRPr="003E6635">
              <w:rPr>
                <w:rStyle w:val="Hyperlink"/>
                <w:noProof/>
              </w:rPr>
              <w:t>Monitoring of overseas regulators and development of other models:</w:t>
            </w:r>
            <w:r w:rsidR="006347CF">
              <w:rPr>
                <w:noProof/>
                <w:webHidden/>
              </w:rPr>
              <w:tab/>
            </w:r>
            <w:r w:rsidR="006347CF">
              <w:rPr>
                <w:noProof/>
                <w:webHidden/>
              </w:rPr>
              <w:fldChar w:fldCharType="begin"/>
            </w:r>
            <w:r w:rsidR="006347CF">
              <w:rPr>
                <w:noProof/>
                <w:webHidden/>
              </w:rPr>
              <w:instrText xml:space="preserve"> PAGEREF _Toc184730572 \h </w:instrText>
            </w:r>
            <w:r w:rsidR="006347CF">
              <w:rPr>
                <w:noProof/>
                <w:webHidden/>
              </w:rPr>
            </w:r>
            <w:r w:rsidR="006347CF">
              <w:rPr>
                <w:noProof/>
                <w:webHidden/>
              </w:rPr>
              <w:fldChar w:fldCharType="separate"/>
            </w:r>
            <w:r w:rsidR="006347CF">
              <w:rPr>
                <w:noProof/>
                <w:webHidden/>
              </w:rPr>
              <w:t>31</w:t>
            </w:r>
            <w:r w:rsidR="006347CF">
              <w:rPr>
                <w:noProof/>
                <w:webHidden/>
              </w:rPr>
              <w:fldChar w:fldCharType="end"/>
            </w:r>
          </w:hyperlink>
        </w:p>
        <w:p w14:paraId="37D4089F" w14:textId="04BEFD08"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3" w:history="1">
            <w:r w:rsidR="006347CF" w:rsidRPr="003E6635">
              <w:rPr>
                <w:rStyle w:val="Hyperlink"/>
                <w:noProof/>
              </w:rPr>
              <w:t>Reassessment of data gaps</w:t>
            </w:r>
            <w:r w:rsidR="006347CF">
              <w:rPr>
                <w:noProof/>
                <w:webHidden/>
              </w:rPr>
              <w:tab/>
            </w:r>
            <w:r w:rsidR="006347CF">
              <w:rPr>
                <w:noProof/>
                <w:webHidden/>
              </w:rPr>
              <w:fldChar w:fldCharType="begin"/>
            </w:r>
            <w:r w:rsidR="006347CF">
              <w:rPr>
                <w:noProof/>
                <w:webHidden/>
              </w:rPr>
              <w:instrText xml:space="preserve"> PAGEREF _Toc184730573 \h </w:instrText>
            </w:r>
            <w:r w:rsidR="006347CF">
              <w:rPr>
                <w:noProof/>
                <w:webHidden/>
              </w:rPr>
            </w:r>
            <w:r w:rsidR="006347CF">
              <w:rPr>
                <w:noProof/>
                <w:webHidden/>
              </w:rPr>
              <w:fldChar w:fldCharType="separate"/>
            </w:r>
            <w:r w:rsidR="006347CF">
              <w:rPr>
                <w:noProof/>
                <w:webHidden/>
              </w:rPr>
              <w:t>31</w:t>
            </w:r>
            <w:r w:rsidR="006347CF">
              <w:rPr>
                <w:noProof/>
                <w:webHidden/>
              </w:rPr>
              <w:fldChar w:fldCharType="end"/>
            </w:r>
          </w:hyperlink>
        </w:p>
        <w:p w14:paraId="5C5B7C93" w14:textId="58EE90F1"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574" w:history="1">
            <w:r w:rsidR="006347CF" w:rsidRPr="003E6635">
              <w:rPr>
                <w:rStyle w:val="Hyperlink"/>
                <w:noProof/>
              </w:rPr>
              <w:t>3.</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What policy options are you considering</w:t>
            </w:r>
            <w:r w:rsidR="006347CF">
              <w:rPr>
                <w:noProof/>
                <w:webHidden/>
              </w:rPr>
              <w:tab/>
            </w:r>
            <w:r w:rsidR="006347CF">
              <w:rPr>
                <w:noProof/>
                <w:webHidden/>
              </w:rPr>
              <w:fldChar w:fldCharType="begin"/>
            </w:r>
            <w:r w:rsidR="006347CF">
              <w:rPr>
                <w:noProof/>
                <w:webHidden/>
              </w:rPr>
              <w:instrText xml:space="preserve"> PAGEREF _Toc184730574 \h </w:instrText>
            </w:r>
            <w:r w:rsidR="006347CF">
              <w:rPr>
                <w:noProof/>
                <w:webHidden/>
              </w:rPr>
            </w:r>
            <w:r w:rsidR="006347CF">
              <w:rPr>
                <w:noProof/>
                <w:webHidden/>
              </w:rPr>
              <w:fldChar w:fldCharType="separate"/>
            </w:r>
            <w:r w:rsidR="006347CF">
              <w:rPr>
                <w:noProof/>
                <w:webHidden/>
              </w:rPr>
              <w:t>31</w:t>
            </w:r>
            <w:r w:rsidR="006347CF">
              <w:rPr>
                <w:noProof/>
                <w:webHidden/>
              </w:rPr>
              <w:fldChar w:fldCharType="end"/>
            </w:r>
          </w:hyperlink>
        </w:p>
        <w:p w14:paraId="3CC6F1D0" w14:textId="4424B1DC"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75" w:history="1">
            <w:r w:rsidR="006347CF" w:rsidRPr="003E6635">
              <w:rPr>
                <w:rStyle w:val="Hyperlink"/>
                <w:noProof/>
              </w:rPr>
              <w:t>Alternative options considered</w:t>
            </w:r>
            <w:r w:rsidR="006347CF">
              <w:rPr>
                <w:noProof/>
                <w:webHidden/>
              </w:rPr>
              <w:tab/>
            </w:r>
            <w:r w:rsidR="006347CF">
              <w:rPr>
                <w:noProof/>
                <w:webHidden/>
              </w:rPr>
              <w:fldChar w:fldCharType="begin"/>
            </w:r>
            <w:r w:rsidR="006347CF">
              <w:rPr>
                <w:noProof/>
                <w:webHidden/>
              </w:rPr>
              <w:instrText xml:space="preserve"> PAGEREF _Toc184730575 \h </w:instrText>
            </w:r>
            <w:r w:rsidR="006347CF">
              <w:rPr>
                <w:noProof/>
                <w:webHidden/>
              </w:rPr>
            </w:r>
            <w:r w:rsidR="006347CF">
              <w:rPr>
                <w:noProof/>
                <w:webHidden/>
              </w:rPr>
              <w:fldChar w:fldCharType="separate"/>
            </w:r>
            <w:r w:rsidR="006347CF">
              <w:rPr>
                <w:noProof/>
                <w:webHidden/>
              </w:rPr>
              <w:t>32</w:t>
            </w:r>
            <w:r w:rsidR="006347CF">
              <w:rPr>
                <w:noProof/>
                <w:webHidden/>
              </w:rPr>
              <w:fldChar w:fldCharType="end"/>
            </w:r>
          </w:hyperlink>
        </w:p>
        <w:p w14:paraId="37378D4F" w14:textId="6CCADF48"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6" w:history="1">
            <w:r w:rsidR="006347CF" w:rsidRPr="003E6635">
              <w:rPr>
                <w:rStyle w:val="Hyperlink"/>
                <w:noProof/>
              </w:rPr>
              <w:t>International approaches</w:t>
            </w:r>
            <w:r w:rsidR="006347CF">
              <w:rPr>
                <w:noProof/>
                <w:webHidden/>
              </w:rPr>
              <w:tab/>
            </w:r>
            <w:r w:rsidR="006347CF">
              <w:rPr>
                <w:noProof/>
                <w:webHidden/>
              </w:rPr>
              <w:fldChar w:fldCharType="begin"/>
            </w:r>
            <w:r w:rsidR="006347CF">
              <w:rPr>
                <w:noProof/>
                <w:webHidden/>
              </w:rPr>
              <w:instrText xml:space="preserve"> PAGEREF _Toc184730576 \h </w:instrText>
            </w:r>
            <w:r w:rsidR="006347CF">
              <w:rPr>
                <w:noProof/>
                <w:webHidden/>
              </w:rPr>
            </w:r>
            <w:r w:rsidR="006347CF">
              <w:rPr>
                <w:noProof/>
                <w:webHidden/>
              </w:rPr>
              <w:fldChar w:fldCharType="separate"/>
            </w:r>
            <w:r w:rsidR="006347CF">
              <w:rPr>
                <w:noProof/>
                <w:webHidden/>
              </w:rPr>
              <w:t>32</w:t>
            </w:r>
            <w:r w:rsidR="006347CF">
              <w:rPr>
                <w:noProof/>
                <w:webHidden/>
              </w:rPr>
              <w:fldChar w:fldCharType="end"/>
            </w:r>
          </w:hyperlink>
        </w:p>
        <w:p w14:paraId="6934D3E2" w14:textId="24A3EE6B"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7" w:history="1">
            <w:r w:rsidR="006347CF" w:rsidRPr="003E6635">
              <w:rPr>
                <w:rStyle w:val="Hyperlink"/>
                <w:noProof/>
              </w:rPr>
              <w:t>Domestic approaches</w:t>
            </w:r>
            <w:r w:rsidR="006347CF">
              <w:rPr>
                <w:noProof/>
                <w:webHidden/>
              </w:rPr>
              <w:tab/>
            </w:r>
            <w:r w:rsidR="006347CF">
              <w:rPr>
                <w:noProof/>
                <w:webHidden/>
              </w:rPr>
              <w:fldChar w:fldCharType="begin"/>
            </w:r>
            <w:r w:rsidR="006347CF">
              <w:rPr>
                <w:noProof/>
                <w:webHidden/>
              </w:rPr>
              <w:instrText xml:space="preserve"> PAGEREF _Toc184730577 \h </w:instrText>
            </w:r>
            <w:r w:rsidR="006347CF">
              <w:rPr>
                <w:noProof/>
                <w:webHidden/>
              </w:rPr>
            </w:r>
            <w:r w:rsidR="006347CF">
              <w:rPr>
                <w:noProof/>
                <w:webHidden/>
              </w:rPr>
              <w:fldChar w:fldCharType="separate"/>
            </w:r>
            <w:r w:rsidR="006347CF">
              <w:rPr>
                <w:noProof/>
                <w:webHidden/>
              </w:rPr>
              <w:t>32</w:t>
            </w:r>
            <w:r w:rsidR="006347CF">
              <w:rPr>
                <w:noProof/>
                <w:webHidden/>
              </w:rPr>
              <w:fldChar w:fldCharType="end"/>
            </w:r>
          </w:hyperlink>
        </w:p>
        <w:p w14:paraId="2AB16A2E" w14:textId="068D6EEC"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78" w:history="1">
            <w:r w:rsidR="006347CF" w:rsidRPr="003E6635">
              <w:rPr>
                <w:rStyle w:val="Hyperlink"/>
                <w:noProof/>
              </w:rPr>
              <w:t>Exposure Model (ASEM)</w:t>
            </w:r>
            <w:r w:rsidR="006347CF">
              <w:rPr>
                <w:noProof/>
                <w:webHidden/>
              </w:rPr>
              <w:tab/>
            </w:r>
            <w:r w:rsidR="006347CF">
              <w:rPr>
                <w:noProof/>
                <w:webHidden/>
              </w:rPr>
              <w:fldChar w:fldCharType="begin"/>
            </w:r>
            <w:r w:rsidR="006347CF">
              <w:rPr>
                <w:noProof/>
                <w:webHidden/>
              </w:rPr>
              <w:instrText xml:space="preserve"> PAGEREF _Toc184730578 \h </w:instrText>
            </w:r>
            <w:r w:rsidR="006347CF">
              <w:rPr>
                <w:noProof/>
                <w:webHidden/>
              </w:rPr>
            </w:r>
            <w:r w:rsidR="006347CF">
              <w:rPr>
                <w:noProof/>
                <w:webHidden/>
              </w:rPr>
              <w:fldChar w:fldCharType="separate"/>
            </w:r>
            <w:r w:rsidR="006347CF">
              <w:rPr>
                <w:noProof/>
                <w:webHidden/>
              </w:rPr>
              <w:t>32</w:t>
            </w:r>
            <w:r w:rsidR="006347CF">
              <w:rPr>
                <w:noProof/>
                <w:webHidden/>
              </w:rPr>
              <w:fldChar w:fldCharType="end"/>
            </w:r>
          </w:hyperlink>
        </w:p>
        <w:p w14:paraId="734341D2" w14:textId="5ACDA117"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79" w:history="1">
            <w:r w:rsidR="006347CF" w:rsidRPr="003E6635">
              <w:rPr>
                <w:rStyle w:val="Hyperlink"/>
                <w:noProof/>
              </w:rPr>
              <w:t>How the Australian Sunscreen Exposure Model (ASEM) works</w:t>
            </w:r>
            <w:r w:rsidR="006347CF">
              <w:rPr>
                <w:noProof/>
                <w:webHidden/>
              </w:rPr>
              <w:tab/>
            </w:r>
            <w:r w:rsidR="006347CF">
              <w:rPr>
                <w:noProof/>
                <w:webHidden/>
              </w:rPr>
              <w:fldChar w:fldCharType="begin"/>
            </w:r>
            <w:r w:rsidR="006347CF">
              <w:rPr>
                <w:noProof/>
                <w:webHidden/>
              </w:rPr>
              <w:instrText xml:space="preserve"> PAGEREF _Toc184730579 \h </w:instrText>
            </w:r>
            <w:r w:rsidR="006347CF">
              <w:rPr>
                <w:noProof/>
                <w:webHidden/>
              </w:rPr>
            </w:r>
            <w:r w:rsidR="006347CF">
              <w:rPr>
                <w:noProof/>
                <w:webHidden/>
              </w:rPr>
              <w:fldChar w:fldCharType="separate"/>
            </w:r>
            <w:r w:rsidR="006347CF">
              <w:rPr>
                <w:noProof/>
                <w:webHidden/>
              </w:rPr>
              <w:t>33</w:t>
            </w:r>
            <w:r w:rsidR="006347CF">
              <w:rPr>
                <w:noProof/>
                <w:webHidden/>
              </w:rPr>
              <w:fldChar w:fldCharType="end"/>
            </w:r>
          </w:hyperlink>
        </w:p>
        <w:p w14:paraId="764110B1" w14:textId="48F5F996"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0" w:history="1">
            <w:r w:rsidR="006347CF" w:rsidRPr="003E6635">
              <w:rPr>
                <w:rStyle w:val="Hyperlink"/>
                <w:noProof/>
              </w:rPr>
              <w:t>ASEM Formula</w:t>
            </w:r>
            <w:r w:rsidR="006347CF">
              <w:rPr>
                <w:noProof/>
                <w:webHidden/>
              </w:rPr>
              <w:tab/>
            </w:r>
            <w:r w:rsidR="006347CF">
              <w:rPr>
                <w:noProof/>
                <w:webHidden/>
              </w:rPr>
              <w:fldChar w:fldCharType="begin"/>
            </w:r>
            <w:r w:rsidR="006347CF">
              <w:rPr>
                <w:noProof/>
                <w:webHidden/>
              </w:rPr>
              <w:instrText xml:space="preserve"> PAGEREF _Toc184730580 \h </w:instrText>
            </w:r>
            <w:r w:rsidR="006347CF">
              <w:rPr>
                <w:noProof/>
                <w:webHidden/>
              </w:rPr>
            </w:r>
            <w:r w:rsidR="006347CF">
              <w:rPr>
                <w:noProof/>
                <w:webHidden/>
              </w:rPr>
              <w:fldChar w:fldCharType="separate"/>
            </w:r>
            <w:r w:rsidR="006347CF">
              <w:rPr>
                <w:noProof/>
                <w:webHidden/>
              </w:rPr>
              <w:t>33</w:t>
            </w:r>
            <w:r w:rsidR="006347CF">
              <w:rPr>
                <w:noProof/>
                <w:webHidden/>
              </w:rPr>
              <w:fldChar w:fldCharType="end"/>
            </w:r>
          </w:hyperlink>
        </w:p>
        <w:p w14:paraId="392A5CCC" w14:textId="78D7F8D6"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1" w:history="1">
            <w:r w:rsidR="006347CF" w:rsidRPr="003E6635">
              <w:rPr>
                <w:rStyle w:val="Hyperlink"/>
                <w:noProof/>
              </w:rPr>
              <w:t>ASEM Scenarios</w:t>
            </w:r>
            <w:r w:rsidR="006347CF">
              <w:rPr>
                <w:noProof/>
                <w:webHidden/>
              </w:rPr>
              <w:tab/>
            </w:r>
            <w:r w:rsidR="006347CF">
              <w:rPr>
                <w:noProof/>
                <w:webHidden/>
              </w:rPr>
              <w:fldChar w:fldCharType="begin"/>
            </w:r>
            <w:r w:rsidR="006347CF">
              <w:rPr>
                <w:noProof/>
                <w:webHidden/>
              </w:rPr>
              <w:instrText xml:space="preserve"> PAGEREF _Toc184730581 \h </w:instrText>
            </w:r>
            <w:r w:rsidR="006347CF">
              <w:rPr>
                <w:noProof/>
                <w:webHidden/>
              </w:rPr>
            </w:r>
            <w:r w:rsidR="006347CF">
              <w:rPr>
                <w:noProof/>
                <w:webHidden/>
              </w:rPr>
              <w:fldChar w:fldCharType="separate"/>
            </w:r>
            <w:r w:rsidR="006347CF">
              <w:rPr>
                <w:noProof/>
                <w:webHidden/>
              </w:rPr>
              <w:t>35</w:t>
            </w:r>
            <w:r w:rsidR="006347CF">
              <w:rPr>
                <w:noProof/>
                <w:webHidden/>
              </w:rPr>
              <w:fldChar w:fldCharType="end"/>
            </w:r>
          </w:hyperlink>
        </w:p>
        <w:p w14:paraId="2936D9C0" w14:textId="69062CA9"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2" w:history="1">
            <w:r w:rsidR="006347CF" w:rsidRPr="003E6635">
              <w:rPr>
                <w:rStyle w:val="Hyperlink"/>
                <w:noProof/>
              </w:rPr>
              <w:t>How the ASEM scenarios estimate days sunscreen is applied in a year</w:t>
            </w:r>
            <w:r w:rsidR="006347CF">
              <w:rPr>
                <w:noProof/>
                <w:webHidden/>
              </w:rPr>
              <w:tab/>
            </w:r>
            <w:r w:rsidR="006347CF">
              <w:rPr>
                <w:noProof/>
                <w:webHidden/>
              </w:rPr>
              <w:fldChar w:fldCharType="begin"/>
            </w:r>
            <w:r w:rsidR="006347CF">
              <w:rPr>
                <w:noProof/>
                <w:webHidden/>
              </w:rPr>
              <w:instrText xml:space="preserve"> PAGEREF _Toc184730582 \h </w:instrText>
            </w:r>
            <w:r w:rsidR="006347CF">
              <w:rPr>
                <w:noProof/>
                <w:webHidden/>
              </w:rPr>
            </w:r>
            <w:r w:rsidR="006347CF">
              <w:rPr>
                <w:noProof/>
                <w:webHidden/>
              </w:rPr>
              <w:fldChar w:fldCharType="separate"/>
            </w:r>
            <w:r w:rsidR="006347CF">
              <w:rPr>
                <w:noProof/>
                <w:webHidden/>
              </w:rPr>
              <w:t>35</w:t>
            </w:r>
            <w:r w:rsidR="006347CF">
              <w:rPr>
                <w:noProof/>
                <w:webHidden/>
              </w:rPr>
              <w:fldChar w:fldCharType="end"/>
            </w:r>
          </w:hyperlink>
        </w:p>
        <w:p w14:paraId="384C53D9" w14:textId="2C1E5735"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3" w:history="1">
            <w:r w:rsidR="006347CF" w:rsidRPr="003E6635">
              <w:rPr>
                <w:rStyle w:val="Hyperlink"/>
                <w:noProof/>
              </w:rPr>
              <w:t>Calculations</w:t>
            </w:r>
            <w:r w:rsidR="006347CF" w:rsidRPr="003E6635">
              <w:rPr>
                <w:rStyle w:val="Hyperlink"/>
                <w:noProof/>
                <w:spacing w:val="-6"/>
              </w:rPr>
              <w:t xml:space="preserve"> </w:t>
            </w:r>
            <w:r w:rsidR="006347CF" w:rsidRPr="003E6635">
              <w:rPr>
                <w:rStyle w:val="Hyperlink"/>
                <w:noProof/>
              </w:rPr>
              <w:t>to establish</w:t>
            </w:r>
            <w:r w:rsidR="006347CF" w:rsidRPr="003E6635">
              <w:rPr>
                <w:rStyle w:val="Hyperlink"/>
                <w:noProof/>
                <w:spacing w:val="-6"/>
              </w:rPr>
              <w:t xml:space="preserve"> </w:t>
            </w:r>
            <w:r w:rsidR="006347CF" w:rsidRPr="003E6635">
              <w:rPr>
                <w:rStyle w:val="Hyperlink"/>
                <w:noProof/>
              </w:rPr>
              <w:t>highest estimated average daily sunscreen exposure</w:t>
            </w:r>
            <w:r w:rsidR="006347CF">
              <w:rPr>
                <w:noProof/>
                <w:webHidden/>
              </w:rPr>
              <w:tab/>
            </w:r>
            <w:r w:rsidR="006347CF">
              <w:rPr>
                <w:noProof/>
                <w:webHidden/>
              </w:rPr>
              <w:fldChar w:fldCharType="begin"/>
            </w:r>
            <w:r w:rsidR="006347CF">
              <w:rPr>
                <w:noProof/>
                <w:webHidden/>
              </w:rPr>
              <w:instrText xml:space="preserve"> PAGEREF _Toc184730583 \h </w:instrText>
            </w:r>
            <w:r w:rsidR="006347CF">
              <w:rPr>
                <w:noProof/>
                <w:webHidden/>
              </w:rPr>
            </w:r>
            <w:r w:rsidR="006347CF">
              <w:rPr>
                <w:noProof/>
                <w:webHidden/>
              </w:rPr>
              <w:fldChar w:fldCharType="separate"/>
            </w:r>
            <w:r w:rsidR="006347CF">
              <w:rPr>
                <w:noProof/>
                <w:webHidden/>
              </w:rPr>
              <w:t>40</w:t>
            </w:r>
            <w:r w:rsidR="006347CF">
              <w:rPr>
                <w:noProof/>
                <w:webHidden/>
              </w:rPr>
              <w:fldChar w:fldCharType="end"/>
            </w:r>
          </w:hyperlink>
        </w:p>
        <w:p w14:paraId="63396F0A" w14:textId="35A989A8"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84" w:history="1">
            <w:r w:rsidR="006347CF" w:rsidRPr="003E6635">
              <w:rPr>
                <w:rStyle w:val="Hyperlink"/>
                <w:noProof/>
              </w:rPr>
              <w:t>Option 2 – Scientific Committee on Consumer Safety (SCCS) sunscreen exposure model</w:t>
            </w:r>
            <w:r w:rsidR="006347CF">
              <w:rPr>
                <w:noProof/>
                <w:webHidden/>
              </w:rPr>
              <w:tab/>
            </w:r>
            <w:r w:rsidR="006347CF">
              <w:rPr>
                <w:noProof/>
                <w:webHidden/>
              </w:rPr>
              <w:fldChar w:fldCharType="begin"/>
            </w:r>
            <w:r w:rsidR="006347CF">
              <w:rPr>
                <w:noProof/>
                <w:webHidden/>
              </w:rPr>
              <w:instrText xml:space="preserve"> PAGEREF _Toc184730584 \h </w:instrText>
            </w:r>
            <w:r w:rsidR="006347CF">
              <w:rPr>
                <w:noProof/>
                <w:webHidden/>
              </w:rPr>
            </w:r>
            <w:r w:rsidR="006347CF">
              <w:rPr>
                <w:noProof/>
                <w:webHidden/>
              </w:rPr>
              <w:fldChar w:fldCharType="separate"/>
            </w:r>
            <w:r w:rsidR="006347CF">
              <w:rPr>
                <w:noProof/>
                <w:webHidden/>
              </w:rPr>
              <w:t>41</w:t>
            </w:r>
            <w:r w:rsidR="006347CF">
              <w:rPr>
                <w:noProof/>
                <w:webHidden/>
              </w:rPr>
              <w:fldChar w:fldCharType="end"/>
            </w:r>
          </w:hyperlink>
        </w:p>
        <w:p w14:paraId="2D65D037" w14:textId="3F9D1A7C"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5" w:history="1">
            <w:r w:rsidR="006347CF" w:rsidRPr="003E6635">
              <w:rPr>
                <w:rStyle w:val="Hyperlink"/>
                <w:noProof/>
              </w:rPr>
              <w:t>How</w:t>
            </w:r>
            <w:r w:rsidR="006347CF" w:rsidRPr="003E6635">
              <w:rPr>
                <w:rStyle w:val="Hyperlink"/>
                <w:noProof/>
                <w:spacing w:val="-6"/>
              </w:rPr>
              <w:t xml:space="preserve"> </w:t>
            </w:r>
            <w:r w:rsidR="006347CF" w:rsidRPr="003E6635">
              <w:rPr>
                <w:rStyle w:val="Hyperlink"/>
                <w:noProof/>
              </w:rPr>
              <w:t>the SCCS sunscreen exposure model</w:t>
            </w:r>
            <w:r w:rsidR="006347CF" w:rsidRPr="003E6635">
              <w:rPr>
                <w:rStyle w:val="Hyperlink"/>
                <w:noProof/>
                <w:spacing w:val="-5"/>
              </w:rPr>
              <w:t xml:space="preserve"> </w:t>
            </w:r>
            <w:r w:rsidR="006347CF" w:rsidRPr="003E6635">
              <w:rPr>
                <w:rStyle w:val="Hyperlink"/>
                <w:noProof/>
                <w:spacing w:val="-4"/>
              </w:rPr>
              <w:t>works</w:t>
            </w:r>
            <w:r w:rsidR="006347CF">
              <w:rPr>
                <w:noProof/>
                <w:webHidden/>
              </w:rPr>
              <w:tab/>
            </w:r>
            <w:r w:rsidR="006347CF">
              <w:rPr>
                <w:noProof/>
                <w:webHidden/>
              </w:rPr>
              <w:fldChar w:fldCharType="begin"/>
            </w:r>
            <w:r w:rsidR="006347CF">
              <w:rPr>
                <w:noProof/>
                <w:webHidden/>
              </w:rPr>
              <w:instrText xml:space="preserve"> PAGEREF _Toc184730585 \h </w:instrText>
            </w:r>
            <w:r w:rsidR="006347CF">
              <w:rPr>
                <w:noProof/>
                <w:webHidden/>
              </w:rPr>
            </w:r>
            <w:r w:rsidR="006347CF">
              <w:rPr>
                <w:noProof/>
                <w:webHidden/>
              </w:rPr>
              <w:fldChar w:fldCharType="separate"/>
            </w:r>
            <w:r w:rsidR="006347CF">
              <w:rPr>
                <w:noProof/>
                <w:webHidden/>
              </w:rPr>
              <w:t>41</w:t>
            </w:r>
            <w:r w:rsidR="006347CF">
              <w:rPr>
                <w:noProof/>
                <w:webHidden/>
              </w:rPr>
              <w:fldChar w:fldCharType="end"/>
            </w:r>
          </w:hyperlink>
        </w:p>
        <w:p w14:paraId="35F191F1" w14:textId="6BA12BB3"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6" w:history="1">
            <w:r w:rsidR="006347CF" w:rsidRPr="003E6635">
              <w:rPr>
                <w:rStyle w:val="Hyperlink"/>
                <w:noProof/>
              </w:rPr>
              <w:t>Background</w:t>
            </w:r>
            <w:r w:rsidR="006347CF" w:rsidRPr="003E6635">
              <w:rPr>
                <w:rStyle w:val="Hyperlink"/>
                <w:noProof/>
                <w:spacing w:val="-5"/>
              </w:rPr>
              <w:t xml:space="preserve"> </w:t>
            </w:r>
            <w:r w:rsidR="006347CF" w:rsidRPr="003E6635">
              <w:rPr>
                <w:rStyle w:val="Hyperlink"/>
                <w:noProof/>
              </w:rPr>
              <w:t>for</w:t>
            </w:r>
            <w:r w:rsidR="006347CF" w:rsidRPr="003E6635">
              <w:rPr>
                <w:rStyle w:val="Hyperlink"/>
                <w:noProof/>
                <w:spacing w:val="-5"/>
              </w:rPr>
              <w:t xml:space="preserve"> </w:t>
            </w:r>
            <w:r w:rsidR="006347CF" w:rsidRPr="003E6635">
              <w:rPr>
                <w:rStyle w:val="Hyperlink"/>
                <w:noProof/>
              </w:rPr>
              <w:t>the</w:t>
            </w:r>
            <w:r w:rsidR="006347CF" w:rsidRPr="003E6635">
              <w:rPr>
                <w:rStyle w:val="Hyperlink"/>
                <w:noProof/>
                <w:spacing w:val="-2"/>
              </w:rPr>
              <w:t xml:space="preserve"> </w:t>
            </w:r>
            <w:r w:rsidR="006347CF" w:rsidRPr="003E6635">
              <w:rPr>
                <w:rStyle w:val="Hyperlink"/>
                <w:noProof/>
                <w:spacing w:val="-4"/>
              </w:rPr>
              <w:t>SCCS</w:t>
            </w:r>
            <w:r w:rsidR="006347CF" w:rsidRPr="003E6635">
              <w:rPr>
                <w:rStyle w:val="Hyperlink"/>
                <w:noProof/>
              </w:rPr>
              <w:t xml:space="preserve"> estimated</w:t>
            </w:r>
            <w:r w:rsidR="006347CF" w:rsidRPr="003E6635">
              <w:rPr>
                <w:rStyle w:val="Hyperlink"/>
                <w:noProof/>
                <w:spacing w:val="-5"/>
              </w:rPr>
              <w:t xml:space="preserve"> </w:t>
            </w:r>
            <w:r w:rsidR="006347CF" w:rsidRPr="003E6635">
              <w:rPr>
                <w:rStyle w:val="Hyperlink"/>
                <w:noProof/>
              </w:rPr>
              <w:t>daily</w:t>
            </w:r>
            <w:r w:rsidR="006347CF" w:rsidRPr="003E6635">
              <w:rPr>
                <w:rStyle w:val="Hyperlink"/>
                <w:noProof/>
                <w:spacing w:val="-5"/>
              </w:rPr>
              <w:t xml:space="preserve"> </w:t>
            </w:r>
            <w:r w:rsidR="006347CF" w:rsidRPr="003E6635">
              <w:rPr>
                <w:rStyle w:val="Hyperlink"/>
                <w:noProof/>
              </w:rPr>
              <w:t>sunscreen</w:t>
            </w:r>
            <w:r w:rsidR="006347CF" w:rsidRPr="003E6635">
              <w:rPr>
                <w:rStyle w:val="Hyperlink"/>
                <w:noProof/>
                <w:spacing w:val="-5"/>
              </w:rPr>
              <w:t xml:space="preserve"> </w:t>
            </w:r>
            <w:r w:rsidR="006347CF" w:rsidRPr="003E6635">
              <w:rPr>
                <w:rStyle w:val="Hyperlink"/>
                <w:noProof/>
              </w:rPr>
              <w:t>exposure</w:t>
            </w:r>
            <w:r w:rsidR="006347CF" w:rsidRPr="003E6635">
              <w:rPr>
                <w:rStyle w:val="Hyperlink"/>
                <w:noProof/>
                <w:spacing w:val="-3"/>
              </w:rPr>
              <w:t xml:space="preserve"> </w:t>
            </w:r>
            <w:r w:rsidR="006347CF" w:rsidRPr="003E6635">
              <w:rPr>
                <w:rStyle w:val="Hyperlink"/>
                <w:noProof/>
              </w:rPr>
              <w:t>values</w:t>
            </w:r>
            <w:r w:rsidR="006347CF">
              <w:rPr>
                <w:noProof/>
                <w:webHidden/>
              </w:rPr>
              <w:tab/>
            </w:r>
            <w:r w:rsidR="006347CF">
              <w:rPr>
                <w:noProof/>
                <w:webHidden/>
              </w:rPr>
              <w:fldChar w:fldCharType="begin"/>
            </w:r>
            <w:r w:rsidR="006347CF">
              <w:rPr>
                <w:noProof/>
                <w:webHidden/>
              </w:rPr>
              <w:instrText xml:space="preserve"> PAGEREF _Toc184730586 \h </w:instrText>
            </w:r>
            <w:r w:rsidR="006347CF">
              <w:rPr>
                <w:noProof/>
                <w:webHidden/>
              </w:rPr>
            </w:r>
            <w:r w:rsidR="006347CF">
              <w:rPr>
                <w:noProof/>
                <w:webHidden/>
              </w:rPr>
              <w:fldChar w:fldCharType="separate"/>
            </w:r>
            <w:r w:rsidR="006347CF">
              <w:rPr>
                <w:noProof/>
                <w:webHidden/>
              </w:rPr>
              <w:t>42</w:t>
            </w:r>
            <w:r w:rsidR="006347CF">
              <w:rPr>
                <w:noProof/>
                <w:webHidden/>
              </w:rPr>
              <w:fldChar w:fldCharType="end"/>
            </w:r>
          </w:hyperlink>
        </w:p>
        <w:p w14:paraId="0F789ABA" w14:textId="32373311"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87" w:history="1">
            <w:r w:rsidR="006347CF" w:rsidRPr="003E6635">
              <w:rPr>
                <w:rStyle w:val="Hyperlink"/>
                <w:noProof/>
              </w:rPr>
              <w:t>How</w:t>
            </w:r>
            <w:r w:rsidR="006347CF" w:rsidRPr="003E6635">
              <w:rPr>
                <w:rStyle w:val="Hyperlink"/>
                <w:noProof/>
                <w:spacing w:val="-9"/>
              </w:rPr>
              <w:t xml:space="preserve"> </w:t>
            </w:r>
            <w:r w:rsidR="006347CF" w:rsidRPr="003E6635">
              <w:rPr>
                <w:rStyle w:val="Hyperlink"/>
                <w:noProof/>
              </w:rPr>
              <w:t>the</w:t>
            </w:r>
            <w:r w:rsidR="006347CF" w:rsidRPr="003E6635">
              <w:rPr>
                <w:rStyle w:val="Hyperlink"/>
                <w:noProof/>
                <w:spacing w:val="-6"/>
              </w:rPr>
              <w:t xml:space="preserve"> </w:t>
            </w:r>
            <w:r w:rsidR="006347CF" w:rsidRPr="003E6635">
              <w:rPr>
                <w:rStyle w:val="Hyperlink"/>
                <w:noProof/>
              </w:rPr>
              <w:t>SCCS</w:t>
            </w:r>
            <w:r w:rsidR="006347CF" w:rsidRPr="003E6635">
              <w:rPr>
                <w:rStyle w:val="Hyperlink"/>
                <w:noProof/>
                <w:spacing w:val="-9"/>
              </w:rPr>
              <w:t xml:space="preserve"> </w:t>
            </w:r>
            <w:r w:rsidR="006347CF" w:rsidRPr="003E6635">
              <w:rPr>
                <w:rStyle w:val="Hyperlink"/>
                <w:noProof/>
              </w:rPr>
              <w:t>model</w:t>
            </w:r>
            <w:r w:rsidR="006347CF" w:rsidRPr="003E6635">
              <w:rPr>
                <w:rStyle w:val="Hyperlink"/>
                <w:noProof/>
                <w:spacing w:val="-7"/>
              </w:rPr>
              <w:t xml:space="preserve"> </w:t>
            </w:r>
            <w:r w:rsidR="006347CF" w:rsidRPr="003E6635">
              <w:rPr>
                <w:rStyle w:val="Hyperlink"/>
                <w:noProof/>
              </w:rPr>
              <w:t>considers</w:t>
            </w:r>
            <w:r w:rsidR="006347CF" w:rsidRPr="003E6635">
              <w:rPr>
                <w:rStyle w:val="Hyperlink"/>
                <w:noProof/>
                <w:spacing w:val="-9"/>
              </w:rPr>
              <w:t xml:space="preserve"> </w:t>
            </w:r>
            <w:r w:rsidR="006347CF" w:rsidRPr="003E6635">
              <w:rPr>
                <w:rStyle w:val="Hyperlink"/>
                <w:noProof/>
              </w:rPr>
              <w:t>exposure</w:t>
            </w:r>
            <w:r w:rsidR="006347CF" w:rsidRPr="003E6635">
              <w:rPr>
                <w:rStyle w:val="Hyperlink"/>
                <w:noProof/>
                <w:spacing w:val="-7"/>
              </w:rPr>
              <w:t xml:space="preserve"> </w:t>
            </w:r>
            <w:r w:rsidR="006347CF" w:rsidRPr="003E6635">
              <w:rPr>
                <w:rStyle w:val="Hyperlink"/>
                <w:noProof/>
              </w:rPr>
              <w:t>in</w:t>
            </w:r>
            <w:r w:rsidR="006347CF" w:rsidRPr="003E6635">
              <w:rPr>
                <w:rStyle w:val="Hyperlink"/>
                <w:noProof/>
                <w:spacing w:val="-9"/>
              </w:rPr>
              <w:t xml:space="preserve"> </w:t>
            </w:r>
            <w:r w:rsidR="006347CF" w:rsidRPr="003E6635">
              <w:rPr>
                <w:rStyle w:val="Hyperlink"/>
                <w:noProof/>
                <w:spacing w:val="-2"/>
              </w:rPr>
              <w:t>children</w:t>
            </w:r>
            <w:r w:rsidR="006347CF">
              <w:rPr>
                <w:noProof/>
                <w:webHidden/>
              </w:rPr>
              <w:tab/>
            </w:r>
            <w:r w:rsidR="006347CF">
              <w:rPr>
                <w:noProof/>
                <w:webHidden/>
              </w:rPr>
              <w:fldChar w:fldCharType="begin"/>
            </w:r>
            <w:r w:rsidR="006347CF">
              <w:rPr>
                <w:noProof/>
                <w:webHidden/>
              </w:rPr>
              <w:instrText xml:space="preserve"> PAGEREF _Toc184730587 \h </w:instrText>
            </w:r>
            <w:r w:rsidR="006347CF">
              <w:rPr>
                <w:noProof/>
                <w:webHidden/>
              </w:rPr>
            </w:r>
            <w:r w:rsidR="006347CF">
              <w:rPr>
                <w:noProof/>
                <w:webHidden/>
              </w:rPr>
              <w:fldChar w:fldCharType="separate"/>
            </w:r>
            <w:r w:rsidR="006347CF">
              <w:rPr>
                <w:noProof/>
                <w:webHidden/>
              </w:rPr>
              <w:t>43</w:t>
            </w:r>
            <w:r w:rsidR="006347CF">
              <w:rPr>
                <w:noProof/>
                <w:webHidden/>
              </w:rPr>
              <w:fldChar w:fldCharType="end"/>
            </w:r>
          </w:hyperlink>
        </w:p>
        <w:p w14:paraId="20D492AF" w14:textId="63BDFAC3"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88" w:history="1">
            <w:r w:rsidR="006347CF" w:rsidRPr="003E6635">
              <w:rPr>
                <w:rStyle w:val="Hyperlink"/>
                <w:noProof/>
              </w:rPr>
              <w:t>Option 3 – Status Quo</w:t>
            </w:r>
            <w:r w:rsidR="006347CF">
              <w:rPr>
                <w:noProof/>
                <w:webHidden/>
              </w:rPr>
              <w:tab/>
            </w:r>
            <w:r w:rsidR="006347CF">
              <w:rPr>
                <w:noProof/>
                <w:webHidden/>
              </w:rPr>
              <w:fldChar w:fldCharType="begin"/>
            </w:r>
            <w:r w:rsidR="006347CF">
              <w:rPr>
                <w:noProof/>
                <w:webHidden/>
              </w:rPr>
              <w:instrText xml:space="preserve"> PAGEREF _Toc184730588 \h </w:instrText>
            </w:r>
            <w:r w:rsidR="006347CF">
              <w:rPr>
                <w:noProof/>
                <w:webHidden/>
              </w:rPr>
            </w:r>
            <w:r w:rsidR="006347CF">
              <w:rPr>
                <w:noProof/>
                <w:webHidden/>
              </w:rPr>
              <w:fldChar w:fldCharType="separate"/>
            </w:r>
            <w:r w:rsidR="006347CF">
              <w:rPr>
                <w:noProof/>
                <w:webHidden/>
              </w:rPr>
              <w:t>43</w:t>
            </w:r>
            <w:r w:rsidR="006347CF">
              <w:rPr>
                <w:noProof/>
                <w:webHidden/>
              </w:rPr>
              <w:fldChar w:fldCharType="end"/>
            </w:r>
          </w:hyperlink>
        </w:p>
        <w:p w14:paraId="160C177F" w14:textId="3BF68D19"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589" w:history="1">
            <w:r w:rsidR="006347CF" w:rsidRPr="003E6635">
              <w:rPr>
                <w:rStyle w:val="Hyperlink"/>
                <w:noProof/>
              </w:rPr>
              <w:t>4.</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What is the likely net benefit of each option?</w:t>
            </w:r>
            <w:r w:rsidR="006347CF">
              <w:rPr>
                <w:noProof/>
                <w:webHidden/>
              </w:rPr>
              <w:tab/>
            </w:r>
            <w:r w:rsidR="006347CF">
              <w:rPr>
                <w:noProof/>
                <w:webHidden/>
              </w:rPr>
              <w:fldChar w:fldCharType="begin"/>
            </w:r>
            <w:r w:rsidR="006347CF">
              <w:rPr>
                <w:noProof/>
                <w:webHidden/>
              </w:rPr>
              <w:instrText xml:space="preserve"> PAGEREF _Toc184730589 \h </w:instrText>
            </w:r>
            <w:r w:rsidR="006347CF">
              <w:rPr>
                <w:noProof/>
                <w:webHidden/>
              </w:rPr>
            </w:r>
            <w:r w:rsidR="006347CF">
              <w:rPr>
                <w:noProof/>
                <w:webHidden/>
              </w:rPr>
              <w:fldChar w:fldCharType="separate"/>
            </w:r>
            <w:r w:rsidR="006347CF">
              <w:rPr>
                <w:noProof/>
                <w:webHidden/>
              </w:rPr>
              <w:t>43</w:t>
            </w:r>
            <w:r w:rsidR="006347CF">
              <w:rPr>
                <w:noProof/>
                <w:webHidden/>
              </w:rPr>
              <w:fldChar w:fldCharType="end"/>
            </w:r>
          </w:hyperlink>
        </w:p>
        <w:p w14:paraId="68EE2765" w14:textId="63051A27"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90" w:history="1">
            <w:r w:rsidR="006347CF" w:rsidRPr="003E6635">
              <w:rPr>
                <w:rStyle w:val="Hyperlink"/>
                <w:noProof/>
              </w:rPr>
              <w:t>Consideration of regulatory cost</w:t>
            </w:r>
            <w:r w:rsidR="006347CF">
              <w:rPr>
                <w:noProof/>
                <w:webHidden/>
              </w:rPr>
              <w:tab/>
            </w:r>
            <w:r w:rsidR="006347CF">
              <w:rPr>
                <w:noProof/>
                <w:webHidden/>
              </w:rPr>
              <w:fldChar w:fldCharType="begin"/>
            </w:r>
            <w:r w:rsidR="006347CF">
              <w:rPr>
                <w:noProof/>
                <w:webHidden/>
              </w:rPr>
              <w:instrText xml:space="preserve"> PAGEREF _Toc184730590 \h </w:instrText>
            </w:r>
            <w:r w:rsidR="006347CF">
              <w:rPr>
                <w:noProof/>
                <w:webHidden/>
              </w:rPr>
            </w:r>
            <w:r w:rsidR="006347CF">
              <w:rPr>
                <w:noProof/>
                <w:webHidden/>
              </w:rPr>
              <w:fldChar w:fldCharType="separate"/>
            </w:r>
            <w:r w:rsidR="006347CF">
              <w:rPr>
                <w:noProof/>
                <w:webHidden/>
              </w:rPr>
              <w:t>43</w:t>
            </w:r>
            <w:r w:rsidR="006347CF">
              <w:rPr>
                <w:noProof/>
                <w:webHidden/>
              </w:rPr>
              <w:fldChar w:fldCharType="end"/>
            </w:r>
          </w:hyperlink>
        </w:p>
        <w:p w14:paraId="136A39BE" w14:textId="4A2241DA"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1" w:history="1">
            <w:r w:rsidR="006347CF" w:rsidRPr="003E6635">
              <w:rPr>
                <w:rStyle w:val="Hyperlink"/>
                <w:noProof/>
              </w:rPr>
              <w:t>Net benefit based on qualitative analysis</w:t>
            </w:r>
            <w:r w:rsidR="006347CF">
              <w:rPr>
                <w:noProof/>
                <w:webHidden/>
              </w:rPr>
              <w:tab/>
            </w:r>
            <w:r w:rsidR="006347CF">
              <w:rPr>
                <w:noProof/>
                <w:webHidden/>
              </w:rPr>
              <w:fldChar w:fldCharType="begin"/>
            </w:r>
            <w:r w:rsidR="006347CF">
              <w:rPr>
                <w:noProof/>
                <w:webHidden/>
              </w:rPr>
              <w:instrText xml:space="preserve"> PAGEREF _Toc184730591 \h </w:instrText>
            </w:r>
            <w:r w:rsidR="006347CF">
              <w:rPr>
                <w:noProof/>
                <w:webHidden/>
              </w:rPr>
            </w:r>
            <w:r w:rsidR="006347CF">
              <w:rPr>
                <w:noProof/>
                <w:webHidden/>
              </w:rPr>
              <w:fldChar w:fldCharType="separate"/>
            </w:r>
            <w:r w:rsidR="006347CF">
              <w:rPr>
                <w:noProof/>
                <w:webHidden/>
              </w:rPr>
              <w:t>45</w:t>
            </w:r>
            <w:r w:rsidR="006347CF">
              <w:rPr>
                <w:noProof/>
                <w:webHidden/>
              </w:rPr>
              <w:fldChar w:fldCharType="end"/>
            </w:r>
          </w:hyperlink>
        </w:p>
        <w:p w14:paraId="6D35DEA6" w14:textId="028378DC"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2" w:history="1">
            <w:r w:rsidR="006347CF" w:rsidRPr="003E6635">
              <w:rPr>
                <w:rStyle w:val="Hyperlink"/>
                <w:noProof/>
              </w:rPr>
              <w:t>Impact on importers and exporters of sunscreens</w:t>
            </w:r>
            <w:r w:rsidR="006347CF">
              <w:rPr>
                <w:noProof/>
                <w:webHidden/>
              </w:rPr>
              <w:tab/>
            </w:r>
            <w:r w:rsidR="006347CF">
              <w:rPr>
                <w:noProof/>
                <w:webHidden/>
              </w:rPr>
              <w:fldChar w:fldCharType="begin"/>
            </w:r>
            <w:r w:rsidR="006347CF">
              <w:rPr>
                <w:noProof/>
                <w:webHidden/>
              </w:rPr>
              <w:instrText xml:space="preserve"> PAGEREF _Toc184730592 \h </w:instrText>
            </w:r>
            <w:r w:rsidR="006347CF">
              <w:rPr>
                <w:noProof/>
                <w:webHidden/>
              </w:rPr>
            </w:r>
            <w:r w:rsidR="006347CF">
              <w:rPr>
                <w:noProof/>
                <w:webHidden/>
              </w:rPr>
              <w:fldChar w:fldCharType="separate"/>
            </w:r>
            <w:r w:rsidR="006347CF">
              <w:rPr>
                <w:noProof/>
                <w:webHidden/>
              </w:rPr>
              <w:t>50</w:t>
            </w:r>
            <w:r w:rsidR="006347CF">
              <w:rPr>
                <w:noProof/>
                <w:webHidden/>
              </w:rPr>
              <w:fldChar w:fldCharType="end"/>
            </w:r>
          </w:hyperlink>
        </w:p>
        <w:p w14:paraId="46AB8216" w14:textId="2129F56F"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3" w:history="1">
            <w:r w:rsidR="006347CF" w:rsidRPr="003E6635">
              <w:rPr>
                <w:rStyle w:val="Hyperlink"/>
                <w:noProof/>
              </w:rPr>
              <w:t>Comparison of qualitative regulatory costs for each option</w:t>
            </w:r>
            <w:r w:rsidR="006347CF">
              <w:rPr>
                <w:noProof/>
                <w:webHidden/>
              </w:rPr>
              <w:tab/>
            </w:r>
            <w:r w:rsidR="006347CF">
              <w:rPr>
                <w:noProof/>
                <w:webHidden/>
              </w:rPr>
              <w:fldChar w:fldCharType="begin"/>
            </w:r>
            <w:r w:rsidR="006347CF">
              <w:rPr>
                <w:noProof/>
                <w:webHidden/>
              </w:rPr>
              <w:instrText xml:space="preserve"> PAGEREF _Toc184730593 \h </w:instrText>
            </w:r>
            <w:r w:rsidR="006347CF">
              <w:rPr>
                <w:noProof/>
                <w:webHidden/>
              </w:rPr>
            </w:r>
            <w:r w:rsidR="006347CF">
              <w:rPr>
                <w:noProof/>
                <w:webHidden/>
              </w:rPr>
              <w:fldChar w:fldCharType="separate"/>
            </w:r>
            <w:r w:rsidR="006347CF">
              <w:rPr>
                <w:noProof/>
                <w:webHidden/>
              </w:rPr>
              <w:t>51</w:t>
            </w:r>
            <w:r w:rsidR="006347CF">
              <w:rPr>
                <w:noProof/>
                <w:webHidden/>
              </w:rPr>
              <w:fldChar w:fldCharType="end"/>
            </w:r>
          </w:hyperlink>
        </w:p>
        <w:p w14:paraId="3CAA6287" w14:textId="0D6B53C4"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94" w:history="1">
            <w:r w:rsidR="006347CF" w:rsidRPr="003E6635">
              <w:rPr>
                <w:rStyle w:val="Hyperlink"/>
                <w:noProof/>
              </w:rPr>
              <w:t>Option 1 – Australian Sunscreen Exposure Model (ASEM)</w:t>
            </w:r>
            <w:r w:rsidR="006347CF">
              <w:rPr>
                <w:noProof/>
                <w:webHidden/>
              </w:rPr>
              <w:tab/>
            </w:r>
            <w:r w:rsidR="006347CF">
              <w:rPr>
                <w:noProof/>
                <w:webHidden/>
              </w:rPr>
              <w:fldChar w:fldCharType="begin"/>
            </w:r>
            <w:r w:rsidR="006347CF">
              <w:rPr>
                <w:noProof/>
                <w:webHidden/>
              </w:rPr>
              <w:instrText xml:space="preserve"> PAGEREF _Toc184730594 \h </w:instrText>
            </w:r>
            <w:r w:rsidR="006347CF">
              <w:rPr>
                <w:noProof/>
                <w:webHidden/>
              </w:rPr>
            </w:r>
            <w:r w:rsidR="006347CF">
              <w:rPr>
                <w:noProof/>
                <w:webHidden/>
              </w:rPr>
              <w:fldChar w:fldCharType="separate"/>
            </w:r>
            <w:r w:rsidR="006347CF">
              <w:rPr>
                <w:noProof/>
                <w:webHidden/>
              </w:rPr>
              <w:t>52</w:t>
            </w:r>
            <w:r w:rsidR="006347CF">
              <w:rPr>
                <w:noProof/>
                <w:webHidden/>
              </w:rPr>
              <w:fldChar w:fldCharType="end"/>
            </w:r>
          </w:hyperlink>
        </w:p>
        <w:p w14:paraId="6F92BB64" w14:textId="2A4F020D"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5" w:history="1">
            <w:r w:rsidR="006347CF" w:rsidRPr="003E6635">
              <w:rPr>
                <w:rStyle w:val="Hyperlink"/>
                <w:noProof/>
              </w:rPr>
              <w:t>Reasons for Option 1</w:t>
            </w:r>
            <w:r w:rsidR="006347CF">
              <w:rPr>
                <w:noProof/>
                <w:webHidden/>
              </w:rPr>
              <w:tab/>
            </w:r>
            <w:r w:rsidR="006347CF">
              <w:rPr>
                <w:noProof/>
                <w:webHidden/>
              </w:rPr>
              <w:fldChar w:fldCharType="begin"/>
            </w:r>
            <w:r w:rsidR="006347CF">
              <w:rPr>
                <w:noProof/>
                <w:webHidden/>
              </w:rPr>
              <w:instrText xml:space="preserve"> PAGEREF _Toc184730595 \h </w:instrText>
            </w:r>
            <w:r w:rsidR="006347CF">
              <w:rPr>
                <w:noProof/>
                <w:webHidden/>
              </w:rPr>
            </w:r>
            <w:r w:rsidR="006347CF">
              <w:rPr>
                <w:noProof/>
                <w:webHidden/>
              </w:rPr>
              <w:fldChar w:fldCharType="separate"/>
            </w:r>
            <w:r w:rsidR="006347CF">
              <w:rPr>
                <w:noProof/>
                <w:webHidden/>
              </w:rPr>
              <w:t>52</w:t>
            </w:r>
            <w:r w:rsidR="006347CF">
              <w:rPr>
                <w:noProof/>
                <w:webHidden/>
              </w:rPr>
              <w:fldChar w:fldCharType="end"/>
            </w:r>
          </w:hyperlink>
        </w:p>
        <w:p w14:paraId="6B2BF02C" w14:textId="59ADBAB1"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6" w:history="1">
            <w:r w:rsidR="006347CF" w:rsidRPr="003E6635">
              <w:rPr>
                <w:rStyle w:val="Hyperlink"/>
                <w:noProof/>
              </w:rPr>
              <w:t>Reasons against Option 1</w:t>
            </w:r>
            <w:r w:rsidR="006347CF">
              <w:rPr>
                <w:noProof/>
                <w:webHidden/>
              </w:rPr>
              <w:tab/>
            </w:r>
            <w:r w:rsidR="006347CF">
              <w:rPr>
                <w:noProof/>
                <w:webHidden/>
              </w:rPr>
              <w:fldChar w:fldCharType="begin"/>
            </w:r>
            <w:r w:rsidR="006347CF">
              <w:rPr>
                <w:noProof/>
                <w:webHidden/>
              </w:rPr>
              <w:instrText xml:space="preserve"> PAGEREF _Toc184730596 \h </w:instrText>
            </w:r>
            <w:r w:rsidR="006347CF">
              <w:rPr>
                <w:noProof/>
                <w:webHidden/>
              </w:rPr>
            </w:r>
            <w:r w:rsidR="006347CF">
              <w:rPr>
                <w:noProof/>
                <w:webHidden/>
              </w:rPr>
              <w:fldChar w:fldCharType="separate"/>
            </w:r>
            <w:r w:rsidR="006347CF">
              <w:rPr>
                <w:noProof/>
                <w:webHidden/>
              </w:rPr>
              <w:t>53</w:t>
            </w:r>
            <w:r w:rsidR="006347CF">
              <w:rPr>
                <w:noProof/>
                <w:webHidden/>
              </w:rPr>
              <w:fldChar w:fldCharType="end"/>
            </w:r>
          </w:hyperlink>
        </w:p>
        <w:p w14:paraId="0FA9CA23" w14:textId="5E718BEC"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597" w:history="1">
            <w:r w:rsidR="006347CF" w:rsidRPr="003E6635">
              <w:rPr>
                <w:rStyle w:val="Hyperlink"/>
                <w:noProof/>
              </w:rPr>
              <w:t>Option 2 – SCCS sunscreen exposure model</w:t>
            </w:r>
            <w:r w:rsidR="006347CF">
              <w:rPr>
                <w:noProof/>
                <w:webHidden/>
              </w:rPr>
              <w:tab/>
            </w:r>
            <w:r w:rsidR="006347CF">
              <w:rPr>
                <w:noProof/>
                <w:webHidden/>
              </w:rPr>
              <w:fldChar w:fldCharType="begin"/>
            </w:r>
            <w:r w:rsidR="006347CF">
              <w:rPr>
                <w:noProof/>
                <w:webHidden/>
              </w:rPr>
              <w:instrText xml:space="preserve"> PAGEREF _Toc184730597 \h </w:instrText>
            </w:r>
            <w:r w:rsidR="006347CF">
              <w:rPr>
                <w:noProof/>
                <w:webHidden/>
              </w:rPr>
            </w:r>
            <w:r w:rsidR="006347CF">
              <w:rPr>
                <w:noProof/>
                <w:webHidden/>
              </w:rPr>
              <w:fldChar w:fldCharType="separate"/>
            </w:r>
            <w:r w:rsidR="006347CF">
              <w:rPr>
                <w:noProof/>
                <w:webHidden/>
              </w:rPr>
              <w:t>54</w:t>
            </w:r>
            <w:r w:rsidR="006347CF">
              <w:rPr>
                <w:noProof/>
                <w:webHidden/>
              </w:rPr>
              <w:fldChar w:fldCharType="end"/>
            </w:r>
          </w:hyperlink>
        </w:p>
        <w:p w14:paraId="7FBC67D1" w14:textId="1D56D029"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8" w:history="1">
            <w:r w:rsidR="006347CF" w:rsidRPr="003E6635">
              <w:rPr>
                <w:rStyle w:val="Hyperlink"/>
                <w:noProof/>
              </w:rPr>
              <w:t>Reasons for Option 2</w:t>
            </w:r>
            <w:r w:rsidR="006347CF">
              <w:rPr>
                <w:noProof/>
                <w:webHidden/>
              </w:rPr>
              <w:tab/>
            </w:r>
            <w:r w:rsidR="006347CF">
              <w:rPr>
                <w:noProof/>
                <w:webHidden/>
              </w:rPr>
              <w:fldChar w:fldCharType="begin"/>
            </w:r>
            <w:r w:rsidR="006347CF">
              <w:rPr>
                <w:noProof/>
                <w:webHidden/>
              </w:rPr>
              <w:instrText xml:space="preserve"> PAGEREF _Toc184730598 \h </w:instrText>
            </w:r>
            <w:r w:rsidR="006347CF">
              <w:rPr>
                <w:noProof/>
                <w:webHidden/>
              </w:rPr>
            </w:r>
            <w:r w:rsidR="006347CF">
              <w:rPr>
                <w:noProof/>
                <w:webHidden/>
              </w:rPr>
              <w:fldChar w:fldCharType="separate"/>
            </w:r>
            <w:r w:rsidR="006347CF">
              <w:rPr>
                <w:noProof/>
                <w:webHidden/>
              </w:rPr>
              <w:t>54</w:t>
            </w:r>
            <w:r w:rsidR="006347CF">
              <w:rPr>
                <w:noProof/>
                <w:webHidden/>
              </w:rPr>
              <w:fldChar w:fldCharType="end"/>
            </w:r>
          </w:hyperlink>
        </w:p>
        <w:p w14:paraId="79E7CB96" w14:textId="39A7ABB9"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599" w:history="1">
            <w:r w:rsidR="006347CF" w:rsidRPr="003E6635">
              <w:rPr>
                <w:rStyle w:val="Hyperlink"/>
                <w:noProof/>
              </w:rPr>
              <w:t>Reasons against Option 2</w:t>
            </w:r>
            <w:r w:rsidR="006347CF">
              <w:rPr>
                <w:noProof/>
                <w:webHidden/>
              </w:rPr>
              <w:tab/>
            </w:r>
            <w:r w:rsidR="006347CF">
              <w:rPr>
                <w:noProof/>
                <w:webHidden/>
              </w:rPr>
              <w:fldChar w:fldCharType="begin"/>
            </w:r>
            <w:r w:rsidR="006347CF">
              <w:rPr>
                <w:noProof/>
                <w:webHidden/>
              </w:rPr>
              <w:instrText xml:space="preserve"> PAGEREF _Toc184730599 \h </w:instrText>
            </w:r>
            <w:r w:rsidR="006347CF">
              <w:rPr>
                <w:noProof/>
                <w:webHidden/>
              </w:rPr>
            </w:r>
            <w:r w:rsidR="006347CF">
              <w:rPr>
                <w:noProof/>
                <w:webHidden/>
              </w:rPr>
              <w:fldChar w:fldCharType="separate"/>
            </w:r>
            <w:r w:rsidR="006347CF">
              <w:rPr>
                <w:noProof/>
                <w:webHidden/>
              </w:rPr>
              <w:t>54</w:t>
            </w:r>
            <w:r w:rsidR="006347CF">
              <w:rPr>
                <w:noProof/>
                <w:webHidden/>
              </w:rPr>
              <w:fldChar w:fldCharType="end"/>
            </w:r>
          </w:hyperlink>
        </w:p>
        <w:p w14:paraId="4C7A33B3" w14:textId="3DD6B592"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00" w:history="1">
            <w:r w:rsidR="006347CF" w:rsidRPr="003E6635">
              <w:rPr>
                <w:rStyle w:val="Hyperlink"/>
                <w:noProof/>
              </w:rPr>
              <w:t>Option 3 – Status Quo</w:t>
            </w:r>
            <w:r w:rsidR="006347CF">
              <w:rPr>
                <w:noProof/>
                <w:webHidden/>
              </w:rPr>
              <w:tab/>
            </w:r>
            <w:r w:rsidR="006347CF">
              <w:rPr>
                <w:noProof/>
                <w:webHidden/>
              </w:rPr>
              <w:fldChar w:fldCharType="begin"/>
            </w:r>
            <w:r w:rsidR="006347CF">
              <w:rPr>
                <w:noProof/>
                <w:webHidden/>
              </w:rPr>
              <w:instrText xml:space="preserve"> PAGEREF _Toc184730600 \h </w:instrText>
            </w:r>
            <w:r w:rsidR="006347CF">
              <w:rPr>
                <w:noProof/>
                <w:webHidden/>
              </w:rPr>
            </w:r>
            <w:r w:rsidR="006347CF">
              <w:rPr>
                <w:noProof/>
                <w:webHidden/>
              </w:rPr>
              <w:fldChar w:fldCharType="separate"/>
            </w:r>
            <w:r w:rsidR="006347CF">
              <w:rPr>
                <w:noProof/>
                <w:webHidden/>
              </w:rPr>
              <w:t>55</w:t>
            </w:r>
            <w:r w:rsidR="006347CF">
              <w:rPr>
                <w:noProof/>
                <w:webHidden/>
              </w:rPr>
              <w:fldChar w:fldCharType="end"/>
            </w:r>
          </w:hyperlink>
        </w:p>
        <w:p w14:paraId="071E3DC3" w14:textId="33269666"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1" w:history="1">
            <w:r w:rsidR="006347CF" w:rsidRPr="003E6635">
              <w:rPr>
                <w:rStyle w:val="Hyperlink"/>
                <w:noProof/>
              </w:rPr>
              <w:t>Reasons for Option 3</w:t>
            </w:r>
            <w:r w:rsidR="006347CF">
              <w:rPr>
                <w:noProof/>
                <w:webHidden/>
              </w:rPr>
              <w:tab/>
            </w:r>
            <w:r w:rsidR="006347CF">
              <w:rPr>
                <w:noProof/>
                <w:webHidden/>
              </w:rPr>
              <w:fldChar w:fldCharType="begin"/>
            </w:r>
            <w:r w:rsidR="006347CF">
              <w:rPr>
                <w:noProof/>
                <w:webHidden/>
              </w:rPr>
              <w:instrText xml:space="preserve"> PAGEREF _Toc184730601 \h </w:instrText>
            </w:r>
            <w:r w:rsidR="006347CF">
              <w:rPr>
                <w:noProof/>
                <w:webHidden/>
              </w:rPr>
            </w:r>
            <w:r w:rsidR="006347CF">
              <w:rPr>
                <w:noProof/>
                <w:webHidden/>
              </w:rPr>
              <w:fldChar w:fldCharType="separate"/>
            </w:r>
            <w:r w:rsidR="006347CF">
              <w:rPr>
                <w:noProof/>
                <w:webHidden/>
              </w:rPr>
              <w:t>55</w:t>
            </w:r>
            <w:r w:rsidR="006347CF">
              <w:rPr>
                <w:noProof/>
                <w:webHidden/>
              </w:rPr>
              <w:fldChar w:fldCharType="end"/>
            </w:r>
          </w:hyperlink>
        </w:p>
        <w:p w14:paraId="2E340C40" w14:textId="6324286E"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2" w:history="1">
            <w:r w:rsidR="006347CF" w:rsidRPr="003E6635">
              <w:rPr>
                <w:rStyle w:val="Hyperlink"/>
                <w:noProof/>
              </w:rPr>
              <w:t>Reasons against Option 3</w:t>
            </w:r>
            <w:r w:rsidR="006347CF">
              <w:rPr>
                <w:noProof/>
                <w:webHidden/>
              </w:rPr>
              <w:tab/>
            </w:r>
            <w:r w:rsidR="006347CF">
              <w:rPr>
                <w:noProof/>
                <w:webHidden/>
              </w:rPr>
              <w:fldChar w:fldCharType="begin"/>
            </w:r>
            <w:r w:rsidR="006347CF">
              <w:rPr>
                <w:noProof/>
                <w:webHidden/>
              </w:rPr>
              <w:instrText xml:space="preserve"> PAGEREF _Toc184730602 \h </w:instrText>
            </w:r>
            <w:r w:rsidR="006347CF">
              <w:rPr>
                <w:noProof/>
                <w:webHidden/>
              </w:rPr>
            </w:r>
            <w:r w:rsidR="006347CF">
              <w:rPr>
                <w:noProof/>
                <w:webHidden/>
              </w:rPr>
              <w:fldChar w:fldCharType="separate"/>
            </w:r>
            <w:r w:rsidR="006347CF">
              <w:rPr>
                <w:noProof/>
                <w:webHidden/>
              </w:rPr>
              <w:t>55</w:t>
            </w:r>
            <w:r w:rsidR="006347CF">
              <w:rPr>
                <w:noProof/>
                <w:webHidden/>
              </w:rPr>
              <w:fldChar w:fldCharType="end"/>
            </w:r>
          </w:hyperlink>
        </w:p>
        <w:p w14:paraId="1DC6C5C0" w14:textId="6244589D"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03" w:history="1">
            <w:r w:rsidR="006347CF" w:rsidRPr="003E6635">
              <w:rPr>
                <w:rStyle w:val="Hyperlink"/>
                <w:noProof/>
              </w:rPr>
              <w:t>Consideration of regulatory cost</w:t>
            </w:r>
            <w:r w:rsidR="006347CF">
              <w:rPr>
                <w:noProof/>
                <w:webHidden/>
              </w:rPr>
              <w:tab/>
            </w:r>
            <w:r w:rsidR="006347CF">
              <w:rPr>
                <w:noProof/>
                <w:webHidden/>
              </w:rPr>
              <w:fldChar w:fldCharType="begin"/>
            </w:r>
            <w:r w:rsidR="006347CF">
              <w:rPr>
                <w:noProof/>
                <w:webHidden/>
              </w:rPr>
              <w:instrText xml:space="preserve"> PAGEREF _Toc184730603 \h </w:instrText>
            </w:r>
            <w:r w:rsidR="006347CF">
              <w:rPr>
                <w:noProof/>
                <w:webHidden/>
              </w:rPr>
            </w:r>
            <w:r w:rsidR="006347CF">
              <w:rPr>
                <w:noProof/>
                <w:webHidden/>
              </w:rPr>
              <w:fldChar w:fldCharType="separate"/>
            </w:r>
            <w:r w:rsidR="006347CF">
              <w:rPr>
                <w:noProof/>
                <w:webHidden/>
              </w:rPr>
              <w:t>56</w:t>
            </w:r>
            <w:r w:rsidR="006347CF">
              <w:rPr>
                <w:noProof/>
                <w:webHidden/>
              </w:rPr>
              <w:fldChar w:fldCharType="end"/>
            </w:r>
          </w:hyperlink>
        </w:p>
        <w:p w14:paraId="6D9D09B3" w14:textId="624217B0"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4" w:history="1">
            <w:r w:rsidR="006347CF" w:rsidRPr="003E6635">
              <w:rPr>
                <w:rStyle w:val="Hyperlink"/>
                <w:noProof/>
              </w:rPr>
              <w:t>Cost of preparing new sunscreen ingredient application:</w:t>
            </w:r>
            <w:r w:rsidR="006347CF">
              <w:rPr>
                <w:noProof/>
                <w:webHidden/>
              </w:rPr>
              <w:tab/>
            </w:r>
            <w:r w:rsidR="006347CF">
              <w:rPr>
                <w:noProof/>
                <w:webHidden/>
              </w:rPr>
              <w:fldChar w:fldCharType="begin"/>
            </w:r>
            <w:r w:rsidR="006347CF">
              <w:rPr>
                <w:noProof/>
                <w:webHidden/>
              </w:rPr>
              <w:instrText xml:space="preserve"> PAGEREF _Toc184730604 \h </w:instrText>
            </w:r>
            <w:r w:rsidR="006347CF">
              <w:rPr>
                <w:noProof/>
                <w:webHidden/>
              </w:rPr>
            </w:r>
            <w:r w:rsidR="006347CF">
              <w:rPr>
                <w:noProof/>
                <w:webHidden/>
              </w:rPr>
              <w:fldChar w:fldCharType="separate"/>
            </w:r>
            <w:r w:rsidR="006347CF">
              <w:rPr>
                <w:noProof/>
                <w:webHidden/>
              </w:rPr>
              <w:t>57</w:t>
            </w:r>
            <w:r w:rsidR="006347CF">
              <w:rPr>
                <w:noProof/>
                <w:webHidden/>
              </w:rPr>
              <w:fldChar w:fldCharType="end"/>
            </w:r>
          </w:hyperlink>
        </w:p>
        <w:p w14:paraId="3C8A05A6" w14:textId="46CEC936"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5" w:history="1">
            <w:r w:rsidR="006347CF" w:rsidRPr="003E6635">
              <w:rPr>
                <w:rStyle w:val="Hyperlink"/>
                <w:noProof/>
              </w:rPr>
              <w:t>Cost of submitting sunscreen ingredient applications (includes cost of subsequent applications due to failure to pass initial evaluation):</w:t>
            </w:r>
            <w:r w:rsidR="006347CF">
              <w:rPr>
                <w:noProof/>
                <w:webHidden/>
              </w:rPr>
              <w:tab/>
            </w:r>
            <w:r w:rsidR="006347CF">
              <w:rPr>
                <w:noProof/>
                <w:webHidden/>
              </w:rPr>
              <w:fldChar w:fldCharType="begin"/>
            </w:r>
            <w:r w:rsidR="006347CF">
              <w:rPr>
                <w:noProof/>
                <w:webHidden/>
              </w:rPr>
              <w:instrText xml:space="preserve"> PAGEREF _Toc184730605 \h </w:instrText>
            </w:r>
            <w:r w:rsidR="006347CF">
              <w:rPr>
                <w:noProof/>
                <w:webHidden/>
              </w:rPr>
            </w:r>
            <w:r w:rsidR="006347CF">
              <w:rPr>
                <w:noProof/>
                <w:webHidden/>
              </w:rPr>
              <w:fldChar w:fldCharType="separate"/>
            </w:r>
            <w:r w:rsidR="006347CF">
              <w:rPr>
                <w:noProof/>
                <w:webHidden/>
              </w:rPr>
              <w:t>58</w:t>
            </w:r>
            <w:r w:rsidR="006347CF">
              <w:rPr>
                <w:noProof/>
                <w:webHidden/>
              </w:rPr>
              <w:fldChar w:fldCharType="end"/>
            </w:r>
          </w:hyperlink>
        </w:p>
        <w:p w14:paraId="16078142" w14:textId="79BD8012"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6" w:history="1">
            <w:r w:rsidR="006347CF" w:rsidRPr="003E6635">
              <w:rPr>
                <w:rStyle w:val="Hyperlink"/>
                <w:noProof/>
              </w:rPr>
              <w:t>Section 60 reviews based on an ingredient evaluations that were not approved:</w:t>
            </w:r>
            <w:r w:rsidR="006347CF">
              <w:rPr>
                <w:noProof/>
                <w:webHidden/>
              </w:rPr>
              <w:tab/>
            </w:r>
            <w:r w:rsidR="006347CF">
              <w:rPr>
                <w:noProof/>
                <w:webHidden/>
              </w:rPr>
              <w:fldChar w:fldCharType="begin"/>
            </w:r>
            <w:r w:rsidR="006347CF">
              <w:rPr>
                <w:noProof/>
                <w:webHidden/>
              </w:rPr>
              <w:instrText xml:space="preserve"> PAGEREF _Toc184730606 \h </w:instrText>
            </w:r>
            <w:r w:rsidR="006347CF">
              <w:rPr>
                <w:noProof/>
                <w:webHidden/>
              </w:rPr>
            </w:r>
            <w:r w:rsidR="006347CF">
              <w:rPr>
                <w:noProof/>
                <w:webHidden/>
              </w:rPr>
              <w:fldChar w:fldCharType="separate"/>
            </w:r>
            <w:r w:rsidR="006347CF">
              <w:rPr>
                <w:noProof/>
                <w:webHidden/>
              </w:rPr>
              <w:t>59</w:t>
            </w:r>
            <w:r w:rsidR="006347CF">
              <w:rPr>
                <w:noProof/>
                <w:webHidden/>
              </w:rPr>
              <w:fldChar w:fldCharType="end"/>
            </w:r>
          </w:hyperlink>
        </w:p>
        <w:p w14:paraId="38F66D2F" w14:textId="63D22E8A"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7" w:history="1">
            <w:r w:rsidR="006347CF" w:rsidRPr="003E6635">
              <w:rPr>
                <w:rStyle w:val="Hyperlink"/>
                <w:noProof/>
              </w:rPr>
              <w:t>Cost to industry from delays in approval of ingredients:</w:t>
            </w:r>
            <w:r w:rsidR="006347CF">
              <w:rPr>
                <w:noProof/>
                <w:webHidden/>
              </w:rPr>
              <w:tab/>
            </w:r>
            <w:r w:rsidR="006347CF">
              <w:rPr>
                <w:noProof/>
                <w:webHidden/>
              </w:rPr>
              <w:fldChar w:fldCharType="begin"/>
            </w:r>
            <w:r w:rsidR="006347CF">
              <w:rPr>
                <w:noProof/>
                <w:webHidden/>
              </w:rPr>
              <w:instrText xml:space="preserve"> PAGEREF _Toc184730607 \h </w:instrText>
            </w:r>
            <w:r w:rsidR="006347CF">
              <w:rPr>
                <w:noProof/>
                <w:webHidden/>
              </w:rPr>
            </w:r>
            <w:r w:rsidR="006347CF">
              <w:rPr>
                <w:noProof/>
                <w:webHidden/>
              </w:rPr>
              <w:fldChar w:fldCharType="separate"/>
            </w:r>
            <w:r w:rsidR="006347CF">
              <w:rPr>
                <w:noProof/>
                <w:webHidden/>
              </w:rPr>
              <w:t>60</w:t>
            </w:r>
            <w:r w:rsidR="006347CF">
              <w:rPr>
                <w:noProof/>
                <w:webHidden/>
              </w:rPr>
              <w:fldChar w:fldCharType="end"/>
            </w:r>
          </w:hyperlink>
        </w:p>
        <w:p w14:paraId="60C7845B" w14:textId="58FD848D"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08" w:history="1">
            <w:r w:rsidR="006347CF" w:rsidRPr="003E6635">
              <w:rPr>
                <w:rStyle w:val="Hyperlink"/>
                <w:noProof/>
              </w:rPr>
              <w:t>Regulatory burden estimate (RBE) tables for all 3 Options:</w:t>
            </w:r>
            <w:r w:rsidR="006347CF">
              <w:rPr>
                <w:noProof/>
                <w:webHidden/>
              </w:rPr>
              <w:tab/>
            </w:r>
            <w:r w:rsidR="006347CF">
              <w:rPr>
                <w:noProof/>
                <w:webHidden/>
              </w:rPr>
              <w:fldChar w:fldCharType="begin"/>
            </w:r>
            <w:r w:rsidR="006347CF">
              <w:rPr>
                <w:noProof/>
                <w:webHidden/>
              </w:rPr>
              <w:instrText xml:space="preserve"> PAGEREF _Toc184730608 \h </w:instrText>
            </w:r>
            <w:r w:rsidR="006347CF">
              <w:rPr>
                <w:noProof/>
                <w:webHidden/>
              </w:rPr>
            </w:r>
            <w:r w:rsidR="006347CF">
              <w:rPr>
                <w:noProof/>
                <w:webHidden/>
              </w:rPr>
              <w:fldChar w:fldCharType="separate"/>
            </w:r>
            <w:r w:rsidR="006347CF">
              <w:rPr>
                <w:noProof/>
                <w:webHidden/>
              </w:rPr>
              <w:t>61</w:t>
            </w:r>
            <w:r w:rsidR="006347CF">
              <w:rPr>
                <w:noProof/>
                <w:webHidden/>
              </w:rPr>
              <w:fldChar w:fldCharType="end"/>
            </w:r>
          </w:hyperlink>
        </w:p>
        <w:p w14:paraId="612D808E" w14:textId="10615641" w:rsidR="006347CF" w:rsidRDefault="00ED32F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730609" w:history="1">
            <w:r w:rsidR="006347CF" w:rsidRPr="003E6635">
              <w:rPr>
                <w:rStyle w:val="Hyperlink"/>
                <w:noProof/>
              </w:rPr>
              <w:t>5. Who did you consult and how did you incorporate their feedback?</w:t>
            </w:r>
            <w:r w:rsidR="006347CF">
              <w:rPr>
                <w:noProof/>
                <w:webHidden/>
              </w:rPr>
              <w:tab/>
            </w:r>
            <w:r w:rsidR="006347CF">
              <w:rPr>
                <w:noProof/>
                <w:webHidden/>
              </w:rPr>
              <w:fldChar w:fldCharType="begin"/>
            </w:r>
            <w:r w:rsidR="006347CF">
              <w:rPr>
                <w:noProof/>
                <w:webHidden/>
              </w:rPr>
              <w:instrText xml:space="preserve"> PAGEREF _Toc184730609 \h </w:instrText>
            </w:r>
            <w:r w:rsidR="006347CF">
              <w:rPr>
                <w:noProof/>
                <w:webHidden/>
              </w:rPr>
            </w:r>
            <w:r w:rsidR="006347CF">
              <w:rPr>
                <w:noProof/>
                <w:webHidden/>
              </w:rPr>
              <w:fldChar w:fldCharType="separate"/>
            </w:r>
            <w:r w:rsidR="006347CF">
              <w:rPr>
                <w:noProof/>
                <w:webHidden/>
              </w:rPr>
              <w:t>62</w:t>
            </w:r>
            <w:r w:rsidR="006347CF">
              <w:rPr>
                <w:noProof/>
                <w:webHidden/>
              </w:rPr>
              <w:fldChar w:fldCharType="end"/>
            </w:r>
          </w:hyperlink>
        </w:p>
        <w:p w14:paraId="29A9BE33" w14:textId="0D1040F3"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10" w:history="1">
            <w:r w:rsidR="006347CF" w:rsidRPr="003E6635">
              <w:rPr>
                <w:rStyle w:val="Hyperlink"/>
                <w:noProof/>
              </w:rPr>
              <w:t>Annual low-negligible risk consultation 2023-2024</w:t>
            </w:r>
            <w:r w:rsidR="006347CF">
              <w:rPr>
                <w:noProof/>
                <w:webHidden/>
              </w:rPr>
              <w:tab/>
            </w:r>
            <w:r w:rsidR="006347CF">
              <w:rPr>
                <w:noProof/>
                <w:webHidden/>
              </w:rPr>
              <w:fldChar w:fldCharType="begin"/>
            </w:r>
            <w:r w:rsidR="006347CF">
              <w:rPr>
                <w:noProof/>
                <w:webHidden/>
              </w:rPr>
              <w:instrText xml:space="preserve"> PAGEREF _Toc184730610 \h </w:instrText>
            </w:r>
            <w:r w:rsidR="006347CF">
              <w:rPr>
                <w:noProof/>
                <w:webHidden/>
              </w:rPr>
            </w:r>
            <w:r w:rsidR="006347CF">
              <w:rPr>
                <w:noProof/>
                <w:webHidden/>
              </w:rPr>
              <w:fldChar w:fldCharType="separate"/>
            </w:r>
            <w:r w:rsidR="006347CF">
              <w:rPr>
                <w:noProof/>
                <w:webHidden/>
              </w:rPr>
              <w:t>62</w:t>
            </w:r>
            <w:r w:rsidR="006347CF">
              <w:rPr>
                <w:noProof/>
                <w:webHidden/>
              </w:rPr>
              <w:fldChar w:fldCharType="end"/>
            </w:r>
          </w:hyperlink>
        </w:p>
        <w:p w14:paraId="6FF2729B" w14:textId="0F730FA0"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11" w:history="1">
            <w:r w:rsidR="006347CF" w:rsidRPr="003E6635">
              <w:rPr>
                <w:rStyle w:val="Hyperlink"/>
                <w:noProof/>
              </w:rPr>
              <w:t>Targeted consultation</w:t>
            </w:r>
            <w:r w:rsidR="006347CF">
              <w:rPr>
                <w:noProof/>
                <w:webHidden/>
              </w:rPr>
              <w:tab/>
            </w:r>
            <w:r w:rsidR="006347CF">
              <w:rPr>
                <w:noProof/>
                <w:webHidden/>
              </w:rPr>
              <w:fldChar w:fldCharType="begin"/>
            </w:r>
            <w:r w:rsidR="006347CF">
              <w:rPr>
                <w:noProof/>
                <w:webHidden/>
              </w:rPr>
              <w:instrText xml:space="preserve"> PAGEREF _Toc184730611 \h </w:instrText>
            </w:r>
            <w:r w:rsidR="006347CF">
              <w:rPr>
                <w:noProof/>
                <w:webHidden/>
              </w:rPr>
            </w:r>
            <w:r w:rsidR="006347CF">
              <w:rPr>
                <w:noProof/>
                <w:webHidden/>
              </w:rPr>
              <w:fldChar w:fldCharType="separate"/>
            </w:r>
            <w:r w:rsidR="006347CF">
              <w:rPr>
                <w:noProof/>
                <w:webHidden/>
              </w:rPr>
              <w:t>63</w:t>
            </w:r>
            <w:r w:rsidR="006347CF">
              <w:rPr>
                <w:noProof/>
                <w:webHidden/>
              </w:rPr>
              <w:fldChar w:fldCharType="end"/>
            </w:r>
          </w:hyperlink>
        </w:p>
        <w:p w14:paraId="43239A78" w14:textId="68DEE10B"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12" w:history="1">
            <w:r w:rsidR="006347CF" w:rsidRPr="003E6635">
              <w:rPr>
                <w:rStyle w:val="Hyperlink"/>
                <w:noProof/>
              </w:rPr>
              <w:t>Public consultation July – August 2024</w:t>
            </w:r>
            <w:r w:rsidR="006347CF">
              <w:rPr>
                <w:noProof/>
                <w:webHidden/>
              </w:rPr>
              <w:tab/>
            </w:r>
            <w:r w:rsidR="006347CF">
              <w:rPr>
                <w:noProof/>
                <w:webHidden/>
              </w:rPr>
              <w:fldChar w:fldCharType="begin"/>
            </w:r>
            <w:r w:rsidR="006347CF">
              <w:rPr>
                <w:noProof/>
                <w:webHidden/>
              </w:rPr>
              <w:instrText xml:space="preserve"> PAGEREF _Toc184730612 \h </w:instrText>
            </w:r>
            <w:r w:rsidR="006347CF">
              <w:rPr>
                <w:noProof/>
                <w:webHidden/>
              </w:rPr>
            </w:r>
            <w:r w:rsidR="006347CF">
              <w:rPr>
                <w:noProof/>
                <w:webHidden/>
              </w:rPr>
              <w:fldChar w:fldCharType="separate"/>
            </w:r>
            <w:r w:rsidR="006347CF">
              <w:rPr>
                <w:noProof/>
                <w:webHidden/>
              </w:rPr>
              <w:t>65</w:t>
            </w:r>
            <w:r w:rsidR="006347CF">
              <w:rPr>
                <w:noProof/>
                <w:webHidden/>
              </w:rPr>
              <w:fldChar w:fldCharType="end"/>
            </w:r>
          </w:hyperlink>
        </w:p>
        <w:p w14:paraId="47E9D8AB" w14:textId="22FC981E"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613" w:history="1">
            <w:r w:rsidR="006347CF" w:rsidRPr="003E6635">
              <w:rPr>
                <w:rStyle w:val="Hyperlink"/>
                <w:noProof/>
              </w:rPr>
              <w:t>6.</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What is the best option and how will it be implemented?</w:t>
            </w:r>
            <w:r w:rsidR="006347CF">
              <w:rPr>
                <w:noProof/>
                <w:webHidden/>
              </w:rPr>
              <w:tab/>
            </w:r>
            <w:r w:rsidR="006347CF">
              <w:rPr>
                <w:noProof/>
                <w:webHidden/>
              </w:rPr>
              <w:fldChar w:fldCharType="begin"/>
            </w:r>
            <w:r w:rsidR="006347CF">
              <w:rPr>
                <w:noProof/>
                <w:webHidden/>
              </w:rPr>
              <w:instrText xml:space="preserve"> PAGEREF _Toc184730613 \h </w:instrText>
            </w:r>
            <w:r w:rsidR="006347CF">
              <w:rPr>
                <w:noProof/>
                <w:webHidden/>
              </w:rPr>
            </w:r>
            <w:r w:rsidR="006347CF">
              <w:rPr>
                <w:noProof/>
                <w:webHidden/>
              </w:rPr>
              <w:fldChar w:fldCharType="separate"/>
            </w:r>
            <w:r w:rsidR="006347CF">
              <w:rPr>
                <w:noProof/>
                <w:webHidden/>
              </w:rPr>
              <w:t>70</w:t>
            </w:r>
            <w:r w:rsidR="006347CF">
              <w:rPr>
                <w:noProof/>
                <w:webHidden/>
              </w:rPr>
              <w:fldChar w:fldCharType="end"/>
            </w:r>
          </w:hyperlink>
        </w:p>
        <w:p w14:paraId="7129E140" w14:textId="7FB0EB38"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14" w:history="1">
            <w:r w:rsidR="006347CF" w:rsidRPr="003E6635">
              <w:rPr>
                <w:rStyle w:val="Hyperlink"/>
                <w:noProof/>
              </w:rPr>
              <w:t>Preferred option</w:t>
            </w:r>
            <w:r w:rsidR="006347CF">
              <w:rPr>
                <w:noProof/>
                <w:webHidden/>
              </w:rPr>
              <w:tab/>
            </w:r>
            <w:r w:rsidR="006347CF">
              <w:rPr>
                <w:noProof/>
                <w:webHidden/>
              </w:rPr>
              <w:fldChar w:fldCharType="begin"/>
            </w:r>
            <w:r w:rsidR="006347CF">
              <w:rPr>
                <w:noProof/>
                <w:webHidden/>
              </w:rPr>
              <w:instrText xml:space="preserve"> PAGEREF _Toc184730614 \h </w:instrText>
            </w:r>
            <w:r w:rsidR="006347CF">
              <w:rPr>
                <w:noProof/>
                <w:webHidden/>
              </w:rPr>
            </w:r>
            <w:r w:rsidR="006347CF">
              <w:rPr>
                <w:noProof/>
                <w:webHidden/>
              </w:rPr>
              <w:fldChar w:fldCharType="separate"/>
            </w:r>
            <w:r w:rsidR="006347CF">
              <w:rPr>
                <w:noProof/>
                <w:webHidden/>
              </w:rPr>
              <w:t>70</w:t>
            </w:r>
            <w:r w:rsidR="006347CF">
              <w:rPr>
                <w:noProof/>
                <w:webHidden/>
              </w:rPr>
              <w:fldChar w:fldCharType="end"/>
            </w:r>
          </w:hyperlink>
        </w:p>
        <w:p w14:paraId="6EB338E0" w14:textId="7E382957" w:rsidR="006347CF" w:rsidRDefault="00ED32F1">
          <w:pPr>
            <w:pStyle w:val="TOC2"/>
            <w:rPr>
              <w:rFonts w:asciiTheme="minorHAnsi" w:eastAsiaTheme="minorEastAsia" w:hAnsiTheme="minorHAnsi" w:cstheme="minorBidi"/>
              <w:noProof/>
              <w:color w:val="auto"/>
              <w:kern w:val="2"/>
              <w:szCs w:val="24"/>
              <w:lang w:eastAsia="en-AU"/>
              <w14:ligatures w14:val="standardContextual"/>
            </w:rPr>
          </w:pPr>
          <w:hyperlink w:anchor="_Toc184730615" w:history="1">
            <w:r w:rsidR="006347CF" w:rsidRPr="003E6635">
              <w:rPr>
                <w:rStyle w:val="Hyperlink"/>
                <w:noProof/>
                <w:shd w:val="clear" w:color="auto" w:fill="FFFFFF"/>
              </w:rPr>
              <w:t>Implementation plan</w:t>
            </w:r>
            <w:r w:rsidR="006347CF">
              <w:rPr>
                <w:noProof/>
                <w:webHidden/>
              </w:rPr>
              <w:tab/>
            </w:r>
            <w:r w:rsidR="006347CF">
              <w:rPr>
                <w:noProof/>
                <w:webHidden/>
              </w:rPr>
              <w:fldChar w:fldCharType="begin"/>
            </w:r>
            <w:r w:rsidR="006347CF">
              <w:rPr>
                <w:noProof/>
                <w:webHidden/>
              </w:rPr>
              <w:instrText xml:space="preserve"> PAGEREF _Toc184730615 \h </w:instrText>
            </w:r>
            <w:r w:rsidR="006347CF">
              <w:rPr>
                <w:noProof/>
                <w:webHidden/>
              </w:rPr>
            </w:r>
            <w:r w:rsidR="006347CF">
              <w:rPr>
                <w:noProof/>
                <w:webHidden/>
              </w:rPr>
              <w:fldChar w:fldCharType="separate"/>
            </w:r>
            <w:r w:rsidR="006347CF">
              <w:rPr>
                <w:noProof/>
                <w:webHidden/>
              </w:rPr>
              <w:t>71</w:t>
            </w:r>
            <w:r w:rsidR="006347CF">
              <w:rPr>
                <w:noProof/>
                <w:webHidden/>
              </w:rPr>
              <w:fldChar w:fldCharType="end"/>
            </w:r>
          </w:hyperlink>
        </w:p>
        <w:p w14:paraId="6C99E77A" w14:textId="4DBB6A3B"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16" w:history="1">
            <w:r w:rsidR="006347CF" w:rsidRPr="003E6635">
              <w:rPr>
                <w:rStyle w:val="Hyperlink"/>
                <w:noProof/>
              </w:rPr>
              <w:t>Implementation risks and mitigation measures</w:t>
            </w:r>
            <w:r w:rsidR="006347CF">
              <w:rPr>
                <w:noProof/>
                <w:webHidden/>
              </w:rPr>
              <w:tab/>
            </w:r>
            <w:r w:rsidR="006347CF">
              <w:rPr>
                <w:noProof/>
                <w:webHidden/>
              </w:rPr>
              <w:fldChar w:fldCharType="begin"/>
            </w:r>
            <w:r w:rsidR="006347CF">
              <w:rPr>
                <w:noProof/>
                <w:webHidden/>
              </w:rPr>
              <w:instrText xml:space="preserve"> PAGEREF _Toc184730616 \h </w:instrText>
            </w:r>
            <w:r w:rsidR="006347CF">
              <w:rPr>
                <w:noProof/>
                <w:webHidden/>
              </w:rPr>
            </w:r>
            <w:r w:rsidR="006347CF">
              <w:rPr>
                <w:noProof/>
                <w:webHidden/>
              </w:rPr>
              <w:fldChar w:fldCharType="separate"/>
            </w:r>
            <w:r w:rsidR="006347CF">
              <w:rPr>
                <w:noProof/>
                <w:webHidden/>
              </w:rPr>
              <w:t>72</w:t>
            </w:r>
            <w:r w:rsidR="006347CF">
              <w:rPr>
                <w:noProof/>
                <w:webHidden/>
              </w:rPr>
              <w:fldChar w:fldCharType="end"/>
            </w:r>
          </w:hyperlink>
        </w:p>
        <w:p w14:paraId="67522822" w14:textId="185649A6" w:rsidR="006347CF" w:rsidRDefault="00ED32F1">
          <w:pPr>
            <w:pStyle w:val="TOC3"/>
            <w:rPr>
              <w:rFonts w:asciiTheme="minorHAnsi" w:eastAsiaTheme="minorEastAsia" w:hAnsiTheme="minorHAnsi" w:cstheme="minorBidi"/>
              <w:noProof/>
              <w:color w:val="auto"/>
              <w:kern w:val="2"/>
              <w:sz w:val="24"/>
              <w:szCs w:val="24"/>
              <w:lang w:eastAsia="en-AU"/>
              <w14:ligatures w14:val="standardContextual"/>
            </w:rPr>
          </w:pPr>
          <w:hyperlink w:anchor="_Toc184730617" w:history="1">
            <w:r w:rsidR="006347CF" w:rsidRPr="003E6635">
              <w:rPr>
                <w:rStyle w:val="Hyperlink"/>
                <w:noProof/>
              </w:rPr>
              <w:t>Impact Analysis development</w:t>
            </w:r>
            <w:r w:rsidR="006347CF">
              <w:rPr>
                <w:noProof/>
                <w:webHidden/>
              </w:rPr>
              <w:tab/>
            </w:r>
            <w:r w:rsidR="006347CF">
              <w:rPr>
                <w:noProof/>
                <w:webHidden/>
              </w:rPr>
              <w:fldChar w:fldCharType="begin"/>
            </w:r>
            <w:r w:rsidR="006347CF">
              <w:rPr>
                <w:noProof/>
                <w:webHidden/>
              </w:rPr>
              <w:instrText xml:space="preserve"> PAGEREF _Toc184730617 \h </w:instrText>
            </w:r>
            <w:r w:rsidR="006347CF">
              <w:rPr>
                <w:noProof/>
                <w:webHidden/>
              </w:rPr>
            </w:r>
            <w:r w:rsidR="006347CF">
              <w:rPr>
                <w:noProof/>
                <w:webHidden/>
              </w:rPr>
              <w:fldChar w:fldCharType="separate"/>
            </w:r>
            <w:r w:rsidR="006347CF">
              <w:rPr>
                <w:noProof/>
                <w:webHidden/>
              </w:rPr>
              <w:t>73</w:t>
            </w:r>
            <w:r w:rsidR="006347CF">
              <w:rPr>
                <w:noProof/>
                <w:webHidden/>
              </w:rPr>
              <w:fldChar w:fldCharType="end"/>
            </w:r>
          </w:hyperlink>
        </w:p>
        <w:p w14:paraId="55DA8115" w14:textId="200E54EE" w:rsidR="006347CF" w:rsidRDefault="00ED32F1">
          <w:pPr>
            <w:pStyle w:val="TOC1"/>
            <w:tabs>
              <w:tab w:val="left" w:pos="851"/>
            </w:tabs>
            <w:rPr>
              <w:rFonts w:asciiTheme="minorHAnsi" w:eastAsiaTheme="minorEastAsia" w:hAnsiTheme="minorHAnsi" w:cstheme="minorBidi"/>
              <w:b w:val="0"/>
              <w:noProof/>
              <w:color w:val="auto"/>
              <w:kern w:val="2"/>
              <w:sz w:val="24"/>
              <w:szCs w:val="24"/>
              <w:lang w:eastAsia="en-AU"/>
              <w14:ligatures w14:val="standardContextual"/>
            </w:rPr>
          </w:pPr>
          <w:hyperlink w:anchor="_Toc184730618" w:history="1">
            <w:r w:rsidR="006347CF" w:rsidRPr="003E6635">
              <w:rPr>
                <w:rStyle w:val="Hyperlink"/>
                <w:noProof/>
              </w:rPr>
              <w:t>7.</w:t>
            </w:r>
            <w:r w:rsidR="006347CF">
              <w:rPr>
                <w:rFonts w:asciiTheme="minorHAnsi" w:eastAsiaTheme="minorEastAsia" w:hAnsiTheme="minorHAnsi" w:cstheme="minorBidi"/>
                <w:b w:val="0"/>
                <w:noProof/>
                <w:color w:val="auto"/>
                <w:kern w:val="2"/>
                <w:sz w:val="24"/>
                <w:szCs w:val="24"/>
                <w:lang w:eastAsia="en-AU"/>
                <w14:ligatures w14:val="standardContextual"/>
              </w:rPr>
              <w:tab/>
            </w:r>
            <w:r w:rsidR="006347CF" w:rsidRPr="003E6635">
              <w:rPr>
                <w:rStyle w:val="Hyperlink"/>
                <w:noProof/>
              </w:rPr>
              <w:t>How will you evaluate your chosen option against the success matrices?</w:t>
            </w:r>
            <w:r w:rsidR="006347CF">
              <w:rPr>
                <w:noProof/>
                <w:webHidden/>
              </w:rPr>
              <w:tab/>
            </w:r>
            <w:r w:rsidR="006347CF">
              <w:rPr>
                <w:noProof/>
                <w:webHidden/>
              </w:rPr>
              <w:fldChar w:fldCharType="begin"/>
            </w:r>
            <w:r w:rsidR="006347CF">
              <w:rPr>
                <w:noProof/>
                <w:webHidden/>
              </w:rPr>
              <w:instrText xml:space="preserve"> PAGEREF _Toc184730618 \h </w:instrText>
            </w:r>
            <w:r w:rsidR="006347CF">
              <w:rPr>
                <w:noProof/>
                <w:webHidden/>
              </w:rPr>
            </w:r>
            <w:r w:rsidR="006347CF">
              <w:rPr>
                <w:noProof/>
                <w:webHidden/>
              </w:rPr>
              <w:fldChar w:fldCharType="separate"/>
            </w:r>
            <w:r w:rsidR="006347CF">
              <w:rPr>
                <w:noProof/>
                <w:webHidden/>
              </w:rPr>
              <w:t>74</w:t>
            </w:r>
            <w:r w:rsidR="006347CF">
              <w:rPr>
                <w:noProof/>
                <w:webHidden/>
              </w:rPr>
              <w:fldChar w:fldCharType="end"/>
            </w:r>
          </w:hyperlink>
        </w:p>
        <w:p w14:paraId="3A96EF93" w14:textId="79139457" w:rsidR="006347CF" w:rsidRDefault="00ED32F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730619" w:history="1">
            <w:r w:rsidR="006347CF" w:rsidRPr="003E6635">
              <w:rPr>
                <w:rStyle w:val="Hyperlink"/>
                <w:noProof/>
              </w:rPr>
              <w:t>Key Terms</w:t>
            </w:r>
            <w:r w:rsidR="006347CF">
              <w:rPr>
                <w:noProof/>
                <w:webHidden/>
              </w:rPr>
              <w:tab/>
            </w:r>
            <w:r w:rsidR="006347CF">
              <w:rPr>
                <w:noProof/>
                <w:webHidden/>
              </w:rPr>
              <w:fldChar w:fldCharType="begin"/>
            </w:r>
            <w:r w:rsidR="006347CF">
              <w:rPr>
                <w:noProof/>
                <w:webHidden/>
              </w:rPr>
              <w:instrText xml:space="preserve"> PAGEREF _Toc184730619 \h </w:instrText>
            </w:r>
            <w:r w:rsidR="006347CF">
              <w:rPr>
                <w:noProof/>
                <w:webHidden/>
              </w:rPr>
            </w:r>
            <w:r w:rsidR="006347CF">
              <w:rPr>
                <w:noProof/>
                <w:webHidden/>
              </w:rPr>
              <w:fldChar w:fldCharType="separate"/>
            </w:r>
            <w:r w:rsidR="006347CF">
              <w:rPr>
                <w:noProof/>
                <w:webHidden/>
              </w:rPr>
              <w:t>76</w:t>
            </w:r>
            <w:r w:rsidR="006347CF">
              <w:rPr>
                <w:noProof/>
                <w:webHidden/>
              </w:rPr>
              <w:fldChar w:fldCharType="end"/>
            </w:r>
          </w:hyperlink>
        </w:p>
        <w:p w14:paraId="4B71B84A" w14:textId="581BD453" w:rsidR="006347CF" w:rsidRDefault="00ED32F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730620" w:history="1">
            <w:r w:rsidR="006347CF" w:rsidRPr="003E6635">
              <w:rPr>
                <w:rStyle w:val="Hyperlink"/>
                <w:noProof/>
              </w:rPr>
              <w:t>References</w:t>
            </w:r>
            <w:r w:rsidR="006347CF">
              <w:rPr>
                <w:noProof/>
                <w:webHidden/>
              </w:rPr>
              <w:tab/>
            </w:r>
            <w:r w:rsidR="006347CF">
              <w:rPr>
                <w:noProof/>
                <w:webHidden/>
              </w:rPr>
              <w:fldChar w:fldCharType="begin"/>
            </w:r>
            <w:r w:rsidR="006347CF">
              <w:rPr>
                <w:noProof/>
                <w:webHidden/>
              </w:rPr>
              <w:instrText xml:space="preserve"> PAGEREF _Toc184730620 \h </w:instrText>
            </w:r>
            <w:r w:rsidR="006347CF">
              <w:rPr>
                <w:noProof/>
                <w:webHidden/>
              </w:rPr>
            </w:r>
            <w:r w:rsidR="006347CF">
              <w:rPr>
                <w:noProof/>
                <w:webHidden/>
              </w:rPr>
              <w:fldChar w:fldCharType="separate"/>
            </w:r>
            <w:r w:rsidR="006347CF">
              <w:rPr>
                <w:noProof/>
                <w:webHidden/>
              </w:rPr>
              <w:t>77</w:t>
            </w:r>
            <w:r w:rsidR="006347CF">
              <w:rPr>
                <w:noProof/>
                <w:webHidden/>
              </w:rPr>
              <w:fldChar w:fldCharType="end"/>
            </w:r>
          </w:hyperlink>
        </w:p>
        <w:p w14:paraId="045551A6" w14:textId="64B7B936" w:rsidR="0089410A" w:rsidRDefault="0089410A">
          <w:pPr>
            <w:rPr>
              <w:rFonts w:eastAsia="Cambria" w:cs="Times New Roman"/>
              <w:bCs/>
              <w:color w:val="333F4A"/>
              <w:sz w:val="17"/>
            </w:rPr>
          </w:pPr>
          <w:r w:rsidRPr="00215D48">
            <w:fldChar w:fldCharType="end"/>
          </w:r>
        </w:p>
      </w:sdtContent>
    </w:sdt>
    <w:p w14:paraId="6D4E12D5" w14:textId="77777777" w:rsidR="00E84E5E" w:rsidRDefault="00E84E5E">
      <w:pPr>
        <w:rPr>
          <w:rFonts w:eastAsia="Times New Roman" w:cs="Times New Roman"/>
          <w:b/>
          <w:bCs/>
          <w:color w:val="001871"/>
          <w:sz w:val="38"/>
          <w:szCs w:val="38"/>
        </w:rPr>
      </w:pPr>
      <w:bookmarkStart w:id="3" w:name="_Toc323739589"/>
      <w:bookmarkStart w:id="4" w:name="_Toc356305216"/>
      <w:r>
        <w:br w:type="page"/>
      </w:r>
    </w:p>
    <w:p w14:paraId="24A743DC" w14:textId="0113BD34" w:rsidR="004C17FD" w:rsidRDefault="00ED78A5" w:rsidP="00ED78A5">
      <w:pPr>
        <w:pStyle w:val="Heading2"/>
      </w:pPr>
      <w:bookmarkStart w:id="5" w:name="_Toc184730537"/>
      <w:r w:rsidRPr="007633D1">
        <w:t>Executive Summary</w:t>
      </w:r>
      <w:bookmarkEnd w:id="5"/>
    </w:p>
    <w:p w14:paraId="7F605FB5" w14:textId="7F447855" w:rsidR="003F4B2F" w:rsidRDefault="003F4B2F" w:rsidP="009A44F2">
      <w:pPr>
        <w:rPr>
          <w:lang w:val="en-US"/>
        </w:rPr>
      </w:pPr>
      <w:r w:rsidRPr="003F4B2F">
        <w:rPr>
          <w:lang w:val="en-US"/>
        </w:rPr>
        <w:t xml:space="preserve">The primary objective of the regulation of sunscreens in Australia is to ensure their quality, safety and efficacy to protect consumers from the sun’s harmful ultraviolet radiation (UVR) and reduce the incidence and tragic outcomes of skin cancer. The Therapeutic Goods Administration (TGA) regulates sunscreens in Australia [under the </w:t>
      </w:r>
      <w:r w:rsidRPr="00440C3D">
        <w:rPr>
          <w:i/>
          <w:iCs/>
          <w:lang w:val="en-US"/>
        </w:rPr>
        <w:t xml:space="preserve">Therapeutic Goods Act 1989 </w:t>
      </w:r>
      <w:r w:rsidRPr="00AD55B0">
        <w:rPr>
          <w:lang w:val="en-US"/>
        </w:rPr>
        <w:t>(t</w:t>
      </w:r>
      <w:r w:rsidRPr="003F4B2F">
        <w:rPr>
          <w:lang w:val="en-US"/>
        </w:rPr>
        <w:t xml:space="preserve">he Act)] that are classified as therapeutic goods to make sure they are safe, efficacious and high quality. </w:t>
      </w:r>
    </w:p>
    <w:p w14:paraId="2775F8D8" w14:textId="428389BC" w:rsidR="00311A57" w:rsidRDefault="009A44F2" w:rsidP="009A44F2">
      <w:pPr>
        <w:rPr>
          <w:lang w:val="en-US"/>
        </w:rPr>
      </w:pPr>
      <w:r w:rsidRPr="009A44F2">
        <w:rPr>
          <w:lang w:val="en-US"/>
        </w:rPr>
        <w:t>Exposure to UV</w:t>
      </w:r>
      <w:r w:rsidR="00B034D8">
        <w:rPr>
          <w:lang w:val="en-US"/>
        </w:rPr>
        <w:t>R</w:t>
      </w:r>
      <w:r w:rsidRPr="009A44F2">
        <w:rPr>
          <w:lang w:val="en-US"/>
        </w:rPr>
        <w:t xml:space="preserve"> is a significant risk factor and is known to cause skin cancer in humans (IARC 1992). </w:t>
      </w:r>
      <w:r w:rsidR="003F4B2F" w:rsidRPr="009A44F2">
        <w:rPr>
          <w:lang w:val="en-US"/>
        </w:rPr>
        <w:t>UV</w:t>
      </w:r>
      <w:r w:rsidR="003F4B2F">
        <w:rPr>
          <w:lang w:val="en-US"/>
        </w:rPr>
        <w:t>R</w:t>
      </w:r>
      <w:r w:rsidR="003F4B2F" w:rsidRPr="009A44F2">
        <w:rPr>
          <w:lang w:val="en-US"/>
        </w:rPr>
        <w:t xml:space="preserve"> is linked to approximately 95% of melanoma cases in the country (Cancer Australia 2019)</w:t>
      </w:r>
      <w:r w:rsidR="003F4B2F">
        <w:rPr>
          <w:lang w:val="en-US"/>
        </w:rPr>
        <w:t xml:space="preserve">. </w:t>
      </w:r>
      <w:r w:rsidRPr="009A44F2">
        <w:rPr>
          <w:lang w:val="en-US"/>
        </w:rPr>
        <w:t>Preventative UV</w:t>
      </w:r>
      <w:r w:rsidR="00B034D8">
        <w:rPr>
          <w:lang w:val="en-US"/>
        </w:rPr>
        <w:t>R</w:t>
      </w:r>
      <w:r w:rsidRPr="009A44F2">
        <w:rPr>
          <w:lang w:val="en-US"/>
        </w:rPr>
        <w:t xml:space="preserve"> exposure measures, such as using sunscreens, are an effective strategy against developing skin cancer (Green et al. 2011; Olsen et al. 2015)</w:t>
      </w:r>
      <w:r w:rsidR="003F4B2F">
        <w:rPr>
          <w:lang w:val="en-US"/>
        </w:rPr>
        <w:t xml:space="preserve">. </w:t>
      </w:r>
      <w:r w:rsidRPr="009A44F2">
        <w:rPr>
          <w:lang w:val="en-US"/>
        </w:rPr>
        <w:t xml:space="preserve">Despite being the last recommended line of </w:t>
      </w:r>
      <w:r w:rsidRPr="009A44F2">
        <w:t>defence</w:t>
      </w:r>
      <w:r w:rsidRPr="009A44F2">
        <w:rPr>
          <w:lang w:val="en-US"/>
        </w:rPr>
        <w:t xml:space="preserve"> after other protective measures, such as seeking shade and wearing UV protective clothing, sunscreens are one of the most common methods of sun protection (Stanton et al. 2004) and suggested to be a cost-effective method for preventing skin cancer (Gordon et al. 2009; Gordon et al. 2020)</w:t>
      </w:r>
      <w:r w:rsidR="00311A57">
        <w:rPr>
          <w:lang w:val="en-US"/>
        </w:rPr>
        <w:t>.</w:t>
      </w:r>
    </w:p>
    <w:p w14:paraId="1DF2415B" w14:textId="4B47C78A" w:rsidR="009A44F2" w:rsidRPr="009A44F2" w:rsidRDefault="009A44F2" w:rsidP="009A44F2">
      <w:pPr>
        <w:rPr>
          <w:lang w:val="en-US"/>
        </w:rPr>
      </w:pPr>
      <w:r w:rsidRPr="009A44F2">
        <w:rPr>
          <w:lang w:val="en-US"/>
        </w:rPr>
        <w:t>While Australians widely use sunscreen, individual application varies based on factors such as daily habits, occupational exposure and recreational activities. Australians are increasingly aware of sun safety and are using sun protection measures (Cancer Australia 2019</w:t>
      </w:r>
      <w:r w:rsidRPr="0007543E">
        <w:rPr>
          <w:lang w:val="en-US"/>
        </w:rPr>
        <w:t>)</w:t>
      </w:r>
      <w:r w:rsidRPr="009A44F2">
        <w:rPr>
          <w:lang w:val="en-US"/>
        </w:rPr>
        <w:t xml:space="preserve"> which may be due to increased promotion and public awareness of their importance and benefits. As such, the way sunscreens were used in the past is likely to differ to how they are used today.</w:t>
      </w:r>
    </w:p>
    <w:p w14:paraId="05B4AE5C" w14:textId="297DB580" w:rsidR="00FF1C9F" w:rsidRPr="002159BF" w:rsidRDefault="00FF1C9F" w:rsidP="00FF1C9F">
      <w:pPr>
        <w:rPr>
          <w:rFonts w:cs="Arial"/>
        </w:rPr>
      </w:pPr>
      <w:r w:rsidRPr="002159BF">
        <w:rPr>
          <w:rFonts w:cs="Arial"/>
        </w:rPr>
        <w:t xml:space="preserve">Before a </w:t>
      </w:r>
      <w:r w:rsidR="003F4B2F">
        <w:rPr>
          <w:rFonts w:cs="Arial"/>
        </w:rPr>
        <w:t xml:space="preserve">therapeutic </w:t>
      </w:r>
      <w:r w:rsidRPr="002159BF">
        <w:rPr>
          <w:rFonts w:cs="Arial"/>
        </w:rPr>
        <w:t xml:space="preserve">sunscreen product can be marketed and supplied to consumers in Australia, the TGA must have approved </w:t>
      </w:r>
      <w:r w:rsidR="00440C3D">
        <w:rPr>
          <w:rFonts w:cs="Arial"/>
        </w:rPr>
        <w:t xml:space="preserve">the ingredients used in the product and established their </w:t>
      </w:r>
      <w:r w:rsidR="00440C3D" w:rsidRPr="002159BF">
        <w:rPr>
          <w:rFonts w:cs="Arial"/>
        </w:rPr>
        <w:t>maximum safe concentration</w:t>
      </w:r>
      <w:r w:rsidR="00440C3D">
        <w:rPr>
          <w:rFonts w:cs="Arial"/>
        </w:rPr>
        <w:t>.</w:t>
      </w:r>
      <w:r w:rsidRPr="002159BF">
        <w:rPr>
          <w:rFonts w:cs="Arial"/>
        </w:rPr>
        <w:t xml:space="preserve"> Sponsors (product owners or manufacturers) are legally bound to adhere to these TGA-mandated concentration limits. </w:t>
      </w:r>
      <w:r w:rsidRPr="002159BF">
        <w:t>Risk assessments</w:t>
      </w:r>
      <w:r w:rsidRPr="002159BF">
        <w:rPr>
          <w:rFonts w:cs="Arial"/>
        </w:rPr>
        <w:t xml:space="preserve"> for sunscreen ingredients typically focus on long-term exposure to the ingredient, but they also address acute safety concerns like potential skin irritation. The risks associated with use of ingredients compare the associated (health) hazards to the expected systemic (or internal) exposure of the ingredient absorbed through the skin into the body. This assessment helps ascertain the maximum safe concentration of an ingredient. </w:t>
      </w:r>
    </w:p>
    <w:p w14:paraId="35A2D03B" w14:textId="77777777" w:rsidR="00BA2E21" w:rsidRDefault="00FF1C9F" w:rsidP="00FF1C9F">
      <w:pPr>
        <w:rPr>
          <w:rFonts w:cs="Arial"/>
        </w:rPr>
      </w:pPr>
      <w:r>
        <w:rPr>
          <w:rFonts w:cs="Arial"/>
        </w:rPr>
        <w:t>D</w:t>
      </w:r>
      <w:r w:rsidRPr="002159BF">
        <w:rPr>
          <w:rFonts w:cs="Arial"/>
        </w:rPr>
        <w:t xml:space="preserve">etermining the systemic exposure, and consequently, the safe concentration of the sunscreen ingredient, is based on how much sunscreen is applied to the skin on a daily basis (i.e. the external exposure amount). </w:t>
      </w:r>
      <w:r>
        <w:rPr>
          <w:rFonts w:cs="Arial"/>
        </w:rPr>
        <w:t>T</w:t>
      </w:r>
      <w:r w:rsidRPr="00461F8F">
        <w:rPr>
          <w:rFonts w:cs="Arial"/>
        </w:rPr>
        <w:t>here is little contemporary data on how much sunscreen Australians apply to their skin and the amount used is variable and difficult to estimate as sunscreen usage varies greatly</w:t>
      </w:r>
      <w:r w:rsidR="00BA2E21">
        <w:rPr>
          <w:rFonts w:cs="Arial"/>
        </w:rPr>
        <w:t>.</w:t>
      </w:r>
    </w:p>
    <w:p w14:paraId="129015BB" w14:textId="1D7F3F0E" w:rsidR="0059196C" w:rsidRDefault="008F2C2B" w:rsidP="00FF1C9F">
      <w:pPr>
        <w:rPr>
          <w:rFonts w:cs="Arial"/>
        </w:rPr>
      </w:pPr>
      <w:r w:rsidRPr="002159BF">
        <w:rPr>
          <w:rFonts w:cs="Arial"/>
        </w:rPr>
        <w:t xml:space="preserve">The </w:t>
      </w:r>
      <w:r>
        <w:rPr>
          <w:rFonts w:cs="Arial"/>
        </w:rPr>
        <w:t xml:space="preserve">Australian </w:t>
      </w:r>
      <w:r w:rsidRPr="002159BF">
        <w:rPr>
          <w:rFonts w:cs="Arial"/>
        </w:rPr>
        <w:t>Cancer Council's recommend</w:t>
      </w:r>
      <w:r>
        <w:rPr>
          <w:rFonts w:cs="Arial"/>
        </w:rPr>
        <w:t>s applying</w:t>
      </w:r>
      <w:r w:rsidRPr="002159BF">
        <w:rPr>
          <w:rFonts w:cs="Arial"/>
        </w:rPr>
        <w:t xml:space="preserve"> 140 mL sunscreen application for a full-day full body</w:t>
      </w:r>
      <w:r>
        <w:rPr>
          <w:rFonts w:cs="Arial"/>
        </w:rPr>
        <w:t xml:space="preserve"> sun exposure. However, a</w:t>
      </w:r>
      <w:r w:rsidRPr="00461F8F">
        <w:rPr>
          <w:rFonts w:cs="Arial"/>
        </w:rPr>
        <w:t xml:space="preserve">ctual </w:t>
      </w:r>
      <w:r>
        <w:rPr>
          <w:rFonts w:cs="Arial"/>
        </w:rPr>
        <w:t xml:space="preserve">Australian </w:t>
      </w:r>
      <w:r w:rsidRPr="00461F8F">
        <w:rPr>
          <w:rFonts w:cs="Arial"/>
        </w:rPr>
        <w:t>use may not always align with recommendations for how sunscreens are to be used effectively</w:t>
      </w:r>
      <w:r>
        <w:rPr>
          <w:rFonts w:cs="Arial"/>
        </w:rPr>
        <w:t xml:space="preserve"> and </w:t>
      </w:r>
      <w:r w:rsidRPr="00461F8F">
        <w:rPr>
          <w:rFonts w:cs="Arial"/>
        </w:rPr>
        <w:t>different methods for calculating the external exposure may not fully capture Australian usage patterns.</w:t>
      </w:r>
    </w:p>
    <w:p w14:paraId="10004B8C" w14:textId="1178A521" w:rsidR="0059196C" w:rsidRDefault="0059196C" w:rsidP="0059196C">
      <w:pPr>
        <w:rPr>
          <w:rFonts w:cs="Arial"/>
        </w:rPr>
      </w:pPr>
      <w:r w:rsidRPr="002159BF">
        <w:rPr>
          <w:rFonts w:cs="Arial"/>
        </w:rPr>
        <w:t xml:space="preserve">Sunscreen exposure considerations differ internationally, with the European </w:t>
      </w:r>
      <w:r>
        <w:rPr>
          <w:rFonts w:cs="Arial"/>
        </w:rPr>
        <w:t>Scientific Committee on Consumer Safety’s (</w:t>
      </w:r>
      <w:r w:rsidRPr="002159BF">
        <w:rPr>
          <w:rFonts w:cs="Arial"/>
        </w:rPr>
        <w:t>SCCS</w:t>
      </w:r>
      <w:r>
        <w:rPr>
          <w:rFonts w:cs="Arial"/>
        </w:rPr>
        <w:t>)</w:t>
      </w:r>
      <w:r w:rsidRPr="002159BF">
        <w:rPr>
          <w:rFonts w:cs="Arial"/>
        </w:rPr>
        <w:t xml:space="preserve"> estimating exposure</w:t>
      </w:r>
      <w:r>
        <w:rPr>
          <w:rFonts w:cs="Arial"/>
        </w:rPr>
        <w:t xml:space="preserve"> model</w:t>
      </w:r>
      <w:r w:rsidRPr="002159BF">
        <w:rPr>
          <w:rFonts w:cs="Arial"/>
        </w:rPr>
        <w:t xml:space="preserve"> </w:t>
      </w:r>
      <w:r>
        <w:rPr>
          <w:rFonts w:cs="Arial"/>
        </w:rPr>
        <w:t xml:space="preserve">being one of the main approaches that is also utilised by applicants in Australia. However, this </w:t>
      </w:r>
      <w:r w:rsidR="00AD55B0">
        <w:rPr>
          <w:rFonts w:cs="Arial"/>
        </w:rPr>
        <w:t xml:space="preserve">model </w:t>
      </w:r>
      <w:r>
        <w:rPr>
          <w:rFonts w:cs="Arial"/>
        </w:rPr>
        <w:t xml:space="preserve">is </w:t>
      </w:r>
      <w:r w:rsidRPr="002159BF">
        <w:rPr>
          <w:rFonts w:cs="Arial"/>
        </w:rPr>
        <w:t xml:space="preserve">based on data from research conducted in countries outside Australia. It is unclear if this </w:t>
      </w:r>
      <w:r w:rsidR="00AD55B0">
        <w:rPr>
          <w:rFonts w:cs="Arial"/>
        </w:rPr>
        <w:t>is</w:t>
      </w:r>
      <w:r w:rsidRPr="002159BF">
        <w:rPr>
          <w:rFonts w:cs="Arial"/>
        </w:rPr>
        <w:t xml:space="preserve"> relevant for the Australian context</w:t>
      </w:r>
      <w:r>
        <w:rPr>
          <w:rFonts w:cs="Arial"/>
        </w:rPr>
        <w:t>,</w:t>
      </w:r>
      <w:r w:rsidRPr="002159BF">
        <w:rPr>
          <w:rFonts w:cs="Arial"/>
        </w:rPr>
        <w:t xml:space="preserve"> given we have the highest rates of skin cancer in the world, a focus on public health messaging on the importance of using sunscreens, a thinner ozone layer and an outdoor lifestyle. </w:t>
      </w:r>
      <w:r>
        <w:rPr>
          <w:rFonts w:cs="Arial"/>
        </w:rPr>
        <w:t xml:space="preserve">Further, because of their public health importance, sunscreens that are primarily for prevention of skin cancer are regulated as therapeutic goods in Australia </w:t>
      </w:r>
      <w:r w:rsidR="000B733F" w:rsidRPr="00C23134">
        <w:rPr>
          <w:rFonts w:cs="Arial"/>
        </w:rPr>
        <w:t>and</w:t>
      </w:r>
      <w:r w:rsidR="00AD55B0" w:rsidRPr="00C23134">
        <w:rPr>
          <w:rFonts w:cs="Arial"/>
        </w:rPr>
        <w:t xml:space="preserve"> based</w:t>
      </w:r>
      <w:r w:rsidR="00AD55B0">
        <w:rPr>
          <w:rFonts w:cs="Arial"/>
        </w:rPr>
        <w:t xml:space="preserve"> on their Sun Protection Factor (SPF), are able to make skin cancer prevention claims, </w:t>
      </w:r>
      <w:r>
        <w:rPr>
          <w:rFonts w:cs="Arial"/>
        </w:rPr>
        <w:t xml:space="preserve">while </w:t>
      </w:r>
      <w:r w:rsidR="00AD55B0">
        <w:rPr>
          <w:rFonts w:cs="Arial"/>
        </w:rPr>
        <w:t>sunscreens</w:t>
      </w:r>
      <w:r>
        <w:rPr>
          <w:rFonts w:cs="Arial"/>
        </w:rPr>
        <w:t xml:space="preserve"> are regulated as cosmetics in Europe </w:t>
      </w:r>
      <w:r w:rsidR="00AD55B0">
        <w:rPr>
          <w:rFonts w:cs="Arial"/>
        </w:rPr>
        <w:t>and</w:t>
      </w:r>
      <w:r>
        <w:rPr>
          <w:rFonts w:cs="Arial"/>
        </w:rPr>
        <w:t xml:space="preserve"> are not </w:t>
      </w:r>
      <w:r w:rsidR="00AD55B0">
        <w:rPr>
          <w:rFonts w:cs="Arial"/>
        </w:rPr>
        <w:t xml:space="preserve">permitted </w:t>
      </w:r>
      <w:r>
        <w:rPr>
          <w:rFonts w:cs="Arial"/>
        </w:rPr>
        <w:t xml:space="preserve">to make the same </w:t>
      </w:r>
      <w:r w:rsidR="000B733F">
        <w:rPr>
          <w:rFonts w:cs="Arial"/>
        </w:rPr>
        <w:t>high-level</w:t>
      </w:r>
      <w:r w:rsidR="00AD55B0">
        <w:rPr>
          <w:rFonts w:cs="Arial"/>
        </w:rPr>
        <w:t xml:space="preserve"> </w:t>
      </w:r>
      <w:r>
        <w:rPr>
          <w:rFonts w:cs="Arial"/>
        </w:rPr>
        <w:t xml:space="preserve">claims. </w:t>
      </w:r>
    </w:p>
    <w:p w14:paraId="765EF0A1" w14:textId="77777777" w:rsidR="0059196C" w:rsidRPr="00461F8F" w:rsidRDefault="0059196C" w:rsidP="0059196C">
      <w:pPr>
        <w:rPr>
          <w:rFonts w:cs="Arial"/>
        </w:rPr>
      </w:pPr>
      <w:r>
        <w:rPr>
          <w:rFonts w:cs="Arial"/>
        </w:rPr>
        <w:t>In addition, d</w:t>
      </w:r>
      <w:r w:rsidRPr="00461F8F">
        <w:rPr>
          <w:rFonts w:cs="Arial"/>
        </w:rPr>
        <w:t>epending on the available data, the SCCS exposure calculation method can yield considerabl</w:t>
      </w:r>
      <w:r>
        <w:rPr>
          <w:rFonts w:cs="Arial"/>
        </w:rPr>
        <w:t>y</w:t>
      </w:r>
      <w:r w:rsidRPr="00461F8F">
        <w:rPr>
          <w:rFonts w:cs="Arial"/>
        </w:rPr>
        <w:t xml:space="preserve"> differen</w:t>
      </w:r>
      <w:r>
        <w:rPr>
          <w:rFonts w:cs="Arial"/>
        </w:rPr>
        <w:t>t</w:t>
      </w:r>
      <w:r w:rsidRPr="00461F8F">
        <w:rPr>
          <w:rFonts w:cs="Arial"/>
        </w:rPr>
        <w:t xml:space="preserve"> risk assessments for the same ingredient. This discrepancy could result in the same ingredient being approved under one set of data but rejected if presented in a different way. Such inconsistencies raise concerns about the appropriate calculation method for regulatory approvals and the potential for regulatory uncertainty, requiring expert judgement for which calculation method will be most suitable.</w:t>
      </w:r>
      <w:r>
        <w:rPr>
          <w:rFonts w:cs="Arial"/>
        </w:rPr>
        <w:t xml:space="preserve"> </w:t>
      </w:r>
      <w:r w:rsidRPr="00461F8F">
        <w:rPr>
          <w:rFonts w:cs="Arial"/>
        </w:rPr>
        <w:t xml:space="preserve">The type of information that is presented by the applicant </w:t>
      </w:r>
      <w:r>
        <w:rPr>
          <w:rFonts w:cs="Arial"/>
        </w:rPr>
        <w:t>could</w:t>
      </w:r>
      <w:r w:rsidRPr="00461F8F">
        <w:rPr>
          <w:rFonts w:cs="Arial"/>
        </w:rPr>
        <w:t xml:space="preserve"> also contribute to inconsistent assessments.</w:t>
      </w:r>
    </w:p>
    <w:p w14:paraId="13DC4F7B" w14:textId="2E14A660" w:rsidR="00FF1C9F" w:rsidRPr="002159BF" w:rsidRDefault="00FF1C9F" w:rsidP="00FF1C9F">
      <w:pPr>
        <w:rPr>
          <w:rFonts w:cs="Arial"/>
        </w:rPr>
      </w:pPr>
      <w:r>
        <w:rPr>
          <w:rFonts w:cs="Arial"/>
        </w:rPr>
        <w:t>To date,</w:t>
      </w:r>
      <w:r w:rsidRPr="002159BF">
        <w:rPr>
          <w:rFonts w:cs="Arial"/>
        </w:rPr>
        <w:t xml:space="preserve"> </w:t>
      </w:r>
      <w:r w:rsidR="00DC73F8">
        <w:rPr>
          <w:rFonts w:cs="Arial"/>
        </w:rPr>
        <w:t xml:space="preserve">TGA </w:t>
      </w:r>
      <w:r w:rsidRPr="002159BF">
        <w:rPr>
          <w:rFonts w:cs="Arial"/>
        </w:rPr>
        <w:t xml:space="preserve">assessment for sunscreen ingredients </w:t>
      </w:r>
      <w:r>
        <w:rPr>
          <w:rFonts w:cs="Arial"/>
        </w:rPr>
        <w:t>is</w:t>
      </w:r>
      <w:r w:rsidRPr="002159BF">
        <w:rPr>
          <w:rFonts w:cs="Arial"/>
        </w:rPr>
        <w:t xml:space="preserve"> on a case-by-case basis through a variety of risk-based methodologies that may</w:t>
      </w:r>
      <w:r w:rsidR="0033525F">
        <w:rPr>
          <w:rFonts w:cs="Arial"/>
        </w:rPr>
        <w:t xml:space="preserve"> use</w:t>
      </w:r>
      <w:r w:rsidRPr="002159BF">
        <w:rPr>
          <w:rFonts w:cs="Arial"/>
        </w:rPr>
        <w:t xml:space="preserve"> different estimates of daily sunscreen exposure. This results in the following problems: </w:t>
      </w:r>
    </w:p>
    <w:p w14:paraId="05E1D05E" w14:textId="77777777" w:rsidR="00FF1C9F" w:rsidRPr="00DC420D" w:rsidRDefault="00FF1C9F" w:rsidP="006D28D0">
      <w:pPr>
        <w:pStyle w:val="ListBullet"/>
      </w:pPr>
      <w:r w:rsidRPr="00DC420D">
        <w:t xml:space="preserve">The absence of an agreed estimated daily sunscreen exposure value means there is no standardised method for evaluating sunscreen ingredients, potentially leading to discrepancies in risk assessments where some may be overly conservative, while others may not be conservative enough. This means the same ingredient could be approved or refused based on the same data. </w:t>
      </w:r>
    </w:p>
    <w:p w14:paraId="43035FD8" w14:textId="735DF51A" w:rsidR="00FF1C9F" w:rsidRPr="00965633" w:rsidRDefault="00FF1C9F" w:rsidP="006D28D0">
      <w:pPr>
        <w:pStyle w:val="ListBullet"/>
      </w:pPr>
      <w:r w:rsidRPr="00DC420D">
        <w:t xml:space="preserve">Regulatory inconsistencies lead to uncertainty for industry. This is problematic given the lengthy </w:t>
      </w:r>
      <w:r w:rsidRPr="00965633">
        <w:t>research and development process required to bring new ingredients to market, with tests that may need to be conducted at the proposed concentration for final products. Uncertainty about the concentration that may be approved by the TGA, based on the assessment methodology, could stifle innovation and development of new ingredients.</w:t>
      </w:r>
    </w:p>
    <w:p w14:paraId="7380B60F" w14:textId="77777777" w:rsidR="00FF1C9F" w:rsidRPr="00965633" w:rsidRDefault="00FF1C9F" w:rsidP="006D28D0">
      <w:pPr>
        <w:pStyle w:val="ListBullet"/>
      </w:pPr>
      <w:r w:rsidRPr="00965633">
        <w:t>Without an Australian accepted approach, evaluations are more prone to being challenged, leading to increased time and resources expended by all stakeholders in debating application decisions. This not only delays the introduction of new sunscreen ingredients but also burdens the regulatory process with unnecessary contention.</w:t>
      </w:r>
    </w:p>
    <w:p w14:paraId="2BD5606D" w14:textId="77777777" w:rsidR="00FF1C9F" w:rsidRPr="00965633" w:rsidRDefault="00FF1C9F" w:rsidP="006D28D0">
      <w:pPr>
        <w:pStyle w:val="ListBullet"/>
      </w:pPr>
      <w:r w:rsidRPr="00965633">
        <w:t xml:space="preserve">Applicants may be required to provide scientifically robust arguments to support their chosen approach, which may not be supported by the TGA evaluator if not well-founded. Given the complexity of assessing sunscreen exposure, this could pose significant challenges and add unnecessary time and regulatory costs for new ingredient applicants. </w:t>
      </w:r>
    </w:p>
    <w:p w14:paraId="33E0FC8E" w14:textId="65E9CED6" w:rsidR="00FF1C9F" w:rsidRPr="00DC420D" w:rsidRDefault="00FF1C9F" w:rsidP="006D28D0">
      <w:pPr>
        <w:pStyle w:val="ListBullet"/>
      </w:pPr>
      <w:r w:rsidRPr="00965633">
        <w:t>Some estimated daily sunscreen exposure values proposed by applicants may not adequately reflect the unique Australian context, such as the higher levels of UV exposure and adherence to current evidence-based guidelines for effective sun protection. The methods employed may not account for Australian</w:t>
      </w:r>
      <w:r w:rsidRPr="00DC420D">
        <w:t xml:space="preserve"> practices today for the most frequent sunscreen users.</w:t>
      </w:r>
    </w:p>
    <w:p w14:paraId="3BEAB8D7" w14:textId="4D6F4066" w:rsidR="0059196C" w:rsidRPr="0059196C" w:rsidRDefault="00965633" w:rsidP="004813EC">
      <w:pPr>
        <w:rPr>
          <w:rFonts w:cs="Arial"/>
        </w:rPr>
      </w:pPr>
      <w:r>
        <w:rPr>
          <w:rFonts w:cs="Arial"/>
        </w:rPr>
        <w:t>Currently, there are i</w:t>
      </w:r>
      <w:r w:rsidR="0059196C" w:rsidRPr="0059196C">
        <w:rPr>
          <w:rFonts w:cs="Arial"/>
        </w:rPr>
        <w:t xml:space="preserve">ncreasing scientific concerns, both domestically and internationally, over long-term use of some current sunscreen ingredients </w:t>
      </w:r>
      <w:r>
        <w:rPr>
          <w:rFonts w:cs="Arial"/>
        </w:rPr>
        <w:t xml:space="preserve">which have the potential to </w:t>
      </w:r>
      <w:r w:rsidR="00DC73F8">
        <w:rPr>
          <w:rFonts w:cs="Arial"/>
        </w:rPr>
        <w:t>decreas</w:t>
      </w:r>
      <w:r>
        <w:rPr>
          <w:rFonts w:cs="Arial"/>
        </w:rPr>
        <w:t>e</w:t>
      </w:r>
      <w:r w:rsidR="0059196C" w:rsidRPr="0059196C">
        <w:rPr>
          <w:rFonts w:cs="Arial"/>
        </w:rPr>
        <w:t xml:space="preserve"> consumer confidence in the use of sunscreens and</w:t>
      </w:r>
      <w:r>
        <w:rPr>
          <w:rFonts w:cs="Arial"/>
        </w:rPr>
        <w:t xml:space="preserve">, </w:t>
      </w:r>
      <w:r w:rsidR="0059196C" w:rsidRPr="0059196C">
        <w:rPr>
          <w:rFonts w:cs="Arial"/>
        </w:rPr>
        <w:t>has created uncertainty for the sunscreen industry about what action the TGA, and overseas regulators, may take in relation to these ingredients.</w:t>
      </w:r>
    </w:p>
    <w:p w14:paraId="2B32C140" w14:textId="32C75644" w:rsidR="0059196C" w:rsidRDefault="0059196C" w:rsidP="0059196C">
      <w:pPr>
        <w:rPr>
          <w:rFonts w:cs="Arial"/>
        </w:rPr>
      </w:pPr>
      <w:r w:rsidRPr="002159BF">
        <w:t xml:space="preserve">In August 2023, the TGA initiated a </w:t>
      </w:r>
      <w:hyperlink r:id="rId8" w:history="1">
        <w:r w:rsidRPr="002159BF">
          <w:rPr>
            <w:rStyle w:val="Hyperlink"/>
          </w:rPr>
          <w:t>public consultation</w:t>
        </w:r>
      </w:hyperlink>
      <w:r w:rsidRPr="002159BF">
        <w:t xml:space="preserve"> to determine the safe levels of benzophenone </w:t>
      </w:r>
      <w:r w:rsidRPr="002159BF">
        <w:rPr>
          <w:rFonts w:cs="Arial"/>
        </w:rPr>
        <w:t xml:space="preserve">(a degradation impurity) in sunscreens containing octocrylene. The assessment utilised the Cancer Council's full-day sunscreen application recommendation, equating to 140 mL for a full body, to calculate the maximum worst-case sunscreen exposure. </w:t>
      </w:r>
      <w:r>
        <w:rPr>
          <w:rFonts w:cs="Arial"/>
        </w:rPr>
        <w:t>W</w:t>
      </w:r>
      <w:r w:rsidRPr="002159BF">
        <w:rPr>
          <w:rFonts w:cs="Arial"/>
        </w:rPr>
        <w:t>hile one respondent supported th</w:t>
      </w:r>
      <w:r w:rsidR="00965633">
        <w:rPr>
          <w:rFonts w:cs="Arial"/>
        </w:rPr>
        <w:t>is</w:t>
      </w:r>
      <w:r w:rsidRPr="002159BF">
        <w:rPr>
          <w:rFonts w:cs="Arial"/>
        </w:rPr>
        <w:t xml:space="preserve"> approach,</w:t>
      </w:r>
      <w:r>
        <w:rPr>
          <w:rFonts w:cs="Arial"/>
        </w:rPr>
        <w:t xml:space="preserve"> the majority</w:t>
      </w:r>
      <w:r w:rsidRPr="002159BF">
        <w:rPr>
          <w:rFonts w:cs="Arial"/>
        </w:rPr>
        <w:t xml:space="preserve"> </w:t>
      </w:r>
      <w:r>
        <w:rPr>
          <w:rFonts w:cs="Arial"/>
        </w:rPr>
        <w:t xml:space="preserve">of </w:t>
      </w:r>
      <w:r w:rsidRPr="002159BF">
        <w:rPr>
          <w:rFonts w:cs="Arial"/>
        </w:rPr>
        <w:t xml:space="preserve">industry feedback </w:t>
      </w:r>
      <w:r w:rsidR="00BA2E21">
        <w:rPr>
          <w:rFonts w:cs="Arial"/>
        </w:rPr>
        <w:t>considered</w:t>
      </w:r>
      <w:r w:rsidRPr="002159BF">
        <w:rPr>
          <w:rFonts w:cs="Arial"/>
        </w:rPr>
        <w:t xml:space="preserve"> this estimate was overly conservative, not reflective of </w:t>
      </w:r>
      <w:r w:rsidR="00965633">
        <w:rPr>
          <w:rFonts w:cs="Arial"/>
        </w:rPr>
        <w:t xml:space="preserve">Australian </w:t>
      </w:r>
      <w:r w:rsidRPr="002159BF">
        <w:rPr>
          <w:rFonts w:cs="Arial"/>
        </w:rPr>
        <w:t xml:space="preserve">consumer usage and </w:t>
      </w:r>
      <w:r w:rsidR="00BA2E21">
        <w:rPr>
          <w:rFonts w:cs="Arial"/>
        </w:rPr>
        <w:t>did not</w:t>
      </w:r>
      <w:r w:rsidRPr="002159BF">
        <w:rPr>
          <w:rFonts w:cs="Arial"/>
        </w:rPr>
        <w:t xml:space="preserve"> consider additional </w:t>
      </w:r>
      <w:r w:rsidR="00BA2E21">
        <w:rPr>
          <w:rFonts w:cs="Arial"/>
        </w:rPr>
        <w:t>recommended</w:t>
      </w:r>
      <w:r w:rsidR="00DC73F8">
        <w:rPr>
          <w:rFonts w:cs="Arial"/>
        </w:rPr>
        <w:t xml:space="preserve"> sun</w:t>
      </w:r>
      <w:r w:rsidR="00BA2E21">
        <w:rPr>
          <w:rFonts w:cs="Arial"/>
        </w:rPr>
        <w:t xml:space="preserve"> </w:t>
      </w:r>
      <w:r w:rsidRPr="002159BF">
        <w:rPr>
          <w:rFonts w:cs="Arial"/>
        </w:rPr>
        <w:t>protective measures</w:t>
      </w:r>
      <w:r w:rsidR="00BA2E21">
        <w:rPr>
          <w:rFonts w:cs="Arial"/>
        </w:rPr>
        <w:t>.</w:t>
      </w:r>
    </w:p>
    <w:p w14:paraId="32BDF5FD" w14:textId="5C6A7C39" w:rsidR="00FF1C9F" w:rsidRDefault="0059196C" w:rsidP="0059196C">
      <w:pPr>
        <w:rPr>
          <w:rFonts w:cs="Arial"/>
        </w:rPr>
      </w:pPr>
      <w:r w:rsidRPr="002159BF">
        <w:rPr>
          <w:rFonts w:cs="Arial"/>
        </w:rPr>
        <w:t>Industry stakeholders pr</w:t>
      </w:r>
      <w:r w:rsidR="0033525F">
        <w:rPr>
          <w:rFonts w:cs="Arial"/>
        </w:rPr>
        <w:t>ovided</w:t>
      </w:r>
      <w:r w:rsidRPr="002159BF">
        <w:rPr>
          <w:rFonts w:cs="Arial"/>
        </w:rPr>
        <w:t xml:space="preserve"> varied perspectives on the appropriate method for exposure assessment</w:t>
      </w:r>
      <w:r>
        <w:rPr>
          <w:rFonts w:cs="Arial"/>
        </w:rPr>
        <w:t xml:space="preserve">. </w:t>
      </w:r>
      <w:r w:rsidRPr="002159BF">
        <w:rPr>
          <w:rFonts w:cs="Arial"/>
        </w:rPr>
        <w:t>The diversity of opinions highlighted the need for a</w:t>
      </w:r>
      <w:r w:rsidR="0033525F">
        <w:rPr>
          <w:rFonts w:cs="Arial"/>
        </w:rPr>
        <w:t>n</w:t>
      </w:r>
      <w:r w:rsidRPr="002159BF">
        <w:rPr>
          <w:rFonts w:cs="Arial"/>
        </w:rPr>
        <w:t xml:space="preserve"> exposure model that aligns with Australian guidelines and practices</w:t>
      </w:r>
      <w:r w:rsidR="00311A57">
        <w:rPr>
          <w:rFonts w:cs="Arial"/>
        </w:rPr>
        <w:t xml:space="preserve">, which was supported by </w:t>
      </w:r>
      <w:r w:rsidRPr="002159BF">
        <w:rPr>
          <w:rFonts w:cs="Arial"/>
        </w:rPr>
        <w:t xml:space="preserve">stakeholders. As such, the TGA </w:t>
      </w:r>
      <w:hyperlink r:id="rId9" w:history="1">
        <w:r w:rsidRPr="002159BF">
          <w:rPr>
            <w:rStyle w:val="Hyperlink"/>
            <w:rFonts w:cs="Arial"/>
          </w:rPr>
          <w:t>advised in December 2023</w:t>
        </w:r>
      </w:hyperlink>
      <w:r w:rsidRPr="002159BF">
        <w:rPr>
          <w:rFonts w:cs="Arial"/>
        </w:rPr>
        <w:t xml:space="preserve"> that it would develop a sunscreen exposure model for the Australian context with future consultation to be undertaken. The proposed changes regarding setting an acceptable regulatory limit for benzophenone were deferred pending </w:t>
      </w:r>
      <w:r w:rsidR="0007543E">
        <w:rPr>
          <w:rFonts w:cs="Arial"/>
        </w:rPr>
        <w:t>the development of this model.</w:t>
      </w:r>
    </w:p>
    <w:p w14:paraId="20837753" w14:textId="2DC91651" w:rsidR="00FF1C9F" w:rsidRDefault="008F2C2B" w:rsidP="0059196C">
      <w:r>
        <w:rPr>
          <w:rFonts w:cs="Arial"/>
        </w:rPr>
        <w:t xml:space="preserve">The TGA has now developed a proposed </w:t>
      </w:r>
      <w:r>
        <w:t xml:space="preserve">Australian Sunscreen Exposure Model </w:t>
      </w:r>
      <w:r w:rsidR="00DC420D">
        <w:t xml:space="preserve">(ASEM) </w:t>
      </w:r>
      <w:r>
        <w:t xml:space="preserve">which was subject of an industry </w:t>
      </w:r>
      <w:hyperlink r:id="rId10" w:history="1">
        <w:r w:rsidRPr="008F2C2B">
          <w:rPr>
            <w:rStyle w:val="Hyperlink"/>
          </w:rPr>
          <w:t>consultation</w:t>
        </w:r>
      </w:hyperlink>
      <w:r>
        <w:t xml:space="preserve"> b</w:t>
      </w:r>
      <w:r w:rsidRPr="008F2C2B">
        <w:t>etween July and August 2024</w:t>
      </w:r>
      <w:r>
        <w:t>.</w:t>
      </w:r>
      <w:r w:rsidRPr="008F2C2B">
        <w:t xml:space="preserve"> </w:t>
      </w:r>
      <w:r w:rsidR="0059196C">
        <w:t>The</w:t>
      </w:r>
      <w:r w:rsidR="00E37D50">
        <w:t xml:space="preserve"> pro</w:t>
      </w:r>
      <w:r w:rsidR="005D1392">
        <w:t>p</w:t>
      </w:r>
      <w:r w:rsidR="00E37D50">
        <w:t>osed</w:t>
      </w:r>
      <w:r w:rsidR="0059196C">
        <w:t xml:space="preserve"> exposure model </w:t>
      </w:r>
      <w:r w:rsidR="00311A57">
        <w:t>aligns</w:t>
      </w:r>
      <w:r w:rsidR="0059196C">
        <w:t xml:space="preserve"> with current evidence-based sunscreen use guidelines and concerted efforts to encourage correct application of sunscreens, such as those described in the Australian Government’s National Skin Cancer Prevention campaign, the Cancer Council Australia’s well-known SunSmart program, the 2023 position statement by Australian Skin and Skin Cancer Research Centre, the 2019 Australian and New Zealand evidence-based consensus statement on when to apply sunscreen, and many other organisations such as the Melanoma Institute Australia, Australasian College of Dermatologists, </w:t>
      </w:r>
      <w:r w:rsidR="00E637EF">
        <w:t xml:space="preserve">and </w:t>
      </w:r>
      <w:r w:rsidR="0059196C">
        <w:t>Safe Work Australia.</w:t>
      </w:r>
    </w:p>
    <w:p w14:paraId="52DC7748" w14:textId="4E4D0C8B" w:rsidR="00F90AD9" w:rsidRDefault="00791F1E" w:rsidP="007D3D92">
      <w:pPr>
        <w:pStyle w:val="BodyText"/>
        <w:spacing w:before="117" w:line="259" w:lineRule="auto"/>
      </w:pPr>
      <w:r>
        <w:t xml:space="preserve">This Impact Analysis </w:t>
      </w:r>
      <w:r w:rsidR="00DC73F8">
        <w:t>proposes</w:t>
      </w:r>
      <w:r w:rsidR="00965633">
        <w:t xml:space="preserve"> the following</w:t>
      </w:r>
      <w:r>
        <w:t xml:space="preserve"> three options for </w:t>
      </w:r>
      <w:r w:rsidR="000F76D1">
        <w:t xml:space="preserve">a method to calculate safe levels of new ingredients </w:t>
      </w:r>
      <w:r w:rsidR="00B367E5">
        <w:t>proposed for use in Australian sunscreens</w:t>
      </w:r>
      <w:r w:rsidR="00DC73F8">
        <w:t>:</w:t>
      </w:r>
    </w:p>
    <w:p w14:paraId="0034C56C" w14:textId="3DC8E267" w:rsidR="00E37D50" w:rsidRPr="004813EC" w:rsidRDefault="00B367E5" w:rsidP="003121D9">
      <w:pPr>
        <w:pStyle w:val="BodyText"/>
        <w:spacing w:before="116"/>
        <w:rPr>
          <w:b/>
          <w:bCs/>
          <w:spacing w:val="-1"/>
        </w:rPr>
      </w:pPr>
      <w:r>
        <w:rPr>
          <w:b/>
          <w:bCs/>
        </w:rPr>
        <w:t>Option 1</w:t>
      </w:r>
      <w:r>
        <w:t xml:space="preserve">: </w:t>
      </w:r>
      <w:r w:rsidR="003121D9" w:rsidRPr="004813EC">
        <w:rPr>
          <w:b/>
          <w:bCs/>
        </w:rPr>
        <w:t>Australian</w:t>
      </w:r>
      <w:r w:rsidR="003121D9" w:rsidRPr="004813EC">
        <w:rPr>
          <w:b/>
          <w:bCs/>
          <w:spacing w:val="-3"/>
        </w:rPr>
        <w:t xml:space="preserve"> </w:t>
      </w:r>
      <w:r w:rsidR="003121D9" w:rsidRPr="004813EC">
        <w:rPr>
          <w:b/>
          <w:bCs/>
        </w:rPr>
        <w:t>Sunscreen</w:t>
      </w:r>
      <w:r w:rsidR="003121D9" w:rsidRPr="004813EC">
        <w:rPr>
          <w:b/>
          <w:bCs/>
          <w:spacing w:val="-3"/>
        </w:rPr>
        <w:t xml:space="preserve"> </w:t>
      </w:r>
      <w:r w:rsidR="003121D9" w:rsidRPr="004813EC">
        <w:rPr>
          <w:b/>
          <w:bCs/>
        </w:rPr>
        <w:t>Exposure</w:t>
      </w:r>
      <w:r w:rsidR="003121D9" w:rsidRPr="004813EC">
        <w:rPr>
          <w:b/>
          <w:bCs/>
          <w:spacing w:val="-3"/>
        </w:rPr>
        <w:t xml:space="preserve"> </w:t>
      </w:r>
      <w:r w:rsidR="003121D9" w:rsidRPr="004813EC">
        <w:rPr>
          <w:b/>
          <w:bCs/>
        </w:rPr>
        <w:t>Model</w:t>
      </w:r>
      <w:r w:rsidR="003121D9" w:rsidRPr="004813EC">
        <w:rPr>
          <w:b/>
          <w:bCs/>
          <w:spacing w:val="-6"/>
        </w:rPr>
        <w:t xml:space="preserve"> </w:t>
      </w:r>
      <w:r w:rsidR="003121D9" w:rsidRPr="004813EC">
        <w:rPr>
          <w:b/>
          <w:bCs/>
        </w:rPr>
        <w:t>(</w:t>
      </w:r>
      <w:r w:rsidR="00290E87">
        <w:rPr>
          <w:b/>
          <w:bCs/>
        </w:rPr>
        <w:t>A</w:t>
      </w:r>
      <w:r w:rsidR="003121D9" w:rsidRPr="004813EC">
        <w:rPr>
          <w:b/>
          <w:bCs/>
        </w:rPr>
        <w:t>SEM):</w:t>
      </w:r>
      <w:r w:rsidR="003121D9" w:rsidRPr="004813EC">
        <w:rPr>
          <w:b/>
          <w:bCs/>
          <w:spacing w:val="-1"/>
        </w:rPr>
        <w:t xml:space="preserve"> </w:t>
      </w:r>
    </w:p>
    <w:p w14:paraId="02F0C2D1" w14:textId="5A07ECF8" w:rsidR="003121D9" w:rsidRPr="00DC420D" w:rsidRDefault="003121D9" w:rsidP="003121D9">
      <w:pPr>
        <w:pStyle w:val="BodyText"/>
        <w:spacing w:before="116"/>
      </w:pPr>
      <w:r w:rsidRPr="00DC420D">
        <w:t>Th</w:t>
      </w:r>
      <w:r w:rsidR="0033525F" w:rsidRPr="00DC420D">
        <w:t xml:space="preserve">e </w:t>
      </w:r>
      <w:r w:rsidR="00311A57" w:rsidRPr="00DC420D">
        <w:t>ASEM</w:t>
      </w:r>
      <w:r w:rsidRPr="00DC420D">
        <w:t xml:space="preserve"> calculate</w:t>
      </w:r>
      <w:r w:rsidR="0033525F" w:rsidRPr="00DC420D">
        <w:t>s</w:t>
      </w:r>
      <w:r w:rsidRPr="00DC420D">
        <w:t xml:space="preserve"> the estimated </w:t>
      </w:r>
      <w:r w:rsidR="00E637EF" w:rsidRPr="00DC420D">
        <w:t xml:space="preserve">average </w:t>
      </w:r>
      <w:r w:rsidRPr="00DC420D">
        <w:t xml:space="preserve">daily sunscreen exposure </w:t>
      </w:r>
      <w:r w:rsidR="0033525F" w:rsidRPr="00DC420D">
        <w:t>based on</w:t>
      </w:r>
      <w:r w:rsidRPr="00DC420D">
        <w:t xml:space="preserve"> the varied needs of Australians. The ASEM integrates expected sunscreen application practices in line with current evidence-based Australian recommendations, rather</w:t>
      </w:r>
      <w:r w:rsidRPr="00DC420D">
        <w:rPr>
          <w:spacing w:val="-3"/>
        </w:rPr>
        <w:t xml:space="preserve"> </w:t>
      </w:r>
      <w:r w:rsidRPr="00DC420D">
        <w:t>than</w:t>
      </w:r>
      <w:r w:rsidRPr="00DC420D">
        <w:rPr>
          <w:spacing w:val="-4"/>
        </w:rPr>
        <w:t xml:space="preserve"> </w:t>
      </w:r>
      <w:r w:rsidRPr="00DC420D">
        <w:t>relying</w:t>
      </w:r>
      <w:r w:rsidRPr="00DC420D">
        <w:rPr>
          <w:spacing w:val="-4"/>
        </w:rPr>
        <w:t xml:space="preserve"> </w:t>
      </w:r>
      <w:r w:rsidRPr="00DC420D">
        <w:t>on</w:t>
      </w:r>
      <w:r w:rsidRPr="00DC420D">
        <w:rPr>
          <w:spacing w:val="-4"/>
        </w:rPr>
        <w:t xml:space="preserve"> </w:t>
      </w:r>
      <w:r w:rsidRPr="00DC420D">
        <w:t>international</w:t>
      </w:r>
      <w:r w:rsidRPr="00DC420D">
        <w:rPr>
          <w:spacing w:val="-5"/>
        </w:rPr>
        <w:t xml:space="preserve"> </w:t>
      </w:r>
      <w:r w:rsidRPr="00DC420D">
        <w:t>models</w:t>
      </w:r>
      <w:r w:rsidR="0033525F" w:rsidRPr="00DC420D">
        <w:rPr>
          <w:spacing w:val="-3"/>
        </w:rPr>
        <w:t>.</w:t>
      </w:r>
    </w:p>
    <w:p w14:paraId="069F1AC0" w14:textId="77A0B961" w:rsidR="003121D9" w:rsidRPr="00DC420D" w:rsidRDefault="003121D9" w:rsidP="003121D9">
      <w:pPr>
        <w:pStyle w:val="BodyText"/>
        <w:spacing w:before="117" w:line="259" w:lineRule="auto"/>
        <w:ind w:left="1" w:right="113"/>
      </w:pPr>
      <w:r w:rsidRPr="00DC420D">
        <w:t>The ASEM confirm</w:t>
      </w:r>
      <w:r w:rsidR="0033525F" w:rsidRPr="00DC420D">
        <w:t>s</w:t>
      </w:r>
      <w:r w:rsidRPr="00DC420D">
        <w:t xml:space="preserve"> the safety of sunscreen ingredients by considering the highest plausible, estimated </w:t>
      </w:r>
      <w:r w:rsidR="00E637EF" w:rsidRPr="00DC420D">
        <w:t xml:space="preserve">average </w:t>
      </w:r>
      <w:r w:rsidRPr="00DC420D">
        <w:t xml:space="preserve">daily sunscreen exposure among regular sunscreen users. The model considers these situations by employing </w:t>
      </w:r>
      <w:r w:rsidR="00C62DE5">
        <w:t>six</w:t>
      </w:r>
      <w:r w:rsidR="0040748F" w:rsidRPr="00DC420D">
        <w:t xml:space="preserve"> </w:t>
      </w:r>
      <w:r w:rsidRPr="00DC420D">
        <w:t>theoretical evidence-based Australian exposure scenarios for the most frequent users and, assessing the risk of the ingredient based on the highest</w:t>
      </w:r>
      <w:r w:rsidRPr="00DC420D">
        <w:rPr>
          <w:spacing w:val="-4"/>
        </w:rPr>
        <w:t xml:space="preserve"> </w:t>
      </w:r>
      <w:r w:rsidRPr="00DC420D">
        <w:t>exposure.</w:t>
      </w:r>
      <w:r w:rsidRPr="00DC420D">
        <w:rPr>
          <w:spacing w:val="-4"/>
        </w:rPr>
        <w:t xml:space="preserve"> </w:t>
      </w:r>
      <w:r w:rsidRPr="00DC420D">
        <w:t>This</w:t>
      </w:r>
      <w:r w:rsidRPr="00DC420D">
        <w:rPr>
          <w:spacing w:val="-3"/>
        </w:rPr>
        <w:t xml:space="preserve"> </w:t>
      </w:r>
      <w:r w:rsidRPr="00DC420D">
        <w:t>ensures</w:t>
      </w:r>
      <w:r w:rsidRPr="00DC420D">
        <w:rPr>
          <w:spacing w:val="-3"/>
        </w:rPr>
        <w:t xml:space="preserve"> </w:t>
      </w:r>
      <w:r w:rsidRPr="00DC420D">
        <w:t>that</w:t>
      </w:r>
      <w:r w:rsidRPr="00DC420D">
        <w:rPr>
          <w:spacing w:val="-2"/>
        </w:rPr>
        <w:t xml:space="preserve"> </w:t>
      </w:r>
      <w:r w:rsidRPr="00DC420D">
        <w:t>if</w:t>
      </w:r>
      <w:r w:rsidRPr="00DC420D">
        <w:rPr>
          <w:spacing w:val="-2"/>
        </w:rPr>
        <w:t xml:space="preserve"> </w:t>
      </w:r>
      <w:r w:rsidRPr="00DC420D">
        <w:t>an</w:t>
      </w:r>
      <w:r w:rsidRPr="00DC420D">
        <w:rPr>
          <w:spacing w:val="-2"/>
        </w:rPr>
        <w:t xml:space="preserve"> </w:t>
      </w:r>
      <w:r w:rsidRPr="00DC420D">
        <w:t>ingredient</w:t>
      </w:r>
      <w:r w:rsidRPr="00DC420D">
        <w:rPr>
          <w:spacing w:val="-2"/>
        </w:rPr>
        <w:t xml:space="preserve"> </w:t>
      </w:r>
      <w:r w:rsidRPr="00DC420D">
        <w:t>is deemed</w:t>
      </w:r>
      <w:r w:rsidRPr="00DC420D">
        <w:rPr>
          <w:spacing w:val="-4"/>
        </w:rPr>
        <w:t xml:space="preserve"> </w:t>
      </w:r>
      <w:r w:rsidRPr="00DC420D">
        <w:t>safe</w:t>
      </w:r>
      <w:r w:rsidRPr="00DC420D">
        <w:rPr>
          <w:spacing w:val="-4"/>
        </w:rPr>
        <w:t xml:space="preserve"> </w:t>
      </w:r>
      <w:r w:rsidRPr="00DC420D">
        <w:t>for</w:t>
      </w:r>
      <w:r w:rsidRPr="00DC420D">
        <w:rPr>
          <w:spacing w:val="-3"/>
        </w:rPr>
        <w:t xml:space="preserve"> </w:t>
      </w:r>
      <w:r w:rsidRPr="00DC420D">
        <w:t>the</w:t>
      </w:r>
      <w:r w:rsidRPr="00DC420D">
        <w:rPr>
          <w:spacing w:val="-2"/>
        </w:rPr>
        <w:t xml:space="preserve"> </w:t>
      </w:r>
      <w:r w:rsidRPr="00DC420D">
        <w:t>highest</w:t>
      </w:r>
      <w:r w:rsidRPr="00DC420D">
        <w:rPr>
          <w:spacing w:val="-4"/>
        </w:rPr>
        <w:t xml:space="preserve"> </w:t>
      </w:r>
      <w:r w:rsidRPr="00DC420D">
        <w:t>exposure,</w:t>
      </w:r>
      <w:r w:rsidRPr="00DC420D">
        <w:rPr>
          <w:spacing w:val="-2"/>
        </w:rPr>
        <w:t xml:space="preserve"> </w:t>
      </w:r>
      <w:r w:rsidRPr="00DC420D">
        <w:t>it</w:t>
      </w:r>
      <w:r w:rsidRPr="00DC420D">
        <w:rPr>
          <w:spacing w:val="-4"/>
        </w:rPr>
        <w:t xml:space="preserve"> </w:t>
      </w:r>
      <w:r w:rsidRPr="00DC420D">
        <w:t>will also be safe for all Australians.</w:t>
      </w:r>
    </w:p>
    <w:p w14:paraId="78CFA3BE" w14:textId="4201B2BF" w:rsidR="00E37D50" w:rsidRDefault="00B367E5" w:rsidP="000133B8">
      <w:pPr>
        <w:pStyle w:val="BodyText"/>
        <w:spacing w:before="116"/>
        <w:rPr>
          <w:i/>
          <w:iCs/>
        </w:rPr>
      </w:pPr>
      <w:r>
        <w:rPr>
          <w:b/>
          <w:bCs/>
        </w:rPr>
        <w:t>Option 2</w:t>
      </w:r>
      <w:r>
        <w:t xml:space="preserve">: </w:t>
      </w:r>
      <w:r w:rsidR="002170F1" w:rsidRPr="004813EC">
        <w:rPr>
          <w:b/>
          <w:bCs/>
        </w:rPr>
        <w:t>Scientific Committee on Consumer Safety (</w:t>
      </w:r>
      <w:r w:rsidR="005F1541" w:rsidRPr="004813EC">
        <w:rPr>
          <w:b/>
          <w:bCs/>
        </w:rPr>
        <w:t>SCCS</w:t>
      </w:r>
      <w:r w:rsidR="002170F1" w:rsidRPr="004813EC">
        <w:rPr>
          <w:b/>
          <w:bCs/>
        </w:rPr>
        <w:t>)</w:t>
      </w:r>
      <w:r w:rsidR="005F1541" w:rsidRPr="004813EC">
        <w:rPr>
          <w:b/>
          <w:bCs/>
        </w:rPr>
        <w:t xml:space="preserve"> sunscreen exposure model</w:t>
      </w:r>
      <w:r w:rsidR="006F2599">
        <w:rPr>
          <w:b/>
          <w:bCs/>
        </w:rPr>
        <w:t>:</w:t>
      </w:r>
    </w:p>
    <w:p w14:paraId="39CDB486" w14:textId="4C0F6428" w:rsidR="00B367E5" w:rsidRPr="000133B8" w:rsidRDefault="0022354F" w:rsidP="000133B8">
      <w:pPr>
        <w:pStyle w:val="BodyText"/>
        <w:spacing w:before="116"/>
        <w:rPr>
          <w:color w:val="232323"/>
        </w:rPr>
      </w:pPr>
      <w:r>
        <w:rPr>
          <w:color w:val="232323"/>
        </w:rPr>
        <w:t>This SCCS sunscreen exposure model is a well-established approach that describes default estimated</w:t>
      </w:r>
      <w:r>
        <w:rPr>
          <w:color w:val="232323"/>
          <w:spacing w:val="-2"/>
        </w:rPr>
        <w:t xml:space="preserve"> </w:t>
      </w:r>
      <w:r>
        <w:rPr>
          <w:color w:val="232323"/>
        </w:rPr>
        <w:t>daily</w:t>
      </w:r>
      <w:r>
        <w:rPr>
          <w:color w:val="232323"/>
          <w:spacing w:val="-3"/>
        </w:rPr>
        <w:t xml:space="preserve"> </w:t>
      </w:r>
      <w:r>
        <w:rPr>
          <w:color w:val="232323"/>
        </w:rPr>
        <w:t>sunscreen</w:t>
      </w:r>
      <w:r>
        <w:rPr>
          <w:color w:val="232323"/>
          <w:spacing w:val="-2"/>
        </w:rPr>
        <w:t xml:space="preserve"> </w:t>
      </w:r>
      <w:r>
        <w:rPr>
          <w:color w:val="232323"/>
        </w:rPr>
        <w:t>exposure</w:t>
      </w:r>
      <w:r>
        <w:rPr>
          <w:color w:val="232323"/>
          <w:spacing w:val="-4"/>
        </w:rPr>
        <w:t xml:space="preserve"> </w:t>
      </w:r>
      <w:r>
        <w:rPr>
          <w:color w:val="232323"/>
        </w:rPr>
        <w:t>(e.g.</w:t>
      </w:r>
      <w:r>
        <w:rPr>
          <w:color w:val="232323"/>
          <w:spacing w:val="-4"/>
        </w:rPr>
        <w:t xml:space="preserve"> </w:t>
      </w:r>
      <w:r>
        <w:rPr>
          <w:color w:val="232323"/>
        </w:rPr>
        <w:t>18</w:t>
      </w:r>
      <w:r>
        <w:rPr>
          <w:color w:val="232323"/>
          <w:spacing w:val="-4"/>
        </w:rPr>
        <w:t xml:space="preserve"> </w:t>
      </w:r>
      <w:r>
        <w:rPr>
          <w:color w:val="232323"/>
        </w:rPr>
        <w:t>g/day)</w:t>
      </w:r>
      <w:r>
        <w:rPr>
          <w:color w:val="232323"/>
          <w:spacing w:val="-3"/>
        </w:rPr>
        <w:t xml:space="preserve"> </w:t>
      </w:r>
      <w:r>
        <w:rPr>
          <w:color w:val="232323"/>
        </w:rPr>
        <w:t>as detailed</w:t>
      </w:r>
      <w:r>
        <w:rPr>
          <w:color w:val="232323"/>
          <w:spacing w:val="-2"/>
        </w:rPr>
        <w:t xml:space="preserve"> </w:t>
      </w:r>
      <w:r>
        <w:rPr>
          <w:color w:val="232323"/>
        </w:rPr>
        <w:t>in</w:t>
      </w:r>
      <w:r>
        <w:rPr>
          <w:color w:val="232323"/>
          <w:spacing w:val="-4"/>
        </w:rPr>
        <w:t xml:space="preserve"> </w:t>
      </w:r>
      <w:r>
        <w:rPr>
          <w:color w:val="232323"/>
        </w:rPr>
        <w:t>the</w:t>
      </w:r>
      <w:r>
        <w:rPr>
          <w:color w:val="232323"/>
          <w:spacing w:val="-2"/>
        </w:rPr>
        <w:t xml:space="preserve"> </w:t>
      </w:r>
      <w:r>
        <w:rPr>
          <w:color w:val="232323"/>
        </w:rPr>
        <w:t>SCCS's</w:t>
      </w:r>
      <w:r>
        <w:rPr>
          <w:color w:val="232323"/>
          <w:spacing w:val="-3"/>
        </w:rPr>
        <w:t xml:space="preserve"> </w:t>
      </w:r>
      <w:r>
        <w:rPr>
          <w:color w:val="232323"/>
        </w:rPr>
        <w:t>guidance</w:t>
      </w:r>
      <w:r>
        <w:rPr>
          <w:color w:val="232323"/>
          <w:spacing w:val="-4"/>
        </w:rPr>
        <w:t xml:space="preserve"> </w:t>
      </w:r>
      <w:r>
        <w:rPr>
          <w:color w:val="232323"/>
        </w:rPr>
        <w:t>for</w:t>
      </w:r>
      <w:r>
        <w:rPr>
          <w:color w:val="232323"/>
          <w:spacing w:val="-3"/>
        </w:rPr>
        <w:t xml:space="preserve"> </w:t>
      </w:r>
      <w:r>
        <w:rPr>
          <w:color w:val="232323"/>
        </w:rPr>
        <w:t>testing cosmetic ingredients (12</w:t>
      </w:r>
      <w:r w:rsidRPr="00965633">
        <w:rPr>
          <w:color w:val="232323"/>
          <w:position w:val="6"/>
          <w:sz w:val="13"/>
          <w:vertAlign w:val="superscript"/>
        </w:rPr>
        <w:t>th</w:t>
      </w:r>
      <w:r w:rsidR="00965633">
        <w:rPr>
          <w:color w:val="232323"/>
          <w:spacing w:val="26"/>
          <w:position w:val="6"/>
          <w:sz w:val="13"/>
        </w:rPr>
        <w:t xml:space="preserve"> </w:t>
      </w:r>
      <w:r>
        <w:rPr>
          <w:color w:val="232323"/>
        </w:rPr>
        <w:t>revision). This model is recognised by some international regions such as Europe, where sunscreens are regulated as cosmetics and</w:t>
      </w:r>
      <w:r w:rsidR="00DC73F8">
        <w:rPr>
          <w:color w:val="232323"/>
        </w:rPr>
        <w:t xml:space="preserve"> the model</w:t>
      </w:r>
      <w:r>
        <w:rPr>
          <w:color w:val="232323"/>
        </w:rPr>
        <w:t xml:space="preserve"> has </w:t>
      </w:r>
      <w:r w:rsidR="00965633">
        <w:rPr>
          <w:color w:val="232323"/>
        </w:rPr>
        <w:t xml:space="preserve">also </w:t>
      </w:r>
      <w:r>
        <w:rPr>
          <w:color w:val="232323"/>
        </w:rPr>
        <w:t xml:space="preserve">been employed </w:t>
      </w:r>
      <w:r w:rsidR="00E637EF">
        <w:rPr>
          <w:color w:val="232323"/>
        </w:rPr>
        <w:t>in previous TGA assessments and submitted by</w:t>
      </w:r>
      <w:r w:rsidR="00DC73F8">
        <w:rPr>
          <w:color w:val="232323"/>
        </w:rPr>
        <w:t xml:space="preserve"> sunscreen ingredient applicants.</w:t>
      </w:r>
    </w:p>
    <w:p w14:paraId="7B783E26" w14:textId="77777777" w:rsidR="00E37D50" w:rsidRDefault="00B367E5" w:rsidP="003121D9">
      <w:pPr>
        <w:pStyle w:val="BodyText"/>
        <w:spacing w:before="116"/>
      </w:pPr>
      <w:r w:rsidRPr="003121D9">
        <w:rPr>
          <w:b/>
          <w:bCs/>
          <w:color w:val="232323"/>
        </w:rPr>
        <w:t>Option 3</w:t>
      </w:r>
      <w:r w:rsidRPr="003121D9">
        <w:rPr>
          <w:color w:val="232323"/>
        </w:rPr>
        <w:t>:</w:t>
      </w:r>
      <w:r w:rsidRPr="004813EC">
        <w:rPr>
          <w:b/>
          <w:bCs/>
          <w:color w:val="232323"/>
        </w:rPr>
        <w:t xml:space="preserve"> </w:t>
      </w:r>
      <w:r w:rsidR="003121D9" w:rsidRPr="004813EC">
        <w:rPr>
          <w:b/>
          <w:bCs/>
        </w:rPr>
        <w:t>Status Quo:</w:t>
      </w:r>
      <w:r w:rsidR="003121D9">
        <w:t xml:space="preserve"> </w:t>
      </w:r>
    </w:p>
    <w:p w14:paraId="5F8F9676" w14:textId="56B4E05C" w:rsidR="00363166" w:rsidRDefault="003121D9" w:rsidP="003121D9">
      <w:pPr>
        <w:pStyle w:val="BodyText"/>
        <w:spacing w:before="116"/>
      </w:pPr>
      <w:r>
        <w:rPr>
          <w:color w:val="232323"/>
        </w:rPr>
        <w:t xml:space="preserve">This option </w:t>
      </w:r>
      <w:r w:rsidR="00311A57">
        <w:rPr>
          <w:color w:val="232323"/>
        </w:rPr>
        <w:t>does not</w:t>
      </w:r>
      <w:r>
        <w:rPr>
          <w:color w:val="232323"/>
        </w:rPr>
        <w:t xml:space="preserve"> adopt a specific estimated daily sunscreen exposure model</w:t>
      </w:r>
      <w:r w:rsidR="00311A57">
        <w:rPr>
          <w:color w:val="232323"/>
        </w:rPr>
        <w:t xml:space="preserve">. Instead, </w:t>
      </w:r>
      <w:r>
        <w:rPr>
          <w:color w:val="232323"/>
        </w:rPr>
        <w:t>evaluat</w:t>
      </w:r>
      <w:r w:rsidR="0033525F">
        <w:rPr>
          <w:color w:val="232323"/>
        </w:rPr>
        <w:t>i</w:t>
      </w:r>
      <w:r w:rsidR="00311A57">
        <w:rPr>
          <w:color w:val="232323"/>
        </w:rPr>
        <w:t xml:space="preserve">on of </w:t>
      </w:r>
      <w:r>
        <w:rPr>
          <w:color w:val="232323"/>
        </w:rPr>
        <w:t>sunscreen</w:t>
      </w:r>
      <w:r>
        <w:rPr>
          <w:color w:val="232323"/>
          <w:spacing w:val="-4"/>
        </w:rPr>
        <w:t xml:space="preserve"> </w:t>
      </w:r>
      <w:r>
        <w:rPr>
          <w:color w:val="232323"/>
        </w:rPr>
        <w:t>ingredients</w:t>
      </w:r>
      <w:r>
        <w:rPr>
          <w:color w:val="232323"/>
          <w:spacing w:val="-3"/>
        </w:rPr>
        <w:t xml:space="preserve"> </w:t>
      </w:r>
      <w:r w:rsidR="00311A57">
        <w:rPr>
          <w:color w:val="232323"/>
          <w:spacing w:val="-3"/>
        </w:rPr>
        <w:t xml:space="preserve">will </w:t>
      </w:r>
      <w:r w:rsidR="00DC73F8">
        <w:rPr>
          <w:color w:val="232323"/>
          <w:spacing w:val="-3"/>
        </w:rPr>
        <w:t>be on a</w:t>
      </w:r>
      <w:r>
        <w:rPr>
          <w:color w:val="232323"/>
          <w:spacing w:val="-4"/>
        </w:rPr>
        <w:t xml:space="preserve"> </w:t>
      </w:r>
      <w:r>
        <w:rPr>
          <w:color w:val="232323"/>
        </w:rPr>
        <w:t>case-by-case</w:t>
      </w:r>
      <w:r>
        <w:rPr>
          <w:color w:val="232323"/>
          <w:spacing w:val="-4"/>
        </w:rPr>
        <w:t xml:space="preserve"> </w:t>
      </w:r>
      <w:r>
        <w:rPr>
          <w:color w:val="232323"/>
        </w:rPr>
        <w:t>basis</w:t>
      </w:r>
      <w:r w:rsidR="0007543E">
        <w:rPr>
          <w:color w:val="232323"/>
          <w:spacing w:val="-3"/>
        </w:rPr>
        <w:t xml:space="preserve">, </w:t>
      </w:r>
      <w:r w:rsidR="0007543E">
        <w:rPr>
          <w:color w:val="232323"/>
        </w:rPr>
        <w:t xml:space="preserve">with the applicant able to use </w:t>
      </w:r>
      <w:r>
        <w:rPr>
          <w:color w:val="232323"/>
        </w:rPr>
        <w:t>various</w:t>
      </w:r>
      <w:r>
        <w:rPr>
          <w:color w:val="232323"/>
          <w:spacing w:val="-3"/>
        </w:rPr>
        <w:t xml:space="preserve"> </w:t>
      </w:r>
      <w:r>
        <w:rPr>
          <w:color w:val="232323"/>
        </w:rPr>
        <w:t>approaches</w:t>
      </w:r>
      <w:r w:rsidR="0007543E">
        <w:rPr>
          <w:color w:val="232323"/>
        </w:rPr>
        <w:t xml:space="preserve"> providing they </w:t>
      </w:r>
      <w:r w:rsidR="0033525F">
        <w:rPr>
          <w:color w:val="232323"/>
        </w:rPr>
        <w:t>can</w:t>
      </w:r>
      <w:r w:rsidR="0007543E">
        <w:rPr>
          <w:color w:val="232323"/>
        </w:rPr>
        <w:t xml:space="preserve"> provide </w:t>
      </w:r>
      <w:r w:rsidR="0033525F">
        <w:rPr>
          <w:color w:val="232323"/>
        </w:rPr>
        <w:t>an acceptable</w:t>
      </w:r>
      <w:r w:rsidR="0007543E">
        <w:rPr>
          <w:color w:val="232323"/>
        </w:rPr>
        <w:t xml:space="preserve"> justification for their approach.</w:t>
      </w:r>
    </w:p>
    <w:p w14:paraId="7E7FC36D" w14:textId="0BA123E3" w:rsidR="0033525F" w:rsidRPr="0033525F" w:rsidRDefault="0033525F" w:rsidP="00290E87">
      <w:pPr>
        <w:pStyle w:val="BodyText"/>
        <w:spacing w:before="119" w:line="259" w:lineRule="auto"/>
        <w:ind w:left="1" w:right="118" w:hanging="1"/>
        <w:rPr>
          <w:b/>
          <w:bCs/>
        </w:rPr>
      </w:pPr>
      <w:r w:rsidRPr="0033525F">
        <w:rPr>
          <w:b/>
          <w:bCs/>
        </w:rPr>
        <w:t>Preferred option</w:t>
      </w:r>
    </w:p>
    <w:p w14:paraId="1541F5A7" w14:textId="6612D337" w:rsidR="00E37D50" w:rsidRDefault="002F01B6" w:rsidP="00290E87">
      <w:pPr>
        <w:pStyle w:val="BodyText"/>
        <w:spacing w:before="119" w:line="259" w:lineRule="auto"/>
        <w:ind w:left="1" w:right="118" w:hanging="1"/>
      </w:pPr>
      <w:r>
        <w:t xml:space="preserve">The TGA </w:t>
      </w:r>
      <w:r w:rsidR="0033525F">
        <w:t>prefers</w:t>
      </w:r>
      <w:r>
        <w:t xml:space="preserve"> Option </w:t>
      </w:r>
      <w:r w:rsidR="003121D9">
        <w:t>1</w:t>
      </w:r>
      <w:r>
        <w:t xml:space="preserve"> as it</w:t>
      </w:r>
      <w:r w:rsidR="00D25292">
        <w:t xml:space="preserve"> will provide regulatory certainty for industry and increase</w:t>
      </w:r>
      <w:r w:rsidR="00965633">
        <w:t xml:space="preserve"> Australian</w:t>
      </w:r>
      <w:r w:rsidR="00D25292">
        <w:t xml:space="preserve"> consumer </w:t>
      </w:r>
      <w:r w:rsidR="00AC066F">
        <w:t xml:space="preserve">confidence in the </w:t>
      </w:r>
      <w:r w:rsidR="0033525F">
        <w:t>safety</w:t>
      </w:r>
      <w:r w:rsidR="00AC066F">
        <w:t xml:space="preserve"> of sunscreens. </w:t>
      </w:r>
      <w:r w:rsidR="00E37D50">
        <w:t xml:space="preserve">The </w:t>
      </w:r>
      <w:bookmarkStart w:id="6" w:name="_Hlk174111292"/>
      <w:r w:rsidR="0033525F">
        <w:t>ASEM</w:t>
      </w:r>
      <w:r w:rsidR="00E37D50">
        <w:t xml:space="preserve"> </w:t>
      </w:r>
      <w:bookmarkEnd w:id="6"/>
      <w:r w:rsidR="00E37D50">
        <w:t xml:space="preserve">will provide a consistent and transparent process for assessing the safety of sunscreen ingredients that aligns with Australian conditions and consumer practices. This will </w:t>
      </w:r>
      <w:r w:rsidR="00311A57">
        <w:t>provide</w:t>
      </w:r>
      <w:r w:rsidR="00E37D50">
        <w:t xml:space="preserve"> regulatory certainty and a fair framework for industry applications, while reinforcing consumer expectations that sunscreens approved for use in Australia are safe to be used by everyone, no matter age or outdoor activity.</w:t>
      </w:r>
    </w:p>
    <w:p w14:paraId="6BC872E8" w14:textId="77777777" w:rsidR="0033525F" w:rsidRDefault="0033525F" w:rsidP="00F53950">
      <w:pPr>
        <w:pStyle w:val="BodyText"/>
        <w:spacing w:before="119" w:line="259" w:lineRule="auto"/>
        <w:ind w:left="1" w:right="118" w:hanging="1"/>
      </w:pPr>
      <w:r>
        <w:t>The majority of respondents to the recent consultation also support Option 1.</w:t>
      </w:r>
    </w:p>
    <w:p w14:paraId="4BA5AC0B" w14:textId="3B1E979B" w:rsidR="00BB3279" w:rsidRDefault="002C0E6A" w:rsidP="00F53950">
      <w:pPr>
        <w:pStyle w:val="BodyText"/>
        <w:spacing w:before="119" w:line="259" w:lineRule="auto"/>
        <w:ind w:left="1" w:right="118" w:hanging="1"/>
        <w:rPr>
          <w:rFonts w:eastAsia="Times New Roman" w:cs="Times New Roman"/>
          <w:b/>
          <w:bCs/>
          <w:color w:val="001871"/>
          <w:sz w:val="38"/>
          <w:szCs w:val="38"/>
        </w:rPr>
      </w:pPr>
      <w:r w:rsidRPr="00F53950">
        <w:rPr>
          <w:color w:val="232323"/>
        </w:rPr>
        <w:t xml:space="preserve">Adoption of the </w:t>
      </w:r>
      <w:r w:rsidR="0033525F">
        <w:rPr>
          <w:color w:val="232323"/>
        </w:rPr>
        <w:t>ASEM</w:t>
      </w:r>
      <w:r w:rsidR="00AF5A2A" w:rsidRPr="00F53950">
        <w:rPr>
          <w:color w:val="232323"/>
        </w:rPr>
        <w:t xml:space="preserve"> will be a decision of </w:t>
      </w:r>
      <w:r w:rsidR="00691F86" w:rsidRPr="00F53950">
        <w:rPr>
          <w:color w:val="232323"/>
        </w:rPr>
        <w:t xml:space="preserve">a </w:t>
      </w:r>
      <w:r w:rsidR="00715033" w:rsidRPr="00F53950">
        <w:rPr>
          <w:color w:val="232323"/>
        </w:rPr>
        <w:t>delegate of the Secretary of the</w:t>
      </w:r>
      <w:r w:rsidR="00F53950">
        <w:rPr>
          <w:color w:val="232323"/>
        </w:rPr>
        <w:t xml:space="preserve"> Department of Health and Aged Care. </w:t>
      </w:r>
    </w:p>
    <w:p w14:paraId="0315079B" w14:textId="77777777" w:rsidR="00720FAB" w:rsidRDefault="00720FAB">
      <w:pPr>
        <w:rPr>
          <w:rFonts w:eastAsia="Times New Roman" w:cs="Times New Roman"/>
          <w:b/>
          <w:bCs/>
          <w:color w:val="001871"/>
          <w:sz w:val="38"/>
          <w:szCs w:val="38"/>
        </w:rPr>
      </w:pPr>
      <w:r>
        <w:br w:type="page"/>
      </w:r>
    </w:p>
    <w:p w14:paraId="4E73598F" w14:textId="1BBED599" w:rsidR="004C17FD" w:rsidRDefault="004C17FD" w:rsidP="004C17FD">
      <w:pPr>
        <w:pStyle w:val="Heading2"/>
      </w:pPr>
      <w:bookmarkStart w:id="7" w:name="_Toc184730538"/>
      <w:r w:rsidRPr="007633D1">
        <w:t>Background</w:t>
      </w:r>
      <w:bookmarkEnd w:id="7"/>
    </w:p>
    <w:p w14:paraId="42B91951" w14:textId="58D1818D" w:rsidR="008A573D" w:rsidRPr="009A44F2" w:rsidRDefault="008A573D" w:rsidP="008A573D">
      <w:pPr>
        <w:rPr>
          <w:lang w:val="en-US"/>
        </w:rPr>
      </w:pPr>
      <w:r w:rsidRPr="009A44F2">
        <w:rPr>
          <w:lang w:val="en-US"/>
        </w:rPr>
        <w:t xml:space="preserve">The Therapeutic Goods Administration (TGA) regulates therapeutic sunscreens that protect Australians against the sun’s harmful </w:t>
      </w:r>
      <w:r w:rsidR="000801F7">
        <w:rPr>
          <w:lang w:val="en-US"/>
        </w:rPr>
        <w:t>u</w:t>
      </w:r>
      <w:r w:rsidRPr="009A44F2">
        <w:rPr>
          <w:lang w:val="en-US"/>
        </w:rPr>
        <w:t>ltra</w:t>
      </w:r>
      <w:r w:rsidR="000801F7">
        <w:rPr>
          <w:lang w:val="en-US"/>
        </w:rPr>
        <w:t>v</w:t>
      </w:r>
      <w:r w:rsidRPr="009A44F2">
        <w:rPr>
          <w:lang w:val="en-US"/>
        </w:rPr>
        <w:t>iolet radiation</w:t>
      </w:r>
      <w:r w:rsidR="00FD6CF6">
        <w:rPr>
          <w:lang w:val="en-US"/>
        </w:rPr>
        <w:t xml:space="preserve"> (UVR)</w:t>
      </w:r>
      <w:r w:rsidRPr="009A44F2">
        <w:rPr>
          <w:lang w:val="en-US"/>
        </w:rPr>
        <w:t>. UV</w:t>
      </w:r>
      <w:r w:rsidR="00FD6CF6">
        <w:rPr>
          <w:lang w:val="en-US"/>
        </w:rPr>
        <w:t>R</w:t>
      </w:r>
      <w:r w:rsidRPr="009A44F2">
        <w:rPr>
          <w:lang w:val="en-US"/>
        </w:rPr>
        <w:t xml:space="preserve"> is a major health concern linked to approximately 95% of melanoma cases in the country (Cancer Australia 2019).</w:t>
      </w:r>
    </w:p>
    <w:p w14:paraId="520D14E3" w14:textId="56D639FD" w:rsidR="008A573D" w:rsidRPr="00494EAF" w:rsidRDefault="008A573D" w:rsidP="008A573D">
      <w:pPr>
        <w:rPr>
          <w:vertAlign w:val="superscript"/>
          <w:lang w:val="en-US"/>
        </w:rPr>
      </w:pPr>
      <w:r w:rsidRPr="009A44F2">
        <w:rPr>
          <w:lang w:val="en-US"/>
        </w:rPr>
        <w:t>Exposure to UV</w:t>
      </w:r>
      <w:r w:rsidR="00FD6CF6">
        <w:rPr>
          <w:lang w:val="en-US"/>
        </w:rPr>
        <w:t>R</w:t>
      </w:r>
      <w:r w:rsidRPr="009A44F2">
        <w:rPr>
          <w:lang w:val="en-US"/>
        </w:rPr>
        <w:t xml:space="preserve"> is a significant risk factor and is known to cause skin cancer in humans (IARC 1992)</w:t>
      </w:r>
      <w:r w:rsidR="00DC73F8">
        <w:rPr>
          <w:lang w:val="en-US"/>
        </w:rPr>
        <w:t xml:space="preserve">. </w:t>
      </w:r>
      <w:r w:rsidRPr="009A44F2">
        <w:rPr>
          <w:lang w:val="en-US"/>
        </w:rPr>
        <w:t>Preventative UV</w:t>
      </w:r>
      <w:r w:rsidR="002E2592">
        <w:rPr>
          <w:lang w:val="en-US"/>
        </w:rPr>
        <w:t>R</w:t>
      </w:r>
      <w:r w:rsidRPr="009A44F2">
        <w:rPr>
          <w:lang w:val="en-US"/>
        </w:rPr>
        <w:t xml:space="preserve"> exposure measures, such as using sunscreens, are an effective strategy against developing skin cancer (Green et al. 2011; Olsen et al. 2015)</w:t>
      </w:r>
      <w:r w:rsidR="00311A57">
        <w:rPr>
          <w:lang w:val="en-US"/>
        </w:rPr>
        <w:t xml:space="preserve">. </w:t>
      </w:r>
      <w:r w:rsidRPr="009A44F2">
        <w:rPr>
          <w:lang w:val="en-US"/>
        </w:rPr>
        <w:t xml:space="preserve">Despite being the last recommended line of </w:t>
      </w:r>
      <w:r w:rsidRPr="009A44F2">
        <w:t>defence</w:t>
      </w:r>
      <w:r w:rsidRPr="009A44F2">
        <w:rPr>
          <w:lang w:val="en-US"/>
        </w:rPr>
        <w:t xml:space="preserve"> after other protective measures, such as seeking shade and wearing UV protective clothing, sunscreens are one of the most common methods of sun protection (Stanton et al. 2004) and suggested to be a cost-effective method for preventing skin cancer (Gordon et al. 2009; Gordon et al. 2020).</w:t>
      </w:r>
    </w:p>
    <w:p w14:paraId="5AE727D9" w14:textId="61500B81" w:rsidR="008A573D" w:rsidRDefault="008A573D" w:rsidP="008A573D">
      <w:pPr>
        <w:rPr>
          <w:lang w:val="en-US"/>
        </w:rPr>
      </w:pPr>
      <w:r w:rsidRPr="009A44F2">
        <w:rPr>
          <w:lang w:val="en-US"/>
        </w:rPr>
        <w:t xml:space="preserve">While Australians widely use sunscreen, individual application varies based on factors such as daily habits, occupational exposure and recreational activities. Australians are increasingly aware of sun safety and are using sun protection measures (Cancer Australia </w:t>
      </w:r>
      <w:r w:rsidRPr="00311A57">
        <w:rPr>
          <w:lang w:val="en-US"/>
        </w:rPr>
        <w:t>2019) which may be</w:t>
      </w:r>
      <w:r w:rsidRPr="009A44F2">
        <w:rPr>
          <w:lang w:val="en-US"/>
        </w:rPr>
        <w:t xml:space="preserve"> due to increased promotion and public awareness of their importance and benefits. As such, the way sunscreens were used in the past is likely to differ to how they are used today.</w:t>
      </w:r>
    </w:p>
    <w:p w14:paraId="6132F858" w14:textId="656A0202" w:rsidR="00A64E1A" w:rsidRDefault="00A06B8A" w:rsidP="00A01BB1">
      <w:pPr>
        <w:pStyle w:val="Heading3"/>
        <w:rPr>
          <w:lang w:val="en-US"/>
        </w:rPr>
      </w:pPr>
      <w:bookmarkStart w:id="8" w:name="_Toc184730539"/>
      <w:r>
        <w:rPr>
          <w:lang w:val="en-US"/>
        </w:rPr>
        <w:t>Skin cancer rates in Australia</w:t>
      </w:r>
      <w:bookmarkEnd w:id="8"/>
    </w:p>
    <w:p w14:paraId="7EE46E8D" w14:textId="7EBA436F" w:rsidR="00261A39" w:rsidRDefault="00261A39" w:rsidP="00261A39">
      <w:pPr>
        <w:pStyle w:val="BodyText"/>
        <w:spacing w:before="119" w:line="259" w:lineRule="auto"/>
        <w:ind w:right="474"/>
      </w:pPr>
      <w:r>
        <w:t>Populations</w:t>
      </w:r>
      <w:r>
        <w:rPr>
          <w:spacing w:val="-3"/>
        </w:rPr>
        <w:t xml:space="preserve"> </w:t>
      </w:r>
      <w:r>
        <w:t>that</w:t>
      </w:r>
      <w:r>
        <w:rPr>
          <w:spacing w:val="-4"/>
        </w:rPr>
        <w:t xml:space="preserve"> </w:t>
      </w:r>
      <w:r>
        <w:t>live</w:t>
      </w:r>
      <w:r>
        <w:rPr>
          <w:spacing w:val="-2"/>
        </w:rPr>
        <w:t xml:space="preserve"> </w:t>
      </w:r>
      <w:r>
        <w:t>in</w:t>
      </w:r>
      <w:r>
        <w:rPr>
          <w:spacing w:val="-4"/>
        </w:rPr>
        <w:t xml:space="preserve"> </w:t>
      </w:r>
      <w:r>
        <w:t>areas</w:t>
      </w:r>
      <w:r>
        <w:rPr>
          <w:spacing w:val="-3"/>
        </w:rPr>
        <w:t xml:space="preserve"> </w:t>
      </w:r>
      <w:r>
        <w:t>with</w:t>
      </w:r>
      <w:r>
        <w:rPr>
          <w:spacing w:val="-2"/>
        </w:rPr>
        <w:t xml:space="preserve"> </w:t>
      </w:r>
      <w:r>
        <w:t>intense</w:t>
      </w:r>
      <w:r>
        <w:rPr>
          <w:spacing w:val="-2"/>
        </w:rPr>
        <w:t xml:space="preserve"> </w:t>
      </w:r>
      <w:r>
        <w:t>ambient</w:t>
      </w:r>
      <w:r>
        <w:rPr>
          <w:spacing w:val="-4"/>
        </w:rPr>
        <w:t xml:space="preserve"> </w:t>
      </w:r>
      <w:r w:rsidR="00444A55">
        <w:t>UV</w:t>
      </w:r>
      <w:r w:rsidR="00FD6CF6">
        <w:t>R</w:t>
      </w:r>
      <w:r>
        <w:rPr>
          <w:spacing w:val="-4"/>
        </w:rPr>
        <w:t xml:space="preserve"> </w:t>
      </w:r>
      <w:r>
        <w:t>and</w:t>
      </w:r>
      <w:r>
        <w:rPr>
          <w:spacing w:val="-2"/>
        </w:rPr>
        <w:t xml:space="preserve"> </w:t>
      </w:r>
      <w:r>
        <w:t>who</w:t>
      </w:r>
      <w:r>
        <w:rPr>
          <w:spacing w:val="-4"/>
        </w:rPr>
        <w:t xml:space="preserve"> </w:t>
      </w:r>
      <w:r>
        <w:t>work</w:t>
      </w:r>
      <w:r>
        <w:rPr>
          <w:spacing w:val="-3"/>
        </w:rPr>
        <w:t xml:space="preserve"> </w:t>
      </w:r>
      <w:r>
        <w:t>and</w:t>
      </w:r>
      <w:r>
        <w:rPr>
          <w:spacing w:val="-2"/>
        </w:rPr>
        <w:t xml:space="preserve"> </w:t>
      </w:r>
      <w:r>
        <w:t xml:space="preserve">spend leisure time outdoors in the sun are at increased risk of developing skin cancer. Skin cancer can be broadly classified into </w:t>
      </w:r>
      <w:r w:rsidR="00444A55">
        <w:t>two</w:t>
      </w:r>
      <w:r>
        <w:t xml:space="preserve"> categories:</w:t>
      </w:r>
    </w:p>
    <w:p w14:paraId="1C721122" w14:textId="1990DC74" w:rsidR="00261A39" w:rsidRPr="00DC420D" w:rsidRDefault="00261A39" w:rsidP="006D28D0">
      <w:pPr>
        <w:pStyle w:val="ListBullet"/>
      </w:pPr>
      <w:r w:rsidRPr="00DC420D">
        <w:t>non-melanoma</w:t>
      </w:r>
      <w:r w:rsidRPr="00965633">
        <w:t xml:space="preserve"> </w:t>
      </w:r>
      <w:r w:rsidRPr="00DC420D">
        <w:t>keratinocyte</w:t>
      </w:r>
      <w:r w:rsidRPr="00965633">
        <w:t xml:space="preserve"> </w:t>
      </w:r>
      <w:r w:rsidRPr="00DC420D">
        <w:t>cancers,</w:t>
      </w:r>
      <w:r w:rsidRPr="00965633">
        <w:t xml:space="preserve"> </w:t>
      </w:r>
      <w:r w:rsidRPr="00DC420D">
        <w:t>including</w:t>
      </w:r>
      <w:r w:rsidRPr="00965633">
        <w:t xml:space="preserve"> </w:t>
      </w:r>
      <w:r w:rsidRPr="00DC420D">
        <w:t>basal</w:t>
      </w:r>
      <w:r w:rsidRPr="00965633">
        <w:t xml:space="preserve"> </w:t>
      </w:r>
      <w:r w:rsidRPr="00DC420D">
        <w:t>cell</w:t>
      </w:r>
      <w:r w:rsidRPr="00965633">
        <w:t xml:space="preserve"> </w:t>
      </w:r>
      <w:r w:rsidRPr="00DC420D">
        <w:t>carcinomas</w:t>
      </w:r>
      <w:r w:rsidRPr="00965633">
        <w:t xml:space="preserve"> </w:t>
      </w:r>
      <w:r w:rsidRPr="00DC420D">
        <w:t>(BCC)</w:t>
      </w:r>
      <w:r w:rsidRPr="00965633">
        <w:t xml:space="preserve"> </w:t>
      </w:r>
      <w:r w:rsidRPr="00DC420D">
        <w:t>and</w:t>
      </w:r>
      <w:r w:rsidRPr="00965633">
        <w:t xml:space="preserve"> </w:t>
      </w:r>
      <w:r w:rsidRPr="00DC420D">
        <w:t>squamous cell carcinomas (SCC), which are the most prevalent types</w:t>
      </w:r>
    </w:p>
    <w:p w14:paraId="5F080D35" w14:textId="77777777" w:rsidR="00261A39" w:rsidRPr="00DC420D" w:rsidRDefault="00261A39" w:rsidP="006D28D0">
      <w:pPr>
        <w:pStyle w:val="ListBullet"/>
      </w:pPr>
      <w:r w:rsidRPr="00DC420D">
        <w:t>malignant</w:t>
      </w:r>
      <w:r w:rsidRPr="00DC420D">
        <w:rPr>
          <w:spacing w:val="-7"/>
        </w:rPr>
        <w:t xml:space="preserve"> </w:t>
      </w:r>
      <w:r w:rsidRPr="00DC420D">
        <w:t>melanomas,</w:t>
      </w:r>
      <w:r w:rsidRPr="00DC420D">
        <w:rPr>
          <w:spacing w:val="-7"/>
        </w:rPr>
        <w:t xml:space="preserve"> </w:t>
      </w:r>
      <w:r w:rsidRPr="00DC420D">
        <w:t>which</w:t>
      </w:r>
      <w:r w:rsidRPr="00DC420D">
        <w:rPr>
          <w:spacing w:val="-8"/>
        </w:rPr>
        <w:t xml:space="preserve"> </w:t>
      </w:r>
      <w:r w:rsidRPr="00DC420D">
        <w:t>have</w:t>
      </w:r>
      <w:r w:rsidRPr="00DC420D">
        <w:rPr>
          <w:spacing w:val="-8"/>
        </w:rPr>
        <w:t xml:space="preserve"> </w:t>
      </w:r>
      <w:r w:rsidRPr="00DC420D">
        <w:t>a</w:t>
      </w:r>
      <w:r w:rsidRPr="00DC420D">
        <w:rPr>
          <w:spacing w:val="-6"/>
        </w:rPr>
        <w:t xml:space="preserve"> </w:t>
      </w:r>
      <w:r w:rsidRPr="00DC420D">
        <w:t>high</w:t>
      </w:r>
      <w:r w:rsidRPr="00DC420D">
        <w:rPr>
          <w:spacing w:val="-6"/>
        </w:rPr>
        <w:t xml:space="preserve"> </w:t>
      </w:r>
      <w:r w:rsidRPr="00DC420D">
        <w:t>mortality</w:t>
      </w:r>
      <w:r w:rsidRPr="00DC420D">
        <w:rPr>
          <w:spacing w:val="-7"/>
        </w:rPr>
        <w:t xml:space="preserve"> </w:t>
      </w:r>
      <w:r w:rsidRPr="00DC420D">
        <w:rPr>
          <w:spacing w:val="-4"/>
        </w:rPr>
        <w:t>rate.</w:t>
      </w:r>
    </w:p>
    <w:p w14:paraId="52EF8B83" w14:textId="32D1FA96" w:rsidR="00261A39" w:rsidRPr="00DA4FD8" w:rsidRDefault="00261A39" w:rsidP="00261A39">
      <w:pPr>
        <w:pStyle w:val="BodyText"/>
        <w:spacing w:before="135" w:line="259" w:lineRule="auto"/>
        <w:ind w:right="502"/>
        <w:rPr>
          <w:iCs/>
        </w:rPr>
      </w:pPr>
      <w:r>
        <w:t>In</w:t>
      </w:r>
      <w:r>
        <w:rPr>
          <w:spacing w:val="-3"/>
        </w:rPr>
        <w:t xml:space="preserve"> </w:t>
      </w:r>
      <w:r>
        <w:t>Australia,</w:t>
      </w:r>
      <w:r>
        <w:rPr>
          <w:spacing w:val="-3"/>
        </w:rPr>
        <w:t xml:space="preserve"> </w:t>
      </w:r>
      <w:r>
        <w:t>skin</w:t>
      </w:r>
      <w:r>
        <w:rPr>
          <w:spacing w:val="-1"/>
        </w:rPr>
        <w:t xml:space="preserve"> </w:t>
      </w:r>
      <w:r>
        <w:t>cancer</w:t>
      </w:r>
      <w:r>
        <w:rPr>
          <w:spacing w:val="-2"/>
        </w:rPr>
        <w:t xml:space="preserve"> </w:t>
      </w:r>
      <w:r>
        <w:t>is a</w:t>
      </w:r>
      <w:r>
        <w:rPr>
          <w:spacing w:val="-3"/>
        </w:rPr>
        <w:t xml:space="preserve"> </w:t>
      </w:r>
      <w:r>
        <w:t>major</w:t>
      </w:r>
      <w:r>
        <w:rPr>
          <w:spacing w:val="-2"/>
        </w:rPr>
        <w:t xml:space="preserve"> </w:t>
      </w:r>
      <w:r>
        <w:t>health</w:t>
      </w:r>
      <w:r>
        <w:rPr>
          <w:spacing w:val="-1"/>
        </w:rPr>
        <w:t xml:space="preserve"> </w:t>
      </w:r>
      <w:r>
        <w:t>issue</w:t>
      </w:r>
      <w:r w:rsidR="0075466E">
        <w:t>,</w:t>
      </w:r>
      <w:r>
        <w:rPr>
          <w:spacing w:val="-3"/>
        </w:rPr>
        <w:t xml:space="preserve"> </w:t>
      </w:r>
      <w:r>
        <w:t>and</w:t>
      </w:r>
      <w:r>
        <w:rPr>
          <w:spacing w:val="-3"/>
        </w:rPr>
        <w:t xml:space="preserve"> </w:t>
      </w:r>
      <w:r>
        <w:t>we</w:t>
      </w:r>
      <w:r>
        <w:rPr>
          <w:spacing w:val="-3"/>
        </w:rPr>
        <w:t xml:space="preserve"> </w:t>
      </w:r>
      <w:r>
        <w:t>have</w:t>
      </w:r>
      <w:r>
        <w:rPr>
          <w:spacing w:val="-1"/>
        </w:rPr>
        <w:t xml:space="preserve"> </w:t>
      </w:r>
      <w:r>
        <w:t>one</w:t>
      </w:r>
      <w:r>
        <w:rPr>
          <w:spacing w:val="-1"/>
        </w:rPr>
        <w:t xml:space="preserve"> </w:t>
      </w:r>
      <w:r>
        <w:t>of</w:t>
      </w:r>
      <w:r>
        <w:rPr>
          <w:spacing w:val="-3"/>
        </w:rPr>
        <w:t xml:space="preserve"> </w:t>
      </w:r>
      <w:r>
        <w:t>the</w:t>
      </w:r>
      <w:r>
        <w:rPr>
          <w:spacing w:val="-1"/>
        </w:rPr>
        <w:t xml:space="preserve"> </w:t>
      </w:r>
      <w:r>
        <w:t>highest</w:t>
      </w:r>
      <w:r>
        <w:rPr>
          <w:spacing w:val="-3"/>
        </w:rPr>
        <w:t xml:space="preserve"> </w:t>
      </w:r>
      <w:r>
        <w:t>rates</w:t>
      </w:r>
      <w:r>
        <w:rPr>
          <w:spacing w:val="-2"/>
        </w:rPr>
        <w:t xml:space="preserve"> </w:t>
      </w:r>
      <w:r>
        <w:t>of</w:t>
      </w:r>
      <w:r>
        <w:rPr>
          <w:spacing w:val="-3"/>
        </w:rPr>
        <w:t xml:space="preserve"> </w:t>
      </w:r>
      <w:r>
        <w:t>skin</w:t>
      </w:r>
      <w:r>
        <w:rPr>
          <w:spacing w:val="-3"/>
        </w:rPr>
        <w:t xml:space="preserve"> </w:t>
      </w:r>
      <w:r>
        <w:t xml:space="preserve">cancer in the world. Age-standardised incidence rates for cutaneous melanoma in Australia are more than double to triple the incidence reported for Canada, the United States and the United Kingdom. At least two in three Australians will be diagnosed with skin cancer before the age of 70 (Morton </w:t>
      </w:r>
      <w:r w:rsidRPr="00DA4FD8">
        <w:rPr>
          <w:iCs/>
        </w:rPr>
        <w:t>et al. 2023).</w:t>
      </w:r>
    </w:p>
    <w:p w14:paraId="4AC7F196" w14:textId="7D6BE415" w:rsidR="00261A39" w:rsidRDefault="00261A39" w:rsidP="00261A39">
      <w:pPr>
        <w:pStyle w:val="BodyText"/>
        <w:spacing w:before="118" w:line="259" w:lineRule="auto"/>
        <w:ind w:right="502"/>
      </w:pPr>
      <w:r w:rsidRPr="00DA4FD8">
        <w:rPr>
          <w:iCs/>
        </w:rPr>
        <w:t>Skin cancer</w:t>
      </w:r>
      <w:r>
        <w:t xml:space="preserve"> accounts for the largest number of cancers diagnosed in the Australasian region each year,</w:t>
      </w:r>
      <w:r>
        <w:rPr>
          <w:spacing w:val="-4"/>
        </w:rPr>
        <w:t xml:space="preserve"> </w:t>
      </w:r>
      <w:r>
        <w:t>resulting</w:t>
      </w:r>
      <w:r>
        <w:rPr>
          <w:spacing w:val="-3"/>
        </w:rPr>
        <w:t xml:space="preserve"> </w:t>
      </w:r>
      <w:r>
        <w:t>in</w:t>
      </w:r>
      <w:r>
        <w:rPr>
          <w:spacing w:val="-3"/>
        </w:rPr>
        <w:t xml:space="preserve"> </w:t>
      </w:r>
      <w:r>
        <w:t>significant</w:t>
      </w:r>
      <w:r>
        <w:rPr>
          <w:spacing w:val="-3"/>
        </w:rPr>
        <w:t xml:space="preserve"> </w:t>
      </w:r>
      <w:r>
        <w:t>morbidity</w:t>
      </w:r>
      <w:r>
        <w:rPr>
          <w:spacing w:val="-4"/>
        </w:rPr>
        <w:t xml:space="preserve"> </w:t>
      </w:r>
      <w:r>
        <w:t>and</w:t>
      </w:r>
      <w:r>
        <w:rPr>
          <w:spacing w:val="-3"/>
        </w:rPr>
        <w:t xml:space="preserve"> </w:t>
      </w:r>
      <w:r>
        <w:t>mortality.</w:t>
      </w:r>
      <w:r>
        <w:rPr>
          <w:spacing w:val="-4"/>
        </w:rPr>
        <w:t xml:space="preserve"> </w:t>
      </w:r>
      <w:r>
        <w:t>The</w:t>
      </w:r>
      <w:r>
        <w:rPr>
          <w:spacing w:val="-4"/>
        </w:rPr>
        <w:t xml:space="preserve"> </w:t>
      </w:r>
      <w:r>
        <w:t>Australasian</w:t>
      </w:r>
      <w:r>
        <w:rPr>
          <w:spacing w:val="-4"/>
        </w:rPr>
        <w:t xml:space="preserve"> </w:t>
      </w:r>
      <w:r>
        <w:t>College</w:t>
      </w:r>
      <w:r>
        <w:rPr>
          <w:spacing w:val="-4"/>
        </w:rPr>
        <w:t xml:space="preserve"> </w:t>
      </w:r>
      <w:r>
        <w:t>of</w:t>
      </w:r>
      <w:r>
        <w:rPr>
          <w:spacing w:val="-4"/>
        </w:rPr>
        <w:t xml:space="preserve"> </w:t>
      </w:r>
      <w:r>
        <w:t>Dermatologists</w:t>
      </w:r>
      <w:r>
        <w:rPr>
          <w:spacing w:val="-3"/>
        </w:rPr>
        <w:t xml:space="preserve"> </w:t>
      </w:r>
      <w:r>
        <w:t>states that the age-standardised incidence rate for melanoma in 1982 was 26.7 cases per 100,000 persons. The Australian Institute of Health and Welfare</w:t>
      </w:r>
      <w:r w:rsidR="00494EAF">
        <w:rPr>
          <w:rStyle w:val="FootnoteReference"/>
        </w:rPr>
        <w:footnoteReference w:id="1"/>
      </w:r>
      <w:r>
        <w:rPr>
          <w:spacing w:val="27"/>
          <w:position w:val="6"/>
          <w:sz w:val="13"/>
        </w:rPr>
        <w:t xml:space="preserve"> </w:t>
      </w:r>
      <w:r>
        <w:t>state that skin melanoma incidence rates have increased as follows:</w:t>
      </w:r>
    </w:p>
    <w:p w14:paraId="738BEEE4" w14:textId="77777777" w:rsidR="00261A39" w:rsidRPr="00DC420D" w:rsidRDefault="00261A39" w:rsidP="006D28D0">
      <w:pPr>
        <w:pStyle w:val="ListBullet"/>
      </w:pPr>
      <w:r w:rsidRPr="00DC420D">
        <w:t>54</w:t>
      </w:r>
      <w:r w:rsidRPr="00965633">
        <w:t xml:space="preserve"> </w:t>
      </w:r>
      <w:r w:rsidRPr="00DC420D">
        <w:t>cases per 100,000 people in 2000</w:t>
      </w:r>
    </w:p>
    <w:p w14:paraId="5A589424" w14:textId="433CA318" w:rsidR="00261A39" w:rsidRPr="00DC420D" w:rsidRDefault="00261A39" w:rsidP="006D28D0">
      <w:pPr>
        <w:pStyle w:val="ListBullet"/>
      </w:pPr>
      <w:r w:rsidRPr="00DC420D">
        <w:t>69 cases per 100,000 people in 2023</w:t>
      </w:r>
    </w:p>
    <w:p w14:paraId="133817E6" w14:textId="77777777" w:rsidR="00261A39" w:rsidRPr="00DC420D" w:rsidRDefault="00261A39" w:rsidP="00B05E0E">
      <w:pPr>
        <w:pStyle w:val="ListBullet"/>
        <w:numPr>
          <w:ilvl w:val="0"/>
          <w:numId w:val="0"/>
        </w:numPr>
      </w:pPr>
      <w:r w:rsidRPr="00DC420D">
        <w:t>In 2023, 18,257 people were estimated to be diagnosed with melanoma which was the third most common cancer diagnosed in Australia, comprising 11% of all diagnosed cancers. It is estimated that:</w:t>
      </w:r>
    </w:p>
    <w:p w14:paraId="69F99ED4" w14:textId="7DDF8540" w:rsidR="00261A39" w:rsidRPr="00C564D3" w:rsidRDefault="00261A39" w:rsidP="006D28D0">
      <w:pPr>
        <w:pStyle w:val="ListBullet"/>
      </w:pPr>
      <w:r w:rsidRPr="00DC420D">
        <w:t xml:space="preserve">35% of </w:t>
      </w:r>
      <w:r w:rsidRPr="00C564D3">
        <w:t>skin melanoma cases are diagnosed on the trunk of the body</w:t>
      </w:r>
    </w:p>
    <w:p w14:paraId="284F27C6" w14:textId="0307E024" w:rsidR="00261A39" w:rsidRPr="00C564D3" w:rsidRDefault="00261A39" w:rsidP="006D28D0">
      <w:pPr>
        <w:pStyle w:val="ListBullet"/>
      </w:pPr>
      <w:r w:rsidRPr="00C564D3">
        <w:t>26% on the upper limbs, including shoulder</w:t>
      </w:r>
    </w:p>
    <w:p w14:paraId="7FB59AF6" w14:textId="602E6A2A" w:rsidR="00261A39" w:rsidRPr="00C564D3" w:rsidRDefault="00261A39" w:rsidP="006D28D0">
      <w:pPr>
        <w:pStyle w:val="ListBullet"/>
      </w:pPr>
      <w:r w:rsidRPr="00C564D3">
        <w:t>18% on the lower limbs, including hip</w:t>
      </w:r>
    </w:p>
    <w:p w14:paraId="7506CCDF" w14:textId="0849AE35" w:rsidR="00261A39" w:rsidRPr="00DC420D" w:rsidRDefault="00261A39" w:rsidP="006D28D0">
      <w:pPr>
        <w:pStyle w:val="ListBullet"/>
      </w:pPr>
      <w:r w:rsidRPr="00C564D3">
        <w:t xml:space="preserve">7.6% on the scalp </w:t>
      </w:r>
      <w:r w:rsidRPr="00DC420D">
        <w:t>and</w:t>
      </w:r>
      <w:r w:rsidRPr="00DC420D">
        <w:rPr>
          <w:spacing w:val="-4"/>
        </w:rPr>
        <w:t xml:space="preserve"> </w:t>
      </w:r>
      <w:r w:rsidRPr="00DC420D">
        <w:rPr>
          <w:spacing w:val="-2"/>
        </w:rPr>
        <w:t>neck</w:t>
      </w:r>
    </w:p>
    <w:p w14:paraId="20EE6A72" w14:textId="0DACDC9B" w:rsidR="00261A39" w:rsidRDefault="00261A39" w:rsidP="00261A39">
      <w:pPr>
        <w:pStyle w:val="BodyText"/>
        <w:spacing w:before="136" w:line="259" w:lineRule="auto"/>
        <w:ind w:right="502"/>
      </w:pPr>
      <w:r>
        <w:t>Keratinocyte</w:t>
      </w:r>
      <w:r>
        <w:rPr>
          <w:spacing w:val="-4"/>
        </w:rPr>
        <w:t xml:space="preserve"> </w:t>
      </w:r>
      <w:r>
        <w:t>carcinomas</w:t>
      </w:r>
      <w:r>
        <w:rPr>
          <w:spacing w:val="-3"/>
        </w:rPr>
        <w:t xml:space="preserve"> </w:t>
      </w:r>
      <w:r>
        <w:t>are</w:t>
      </w:r>
      <w:r>
        <w:rPr>
          <w:spacing w:val="-4"/>
        </w:rPr>
        <w:t xml:space="preserve"> </w:t>
      </w:r>
      <w:r>
        <w:t>the</w:t>
      </w:r>
      <w:r>
        <w:rPr>
          <w:spacing w:val="-3"/>
        </w:rPr>
        <w:t xml:space="preserve"> </w:t>
      </w:r>
      <w:r>
        <w:t>most</w:t>
      </w:r>
      <w:r>
        <w:rPr>
          <w:spacing w:val="-4"/>
        </w:rPr>
        <w:t xml:space="preserve"> </w:t>
      </w:r>
      <w:r>
        <w:t>common</w:t>
      </w:r>
      <w:r>
        <w:rPr>
          <w:spacing w:val="-4"/>
        </w:rPr>
        <w:t xml:space="preserve"> </w:t>
      </w:r>
      <w:r>
        <w:t>cancer</w:t>
      </w:r>
      <w:r>
        <w:rPr>
          <w:spacing w:val="-2"/>
        </w:rPr>
        <w:t xml:space="preserve"> </w:t>
      </w:r>
      <w:r>
        <w:t>diagnosed</w:t>
      </w:r>
      <w:r>
        <w:rPr>
          <w:spacing w:val="-4"/>
        </w:rPr>
        <w:t xml:space="preserve"> </w:t>
      </w:r>
      <w:r>
        <w:t>in</w:t>
      </w:r>
      <w:r>
        <w:rPr>
          <w:spacing w:val="-3"/>
        </w:rPr>
        <w:t xml:space="preserve"> </w:t>
      </w:r>
      <w:r>
        <w:t>Australia,</w:t>
      </w:r>
      <w:r>
        <w:rPr>
          <w:spacing w:val="-3"/>
        </w:rPr>
        <w:t xml:space="preserve"> </w:t>
      </w:r>
      <w:r>
        <w:t>accounting</w:t>
      </w:r>
      <w:r>
        <w:rPr>
          <w:spacing w:val="-3"/>
        </w:rPr>
        <w:t xml:space="preserve"> </w:t>
      </w:r>
      <w:r>
        <w:t>for</w:t>
      </w:r>
      <w:r>
        <w:rPr>
          <w:spacing w:val="-3"/>
        </w:rPr>
        <w:t xml:space="preserve"> </w:t>
      </w:r>
      <w:r>
        <w:t>959,243 paid Medicare services in 2014 (Australian institute of Health and Welfare, 2023)</w:t>
      </w:r>
      <w:r w:rsidR="0058625F">
        <w:rPr>
          <w:rStyle w:val="FootnoteReference"/>
        </w:rPr>
        <w:footnoteReference w:id="2"/>
      </w:r>
      <w:r>
        <w:t>.</w:t>
      </w:r>
    </w:p>
    <w:p w14:paraId="75764C63" w14:textId="618CEC9A" w:rsidR="00261A39" w:rsidRPr="00B91D09" w:rsidRDefault="00261A39" w:rsidP="00261A39">
      <w:pPr>
        <w:pStyle w:val="BodyText"/>
        <w:spacing w:before="120" w:line="259" w:lineRule="auto"/>
        <w:ind w:right="536"/>
        <w:rPr>
          <w:vertAlign w:val="superscript"/>
        </w:rPr>
      </w:pPr>
      <w:r>
        <w:t>The incidence rate for melanoma increases with age, peaking between 85 and 89 years of age. Melanoma</w:t>
      </w:r>
      <w:r>
        <w:rPr>
          <w:spacing w:val="-3"/>
        </w:rPr>
        <w:t xml:space="preserve"> </w:t>
      </w:r>
      <w:r>
        <w:t>rates</w:t>
      </w:r>
      <w:r>
        <w:rPr>
          <w:spacing w:val="-2"/>
        </w:rPr>
        <w:t xml:space="preserve"> </w:t>
      </w:r>
      <w:r>
        <w:t>also</w:t>
      </w:r>
      <w:r>
        <w:rPr>
          <w:spacing w:val="-3"/>
        </w:rPr>
        <w:t xml:space="preserve"> </w:t>
      </w:r>
      <w:r>
        <w:t>differ</w:t>
      </w:r>
      <w:r>
        <w:rPr>
          <w:spacing w:val="-1"/>
        </w:rPr>
        <w:t xml:space="preserve"> </w:t>
      </w:r>
      <w:r>
        <w:t>by</w:t>
      </w:r>
      <w:r>
        <w:rPr>
          <w:spacing w:val="-2"/>
        </w:rPr>
        <w:t xml:space="preserve"> </w:t>
      </w:r>
      <w:r>
        <w:t>state</w:t>
      </w:r>
      <w:r>
        <w:rPr>
          <w:spacing w:val="-3"/>
        </w:rPr>
        <w:t xml:space="preserve"> </w:t>
      </w:r>
      <w:r>
        <w:t>and/or</w:t>
      </w:r>
      <w:r>
        <w:rPr>
          <w:spacing w:val="-2"/>
        </w:rPr>
        <w:t xml:space="preserve"> </w:t>
      </w:r>
      <w:r>
        <w:t>territory,</w:t>
      </w:r>
      <w:r>
        <w:rPr>
          <w:spacing w:val="-3"/>
        </w:rPr>
        <w:t xml:space="preserve"> </w:t>
      </w:r>
      <w:r>
        <w:t>with</w:t>
      </w:r>
      <w:r>
        <w:rPr>
          <w:spacing w:val="-3"/>
        </w:rPr>
        <w:t xml:space="preserve"> </w:t>
      </w:r>
      <w:r>
        <w:t>people</w:t>
      </w:r>
      <w:r>
        <w:rPr>
          <w:spacing w:val="-3"/>
        </w:rPr>
        <w:t xml:space="preserve"> </w:t>
      </w:r>
      <w:r>
        <w:t>living</w:t>
      </w:r>
      <w:r>
        <w:rPr>
          <w:spacing w:val="-1"/>
        </w:rPr>
        <w:t xml:space="preserve"> </w:t>
      </w:r>
      <w:r>
        <w:t>in</w:t>
      </w:r>
      <w:r>
        <w:rPr>
          <w:spacing w:val="-3"/>
        </w:rPr>
        <w:t xml:space="preserve"> </w:t>
      </w:r>
      <w:r>
        <w:t>Queensland</w:t>
      </w:r>
      <w:r>
        <w:rPr>
          <w:spacing w:val="-3"/>
        </w:rPr>
        <w:t xml:space="preserve"> </w:t>
      </w:r>
      <w:r>
        <w:t>at</w:t>
      </w:r>
      <w:r>
        <w:rPr>
          <w:spacing w:val="-1"/>
        </w:rPr>
        <w:t xml:space="preserve"> </w:t>
      </w:r>
      <w:r>
        <w:t>highest</w:t>
      </w:r>
      <w:r>
        <w:rPr>
          <w:spacing w:val="-3"/>
        </w:rPr>
        <w:t xml:space="preserve"> </w:t>
      </w:r>
      <w:r>
        <w:t>risk</w:t>
      </w:r>
      <w:r>
        <w:rPr>
          <w:spacing w:val="-2"/>
        </w:rPr>
        <w:t xml:space="preserve"> </w:t>
      </w:r>
      <w:r>
        <w:t xml:space="preserve">of developing melanoma, followed by Tasmania, New South Wales, Western Australia, Australian Capital Territory, Northern Territory, Victoria and South Australia (Australian Institute of Health and Welfare, </w:t>
      </w:r>
      <w:r w:rsidRPr="00311A57">
        <w:t>2023</w:t>
      </w:r>
      <w:r w:rsidR="00311A57" w:rsidRPr="00DC420D">
        <w:t>)</w:t>
      </w:r>
      <w:r w:rsidR="008B3B5F" w:rsidRPr="00DC420D">
        <w:rPr>
          <w:vertAlign w:val="superscript"/>
        </w:rPr>
        <w:t>2</w:t>
      </w:r>
      <w:r w:rsidRPr="00311A57">
        <w:t>.</w:t>
      </w:r>
    </w:p>
    <w:p w14:paraId="04290DAB" w14:textId="765DADD4" w:rsidR="00CD2466" w:rsidRPr="00B91D09" w:rsidRDefault="00261A39" w:rsidP="00CD2466">
      <w:pPr>
        <w:pStyle w:val="BodyText"/>
        <w:spacing w:before="119" w:line="259" w:lineRule="auto"/>
        <w:ind w:right="502"/>
        <w:rPr>
          <w:vertAlign w:val="superscript"/>
        </w:rPr>
      </w:pPr>
      <w:r>
        <w:t>While melanoma incidence rates for people aged 50 and over continue to rise, incidence rates have been</w:t>
      </w:r>
      <w:r>
        <w:rPr>
          <w:spacing w:val="-2"/>
        </w:rPr>
        <w:t xml:space="preserve"> </w:t>
      </w:r>
      <w:r>
        <w:t>decreasing</w:t>
      </w:r>
      <w:r>
        <w:rPr>
          <w:spacing w:val="-2"/>
        </w:rPr>
        <w:t xml:space="preserve"> </w:t>
      </w:r>
      <w:r>
        <w:t>for</w:t>
      </w:r>
      <w:r>
        <w:rPr>
          <w:spacing w:val="-3"/>
        </w:rPr>
        <w:t xml:space="preserve"> </w:t>
      </w:r>
      <w:r>
        <w:t>people</w:t>
      </w:r>
      <w:r>
        <w:rPr>
          <w:spacing w:val="-2"/>
        </w:rPr>
        <w:t xml:space="preserve"> </w:t>
      </w:r>
      <w:r>
        <w:t>aged</w:t>
      </w:r>
      <w:r>
        <w:rPr>
          <w:spacing w:val="-4"/>
        </w:rPr>
        <w:t xml:space="preserve"> </w:t>
      </w:r>
      <w:r>
        <w:t>under</w:t>
      </w:r>
      <w:r>
        <w:rPr>
          <w:spacing w:val="-3"/>
        </w:rPr>
        <w:t xml:space="preserve"> </w:t>
      </w:r>
      <w:r>
        <w:t>40</w:t>
      </w:r>
      <w:r>
        <w:rPr>
          <w:spacing w:val="-4"/>
        </w:rPr>
        <w:t xml:space="preserve"> </w:t>
      </w:r>
      <w:r>
        <w:t>since</w:t>
      </w:r>
      <w:r>
        <w:rPr>
          <w:spacing w:val="-2"/>
        </w:rPr>
        <w:t xml:space="preserve"> </w:t>
      </w:r>
      <w:r>
        <w:t>the</w:t>
      </w:r>
      <w:r>
        <w:rPr>
          <w:spacing w:val="-2"/>
        </w:rPr>
        <w:t xml:space="preserve"> </w:t>
      </w:r>
      <w:r>
        <w:t>late</w:t>
      </w:r>
      <w:r>
        <w:rPr>
          <w:spacing w:val="-4"/>
        </w:rPr>
        <w:t xml:space="preserve"> </w:t>
      </w:r>
      <w:r>
        <w:t>1990s.</w:t>
      </w:r>
      <w:r>
        <w:rPr>
          <w:spacing w:val="-4"/>
        </w:rPr>
        <w:t xml:space="preserve"> </w:t>
      </w:r>
      <w:r>
        <w:t>The</w:t>
      </w:r>
      <w:r>
        <w:rPr>
          <w:spacing w:val="-4"/>
        </w:rPr>
        <w:t xml:space="preserve"> </w:t>
      </w:r>
      <w:r>
        <w:t>Australian</w:t>
      </w:r>
      <w:r>
        <w:rPr>
          <w:spacing w:val="-2"/>
        </w:rPr>
        <w:t xml:space="preserve"> </w:t>
      </w:r>
      <w:r>
        <w:t>Cancer</w:t>
      </w:r>
      <w:r>
        <w:rPr>
          <w:spacing w:val="-3"/>
        </w:rPr>
        <w:t xml:space="preserve"> </w:t>
      </w:r>
      <w:r>
        <w:t>Council</w:t>
      </w:r>
      <w:r>
        <w:rPr>
          <w:spacing w:val="40"/>
        </w:rPr>
        <w:t xml:space="preserve"> </w:t>
      </w:r>
      <w:r>
        <w:t>‘Slip Slop Slap’ campaign was a large skin cancer awareness campaign that commenced in the early 1980s. Skin cancer awareness and prevention advice continues today. In 2023, the population aged under 40 were born after the ‘Slip Slop Slap’ campaign commenced and have spent their lives in an environment where skin cancer awareness has been greater, while people aged 50 and over have spent more of their lives in times when there was less skin cancer awareness (Australian Institute of Health and Welfare, 2023</w:t>
      </w:r>
      <w:r w:rsidR="00311A57">
        <w:t>)</w:t>
      </w:r>
      <w:r w:rsidR="008B3B5F" w:rsidRPr="00DC420D">
        <w:rPr>
          <w:vertAlign w:val="superscript"/>
        </w:rPr>
        <w:t>2</w:t>
      </w:r>
      <w:r w:rsidRPr="00DC420D">
        <w:t>.</w:t>
      </w:r>
    </w:p>
    <w:p w14:paraId="2F117C37" w14:textId="3EB52157" w:rsidR="00CD2466" w:rsidRDefault="00CD2466" w:rsidP="00CD2466">
      <w:pPr>
        <w:pStyle w:val="BodyText"/>
        <w:spacing w:before="119" w:line="259" w:lineRule="auto"/>
        <w:ind w:right="502"/>
      </w:pPr>
      <w:r>
        <w:t>In</w:t>
      </w:r>
      <w:r>
        <w:rPr>
          <w:spacing w:val="-3"/>
        </w:rPr>
        <w:t xml:space="preserve"> </w:t>
      </w:r>
      <w:r>
        <w:t>relation</w:t>
      </w:r>
      <w:r>
        <w:rPr>
          <w:spacing w:val="-3"/>
        </w:rPr>
        <w:t xml:space="preserve"> </w:t>
      </w:r>
      <w:r>
        <w:t>to</w:t>
      </w:r>
      <w:r>
        <w:rPr>
          <w:spacing w:val="-3"/>
        </w:rPr>
        <w:t xml:space="preserve"> </w:t>
      </w:r>
      <w:r>
        <w:t>mortality</w:t>
      </w:r>
      <w:r>
        <w:rPr>
          <w:spacing w:val="-2"/>
        </w:rPr>
        <w:t xml:space="preserve"> </w:t>
      </w:r>
      <w:r>
        <w:t>rates,</w:t>
      </w:r>
      <w:r>
        <w:rPr>
          <w:spacing w:val="-3"/>
        </w:rPr>
        <w:t xml:space="preserve"> </w:t>
      </w:r>
      <w:r>
        <w:t>data</w:t>
      </w:r>
      <w:r>
        <w:rPr>
          <w:spacing w:val="-3"/>
        </w:rPr>
        <w:t xml:space="preserve"> </w:t>
      </w:r>
      <w:r>
        <w:t>from</w:t>
      </w:r>
      <w:r>
        <w:rPr>
          <w:spacing w:val="-1"/>
        </w:rPr>
        <w:t xml:space="preserve"> </w:t>
      </w:r>
      <w:r>
        <w:t>the Australian</w:t>
      </w:r>
      <w:r>
        <w:rPr>
          <w:spacing w:val="-1"/>
        </w:rPr>
        <w:t xml:space="preserve"> </w:t>
      </w:r>
      <w:r>
        <w:t>Bureau</w:t>
      </w:r>
      <w:r>
        <w:rPr>
          <w:spacing w:val="-1"/>
        </w:rPr>
        <w:t xml:space="preserve"> </w:t>
      </w:r>
      <w:r>
        <w:t>of</w:t>
      </w:r>
      <w:r>
        <w:rPr>
          <w:spacing w:val="-1"/>
        </w:rPr>
        <w:t xml:space="preserve"> </w:t>
      </w:r>
      <w:r>
        <w:t>Statistics</w:t>
      </w:r>
      <w:r w:rsidR="00B91D09">
        <w:rPr>
          <w:rStyle w:val="FootnoteReference"/>
        </w:rPr>
        <w:footnoteReference w:id="3"/>
      </w:r>
      <w:r>
        <w:rPr>
          <w:spacing w:val="16"/>
          <w:position w:val="6"/>
          <w:sz w:val="13"/>
        </w:rPr>
        <w:t xml:space="preserve"> </w:t>
      </w:r>
      <w:r w:rsidR="0058625F">
        <w:t>is</w:t>
      </w:r>
      <w:r>
        <w:rPr>
          <w:spacing w:val="-2"/>
        </w:rPr>
        <w:t xml:space="preserve"> </w:t>
      </w:r>
      <w:r>
        <w:t>that</w:t>
      </w:r>
      <w:r>
        <w:rPr>
          <w:spacing w:val="-3"/>
        </w:rPr>
        <w:t xml:space="preserve"> </w:t>
      </w:r>
      <w:r>
        <w:t>1897</w:t>
      </w:r>
      <w:r>
        <w:rPr>
          <w:spacing w:val="-1"/>
        </w:rPr>
        <w:t xml:space="preserve"> </w:t>
      </w:r>
      <w:r>
        <w:t>people died in 2010 and 2093 people died in 2019 from malignant neoplasms of the skin (</w:t>
      </w:r>
      <w:hyperlink w:anchor="Table1" w:history="1">
        <w:r w:rsidRPr="00081479">
          <w:rPr>
            <w:rStyle w:val="Hyperlink"/>
          </w:rPr>
          <w:t>Table 1</w:t>
        </w:r>
      </w:hyperlink>
      <w:r>
        <w:t>).</w:t>
      </w:r>
    </w:p>
    <w:p w14:paraId="7449A3AD" w14:textId="44B24A7D" w:rsidR="00CD2466" w:rsidRPr="0058625F" w:rsidRDefault="00CD2466" w:rsidP="0058625F">
      <w:pPr>
        <w:pStyle w:val="Tabletitle"/>
      </w:pPr>
      <w:bookmarkStart w:id="9" w:name="Table1"/>
      <w:r>
        <w:t>Table</w:t>
      </w:r>
      <w:r>
        <w:rPr>
          <w:spacing w:val="-10"/>
        </w:rPr>
        <w:t xml:space="preserve"> </w:t>
      </w:r>
      <w:r>
        <w:t>1</w:t>
      </w:r>
      <w:bookmarkEnd w:id="9"/>
      <w:r>
        <w:t>:</w:t>
      </w:r>
      <w:r>
        <w:rPr>
          <w:spacing w:val="-6"/>
        </w:rPr>
        <w:t xml:space="preserve"> </w:t>
      </w:r>
      <w:r>
        <w:t>Underlying</w:t>
      </w:r>
      <w:r>
        <w:rPr>
          <w:spacing w:val="-6"/>
        </w:rPr>
        <w:t xml:space="preserve"> </w:t>
      </w:r>
      <w:r>
        <w:t>cause</w:t>
      </w:r>
      <w:r>
        <w:rPr>
          <w:spacing w:val="-8"/>
        </w:rPr>
        <w:t xml:space="preserve"> </w:t>
      </w:r>
      <w:r>
        <w:t>of</w:t>
      </w:r>
      <w:r>
        <w:rPr>
          <w:spacing w:val="-6"/>
        </w:rPr>
        <w:t xml:space="preserve"> </w:t>
      </w:r>
      <w:r>
        <w:t>death,</w:t>
      </w:r>
      <w:r>
        <w:rPr>
          <w:spacing w:val="-7"/>
        </w:rPr>
        <w:t xml:space="preserve"> </w:t>
      </w:r>
      <w:r>
        <w:t>Australia,</w:t>
      </w:r>
      <w:r>
        <w:rPr>
          <w:spacing w:val="-7"/>
        </w:rPr>
        <w:t xml:space="preserve"> </w:t>
      </w:r>
      <w:r>
        <w:rPr>
          <w:spacing w:val="-2"/>
        </w:rPr>
        <w:t>2010–2019</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992"/>
        <w:gridCol w:w="993"/>
        <w:gridCol w:w="1134"/>
        <w:gridCol w:w="992"/>
        <w:gridCol w:w="897"/>
        <w:gridCol w:w="1087"/>
      </w:tblGrid>
      <w:tr w:rsidR="00CD2466" w:rsidRPr="006D28D0" w14:paraId="392ED963" w14:textId="77777777" w:rsidTr="003523EA">
        <w:trPr>
          <w:trHeight w:val="409"/>
        </w:trPr>
        <w:tc>
          <w:tcPr>
            <w:tcW w:w="2977" w:type="dxa"/>
            <w:shd w:val="clear" w:color="auto" w:fill="2E5395"/>
          </w:tcPr>
          <w:p w14:paraId="4819070D" w14:textId="77777777" w:rsidR="00CD2466" w:rsidRPr="003413F6" w:rsidRDefault="00CD2466" w:rsidP="004813EC">
            <w:pPr>
              <w:pStyle w:val="TableParagraph"/>
              <w:keepNext/>
              <w:jc w:val="center"/>
              <w:rPr>
                <w:sz w:val="18"/>
                <w:szCs w:val="18"/>
              </w:rPr>
            </w:pPr>
          </w:p>
        </w:tc>
        <w:tc>
          <w:tcPr>
            <w:tcW w:w="3119" w:type="dxa"/>
            <w:gridSpan w:val="3"/>
            <w:shd w:val="clear" w:color="auto" w:fill="2E5395"/>
          </w:tcPr>
          <w:p w14:paraId="03306A73" w14:textId="77777777" w:rsidR="00CD2466" w:rsidRPr="006D28D0" w:rsidRDefault="00CD2466" w:rsidP="004813EC">
            <w:pPr>
              <w:pStyle w:val="TableParagraph"/>
              <w:keepNext/>
              <w:spacing w:before="120"/>
              <w:ind w:left="108"/>
              <w:jc w:val="center"/>
              <w:rPr>
                <w:b/>
                <w:sz w:val="18"/>
                <w:szCs w:val="18"/>
              </w:rPr>
            </w:pPr>
            <w:r w:rsidRPr="006D28D0">
              <w:rPr>
                <w:b/>
                <w:color w:val="FFFFFF"/>
                <w:spacing w:val="-4"/>
                <w:sz w:val="18"/>
                <w:szCs w:val="18"/>
              </w:rPr>
              <w:t>2010</w:t>
            </w:r>
          </w:p>
        </w:tc>
        <w:tc>
          <w:tcPr>
            <w:tcW w:w="2976" w:type="dxa"/>
            <w:gridSpan w:val="3"/>
            <w:shd w:val="clear" w:color="auto" w:fill="2E5395"/>
          </w:tcPr>
          <w:p w14:paraId="73706064" w14:textId="77777777" w:rsidR="00CD2466" w:rsidRPr="006D28D0" w:rsidRDefault="00CD2466" w:rsidP="004813EC">
            <w:pPr>
              <w:pStyle w:val="TableParagraph"/>
              <w:keepNext/>
              <w:spacing w:before="120"/>
              <w:jc w:val="center"/>
              <w:rPr>
                <w:b/>
                <w:sz w:val="18"/>
                <w:szCs w:val="18"/>
              </w:rPr>
            </w:pPr>
            <w:r w:rsidRPr="006D28D0">
              <w:rPr>
                <w:b/>
                <w:color w:val="FFFFFF"/>
                <w:spacing w:val="-4"/>
                <w:sz w:val="18"/>
                <w:szCs w:val="18"/>
              </w:rPr>
              <w:t>2019</w:t>
            </w:r>
          </w:p>
        </w:tc>
      </w:tr>
      <w:tr w:rsidR="00CD2466" w:rsidRPr="006D28D0" w14:paraId="1D0DB936" w14:textId="77777777" w:rsidTr="00B33A60">
        <w:trPr>
          <w:trHeight w:val="369"/>
        </w:trPr>
        <w:tc>
          <w:tcPr>
            <w:tcW w:w="2977" w:type="dxa"/>
            <w:shd w:val="clear" w:color="auto" w:fill="D9E1F3"/>
          </w:tcPr>
          <w:p w14:paraId="55567B83" w14:textId="77777777" w:rsidR="00CD2466" w:rsidRPr="003413F6" w:rsidRDefault="00CD2466" w:rsidP="00D12F0B">
            <w:pPr>
              <w:pStyle w:val="TableParagraph"/>
              <w:rPr>
                <w:sz w:val="18"/>
                <w:szCs w:val="18"/>
              </w:rPr>
            </w:pPr>
          </w:p>
        </w:tc>
        <w:tc>
          <w:tcPr>
            <w:tcW w:w="992" w:type="dxa"/>
            <w:shd w:val="clear" w:color="auto" w:fill="D9E1F3"/>
          </w:tcPr>
          <w:p w14:paraId="5B7114C2" w14:textId="77777777" w:rsidR="005275E3" w:rsidRPr="006D28D0" w:rsidRDefault="005275E3" w:rsidP="00D12F0B">
            <w:pPr>
              <w:pStyle w:val="TableParagraph"/>
              <w:spacing w:line="241" w:lineRule="exact"/>
              <w:ind w:left="108"/>
              <w:rPr>
                <w:b/>
                <w:spacing w:val="-2"/>
                <w:sz w:val="18"/>
                <w:szCs w:val="18"/>
              </w:rPr>
            </w:pPr>
          </w:p>
          <w:p w14:paraId="71CD348B" w14:textId="7BB7F64E" w:rsidR="00CD2466" w:rsidRPr="006D28D0" w:rsidRDefault="00CD2466" w:rsidP="00D12F0B">
            <w:pPr>
              <w:pStyle w:val="TableParagraph"/>
              <w:spacing w:line="241" w:lineRule="exact"/>
              <w:ind w:left="108"/>
              <w:rPr>
                <w:b/>
                <w:sz w:val="18"/>
                <w:szCs w:val="18"/>
              </w:rPr>
            </w:pPr>
            <w:r w:rsidRPr="006D28D0">
              <w:rPr>
                <w:b/>
                <w:spacing w:val="-2"/>
                <w:sz w:val="18"/>
                <w:szCs w:val="18"/>
              </w:rPr>
              <w:t>Males</w:t>
            </w:r>
          </w:p>
        </w:tc>
        <w:tc>
          <w:tcPr>
            <w:tcW w:w="993" w:type="dxa"/>
            <w:shd w:val="clear" w:color="auto" w:fill="D9E1F3"/>
          </w:tcPr>
          <w:p w14:paraId="7CC60F75" w14:textId="77777777" w:rsidR="005275E3" w:rsidRPr="006D28D0" w:rsidRDefault="005275E3" w:rsidP="00D12F0B">
            <w:pPr>
              <w:pStyle w:val="TableParagraph"/>
              <w:spacing w:before="2"/>
              <w:ind w:right="211"/>
              <w:jc w:val="right"/>
              <w:rPr>
                <w:b/>
                <w:spacing w:val="-2"/>
                <w:sz w:val="18"/>
                <w:szCs w:val="18"/>
              </w:rPr>
            </w:pPr>
          </w:p>
          <w:p w14:paraId="68659E2C" w14:textId="76BE4766" w:rsidR="00CD2466" w:rsidRPr="006D28D0" w:rsidRDefault="00CD2466" w:rsidP="00D12F0B">
            <w:pPr>
              <w:pStyle w:val="TableParagraph"/>
              <w:spacing w:before="2"/>
              <w:ind w:right="211"/>
              <w:jc w:val="right"/>
              <w:rPr>
                <w:b/>
                <w:sz w:val="18"/>
                <w:szCs w:val="18"/>
              </w:rPr>
            </w:pPr>
            <w:r w:rsidRPr="006D28D0">
              <w:rPr>
                <w:b/>
                <w:spacing w:val="-2"/>
                <w:sz w:val="18"/>
                <w:szCs w:val="18"/>
              </w:rPr>
              <w:t>Females</w:t>
            </w:r>
          </w:p>
        </w:tc>
        <w:tc>
          <w:tcPr>
            <w:tcW w:w="1134" w:type="dxa"/>
            <w:shd w:val="clear" w:color="auto" w:fill="D9E1F3"/>
          </w:tcPr>
          <w:p w14:paraId="43C60AFF" w14:textId="77777777" w:rsidR="005275E3" w:rsidRPr="006D28D0" w:rsidRDefault="005275E3" w:rsidP="00D12F0B">
            <w:pPr>
              <w:pStyle w:val="TableParagraph"/>
              <w:spacing w:before="2"/>
              <w:ind w:left="109"/>
              <w:rPr>
                <w:b/>
                <w:spacing w:val="-2"/>
                <w:sz w:val="18"/>
                <w:szCs w:val="18"/>
              </w:rPr>
            </w:pPr>
          </w:p>
          <w:p w14:paraId="1D71EA8F" w14:textId="0E7F46A6" w:rsidR="00CD2466" w:rsidRPr="006D28D0" w:rsidRDefault="00CD2466" w:rsidP="00D12F0B">
            <w:pPr>
              <w:pStyle w:val="TableParagraph"/>
              <w:spacing w:before="2"/>
              <w:ind w:left="109"/>
              <w:rPr>
                <w:b/>
                <w:sz w:val="18"/>
                <w:szCs w:val="18"/>
              </w:rPr>
            </w:pPr>
            <w:r w:rsidRPr="006D28D0">
              <w:rPr>
                <w:b/>
                <w:spacing w:val="-2"/>
                <w:sz w:val="18"/>
                <w:szCs w:val="18"/>
              </w:rPr>
              <w:t>Persons</w:t>
            </w:r>
          </w:p>
        </w:tc>
        <w:tc>
          <w:tcPr>
            <w:tcW w:w="992" w:type="dxa"/>
            <w:shd w:val="clear" w:color="auto" w:fill="D9E1F3"/>
          </w:tcPr>
          <w:p w14:paraId="6D431E79" w14:textId="77777777" w:rsidR="005275E3" w:rsidRPr="006D28D0" w:rsidRDefault="005275E3" w:rsidP="00D12F0B">
            <w:pPr>
              <w:pStyle w:val="TableParagraph"/>
              <w:spacing w:before="2"/>
              <w:ind w:left="10" w:right="76"/>
              <w:jc w:val="center"/>
              <w:rPr>
                <w:b/>
                <w:spacing w:val="-2"/>
                <w:sz w:val="18"/>
                <w:szCs w:val="18"/>
              </w:rPr>
            </w:pPr>
          </w:p>
          <w:p w14:paraId="36402AFE" w14:textId="00EBB31D" w:rsidR="00CD2466" w:rsidRPr="006D28D0" w:rsidRDefault="00CD2466" w:rsidP="00D12F0B">
            <w:pPr>
              <w:pStyle w:val="TableParagraph"/>
              <w:spacing w:before="2"/>
              <w:ind w:left="10" w:right="76"/>
              <w:jc w:val="center"/>
              <w:rPr>
                <w:b/>
                <w:sz w:val="18"/>
                <w:szCs w:val="18"/>
              </w:rPr>
            </w:pPr>
            <w:r w:rsidRPr="006D28D0">
              <w:rPr>
                <w:b/>
                <w:spacing w:val="-2"/>
                <w:sz w:val="18"/>
                <w:szCs w:val="18"/>
              </w:rPr>
              <w:t>Males</w:t>
            </w:r>
          </w:p>
        </w:tc>
        <w:tc>
          <w:tcPr>
            <w:tcW w:w="897" w:type="dxa"/>
            <w:shd w:val="clear" w:color="auto" w:fill="D9E1F3"/>
          </w:tcPr>
          <w:p w14:paraId="5BB7C3F3" w14:textId="77777777" w:rsidR="005275E3" w:rsidRPr="006D28D0" w:rsidRDefault="005275E3" w:rsidP="00D12F0B">
            <w:pPr>
              <w:pStyle w:val="TableParagraph"/>
              <w:spacing w:before="2"/>
              <w:ind w:left="8" w:right="109"/>
              <w:jc w:val="center"/>
              <w:rPr>
                <w:b/>
                <w:spacing w:val="-2"/>
                <w:sz w:val="18"/>
                <w:szCs w:val="18"/>
              </w:rPr>
            </w:pPr>
          </w:p>
          <w:p w14:paraId="56BE3135" w14:textId="041CB0D0" w:rsidR="00CD2466" w:rsidRPr="006D28D0" w:rsidRDefault="00CD2466" w:rsidP="00D12F0B">
            <w:pPr>
              <w:pStyle w:val="TableParagraph"/>
              <w:spacing w:before="2"/>
              <w:ind w:left="8" w:right="109"/>
              <w:jc w:val="center"/>
              <w:rPr>
                <w:b/>
                <w:sz w:val="18"/>
                <w:szCs w:val="18"/>
              </w:rPr>
            </w:pPr>
            <w:r w:rsidRPr="006D28D0">
              <w:rPr>
                <w:b/>
                <w:spacing w:val="-2"/>
                <w:sz w:val="18"/>
                <w:szCs w:val="18"/>
              </w:rPr>
              <w:t>Females</w:t>
            </w:r>
          </w:p>
        </w:tc>
        <w:tc>
          <w:tcPr>
            <w:tcW w:w="1087" w:type="dxa"/>
            <w:shd w:val="clear" w:color="auto" w:fill="D9E1F3"/>
          </w:tcPr>
          <w:p w14:paraId="3F768AE9" w14:textId="77777777" w:rsidR="005275E3" w:rsidRPr="006D28D0" w:rsidRDefault="005275E3" w:rsidP="00D12F0B">
            <w:pPr>
              <w:pStyle w:val="TableParagraph"/>
              <w:spacing w:before="2"/>
              <w:ind w:left="108"/>
              <w:rPr>
                <w:b/>
                <w:spacing w:val="-2"/>
                <w:sz w:val="18"/>
                <w:szCs w:val="18"/>
              </w:rPr>
            </w:pPr>
          </w:p>
          <w:p w14:paraId="59729D69" w14:textId="4EA5889B" w:rsidR="00CD2466" w:rsidRPr="006D28D0" w:rsidRDefault="00CD2466" w:rsidP="00D12F0B">
            <w:pPr>
              <w:pStyle w:val="TableParagraph"/>
              <w:spacing w:before="2"/>
              <w:ind w:left="108"/>
              <w:rPr>
                <w:b/>
                <w:sz w:val="18"/>
                <w:szCs w:val="18"/>
              </w:rPr>
            </w:pPr>
            <w:r w:rsidRPr="006D28D0">
              <w:rPr>
                <w:b/>
                <w:spacing w:val="-2"/>
                <w:sz w:val="18"/>
                <w:szCs w:val="18"/>
              </w:rPr>
              <w:t>Persons</w:t>
            </w:r>
          </w:p>
        </w:tc>
      </w:tr>
      <w:tr w:rsidR="00CD2466" w:rsidRPr="006D28D0" w14:paraId="3EE2BC66" w14:textId="77777777" w:rsidTr="00B33A60">
        <w:trPr>
          <w:trHeight w:val="369"/>
        </w:trPr>
        <w:tc>
          <w:tcPr>
            <w:tcW w:w="2977" w:type="dxa"/>
            <w:shd w:val="clear" w:color="auto" w:fill="D9E1F3"/>
          </w:tcPr>
          <w:p w14:paraId="7B612FA2" w14:textId="77777777" w:rsidR="005275E3" w:rsidRPr="006D28D0" w:rsidRDefault="005275E3" w:rsidP="00D12F0B">
            <w:pPr>
              <w:pStyle w:val="TableParagraph"/>
              <w:spacing w:line="241" w:lineRule="exact"/>
              <w:rPr>
                <w:b/>
                <w:sz w:val="18"/>
                <w:szCs w:val="18"/>
              </w:rPr>
            </w:pPr>
          </w:p>
          <w:p w14:paraId="32870DF5" w14:textId="0293CE62" w:rsidR="00CD2466" w:rsidRPr="006D28D0" w:rsidRDefault="00CD2466" w:rsidP="00D12F0B">
            <w:pPr>
              <w:pStyle w:val="TableParagraph"/>
              <w:spacing w:line="241" w:lineRule="exact"/>
              <w:rPr>
                <w:b/>
                <w:sz w:val="18"/>
                <w:szCs w:val="18"/>
              </w:rPr>
            </w:pPr>
            <w:r w:rsidRPr="006D28D0">
              <w:rPr>
                <w:b/>
                <w:sz w:val="18"/>
                <w:szCs w:val="18"/>
              </w:rPr>
              <w:t>Total</w:t>
            </w:r>
            <w:r w:rsidRPr="006D28D0">
              <w:rPr>
                <w:b/>
                <w:spacing w:val="-3"/>
                <w:sz w:val="18"/>
                <w:szCs w:val="18"/>
              </w:rPr>
              <w:t xml:space="preserve"> </w:t>
            </w:r>
            <w:r w:rsidRPr="006D28D0">
              <w:rPr>
                <w:b/>
                <w:spacing w:val="-2"/>
                <w:sz w:val="18"/>
                <w:szCs w:val="18"/>
              </w:rPr>
              <w:t>population</w:t>
            </w:r>
          </w:p>
        </w:tc>
        <w:tc>
          <w:tcPr>
            <w:tcW w:w="992" w:type="dxa"/>
          </w:tcPr>
          <w:p w14:paraId="022F3278" w14:textId="77777777" w:rsidR="00CD2466" w:rsidRPr="003413F6" w:rsidRDefault="00CD2466" w:rsidP="00B33A60">
            <w:pPr>
              <w:pStyle w:val="TableParagraph"/>
              <w:jc w:val="center"/>
              <w:rPr>
                <w:sz w:val="18"/>
                <w:szCs w:val="18"/>
              </w:rPr>
            </w:pPr>
          </w:p>
        </w:tc>
        <w:tc>
          <w:tcPr>
            <w:tcW w:w="993" w:type="dxa"/>
          </w:tcPr>
          <w:p w14:paraId="67AFDD7D" w14:textId="77777777" w:rsidR="00CD2466" w:rsidRPr="003413F6" w:rsidRDefault="00CD2466" w:rsidP="00B33A60">
            <w:pPr>
              <w:pStyle w:val="TableParagraph"/>
              <w:jc w:val="center"/>
              <w:rPr>
                <w:sz w:val="18"/>
                <w:szCs w:val="18"/>
              </w:rPr>
            </w:pPr>
          </w:p>
        </w:tc>
        <w:tc>
          <w:tcPr>
            <w:tcW w:w="1134" w:type="dxa"/>
          </w:tcPr>
          <w:p w14:paraId="0676D250" w14:textId="77777777" w:rsidR="005275E3" w:rsidRPr="006D28D0" w:rsidRDefault="005275E3" w:rsidP="00B33A60">
            <w:pPr>
              <w:pStyle w:val="TableParagraph"/>
              <w:spacing w:line="229" w:lineRule="exact"/>
              <w:jc w:val="center"/>
              <w:rPr>
                <w:spacing w:val="-2"/>
                <w:sz w:val="18"/>
                <w:szCs w:val="18"/>
              </w:rPr>
            </w:pPr>
          </w:p>
          <w:p w14:paraId="60D0F195" w14:textId="54D18F64" w:rsidR="00CD2466" w:rsidRPr="006D28D0" w:rsidRDefault="00CD2466" w:rsidP="00B33A60">
            <w:pPr>
              <w:pStyle w:val="TableParagraph"/>
              <w:spacing w:line="229" w:lineRule="exact"/>
              <w:jc w:val="center"/>
              <w:rPr>
                <w:sz w:val="18"/>
                <w:szCs w:val="18"/>
              </w:rPr>
            </w:pPr>
            <w:r w:rsidRPr="006D28D0">
              <w:rPr>
                <w:spacing w:val="-2"/>
                <w:sz w:val="18"/>
                <w:szCs w:val="18"/>
              </w:rPr>
              <w:t>22,166,335</w:t>
            </w:r>
          </w:p>
        </w:tc>
        <w:tc>
          <w:tcPr>
            <w:tcW w:w="992" w:type="dxa"/>
          </w:tcPr>
          <w:p w14:paraId="4AD0C48F" w14:textId="77777777" w:rsidR="00CD2466" w:rsidRPr="003413F6" w:rsidRDefault="00CD2466" w:rsidP="00B33A60">
            <w:pPr>
              <w:pStyle w:val="TableParagraph"/>
              <w:jc w:val="center"/>
              <w:rPr>
                <w:sz w:val="18"/>
                <w:szCs w:val="18"/>
              </w:rPr>
            </w:pPr>
          </w:p>
        </w:tc>
        <w:tc>
          <w:tcPr>
            <w:tcW w:w="897" w:type="dxa"/>
          </w:tcPr>
          <w:p w14:paraId="46117D36" w14:textId="77777777" w:rsidR="00CD2466" w:rsidRPr="003413F6" w:rsidRDefault="00CD2466" w:rsidP="00B33A60">
            <w:pPr>
              <w:pStyle w:val="TableParagraph"/>
              <w:jc w:val="center"/>
              <w:rPr>
                <w:sz w:val="18"/>
                <w:szCs w:val="18"/>
              </w:rPr>
            </w:pPr>
          </w:p>
        </w:tc>
        <w:tc>
          <w:tcPr>
            <w:tcW w:w="1087" w:type="dxa"/>
          </w:tcPr>
          <w:p w14:paraId="7F5C5C3F" w14:textId="77777777" w:rsidR="005275E3" w:rsidRPr="006D28D0" w:rsidRDefault="005275E3" w:rsidP="00B33A60">
            <w:pPr>
              <w:pStyle w:val="TableParagraph"/>
              <w:spacing w:line="229" w:lineRule="exact"/>
              <w:jc w:val="center"/>
              <w:rPr>
                <w:spacing w:val="-2"/>
                <w:sz w:val="18"/>
                <w:szCs w:val="18"/>
              </w:rPr>
            </w:pPr>
          </w:p>
          <w:p w14:paraId="27FD6399" w14:textId="56E73801" w:rsidR="00CD2466" w:rsidRPr="006D28D0" w:rsidRDefault="00CD2466" w:rsidP="00B33A60">
            <w:pPr>
              <w:pStyle w:val="TableParagraph"/>
              <w:spacing w:line="229" w:lineRule="exact"/>
              <w:jc w:val="center"/>
              <w:rPr>
                <w:sz w:val="18"/>
                <w:szCs w:val="18"/>
              </w:rPr>
            </w:pPr>
            <w:r w:rsidRPr="006D28D0">
              <w:rPr>
                <w:spacing w:val="-2"/>
                <w:sz w:val="18"/>
                <w:szCs w:val="18"/>
              </w:rPr>
              <w:t>25,510,998</w:t>
            </w:r>
          </w:p>
        </w:tc>
      </w:tr>
      <w:tr w:rsidR="00CD2466" w:rsidRPr="006D28D0" w14:paraId="010F69CF" w14:textId="77777777" w:rsidTr="00B33A60">
        <w:trPr>
          <w:trHeight w:val="616"/>
        </w:trPr>
        <w:tc>
          <w:tcPr>
            <w:tcW w:w="2977" w:type="dxa"/>
            <w:shd w:val="clear" w:color="auto" w:fill="D9E1F3"/>
          </w:tcPr>
          <w:p w14:paraId="70A11C74" w14:textId="77777777" w:rsidR="005275E3" w:rsidRPr="006D28D0" w:rsidRDefault="005275E3" w:rsidP="00D12F0B">
            <w:pPr>
              <w:pStyle w:val="TableParagraph"/>
              <w:spacing w:line="256" w:lineRule="auto"/>
              <w:rPr>
                <w:b/>
                <w:sz w:val="18"/>
                <w:szCs w:val="18"/>
              </w:rPr>
            </w:pPr>
          </w:p>
          <w:p w14:paraId="1B626A67" w14:textId="41C65469" w:rsidR="00CD2466" w:rsidRPr="006D28D0" w:rsidRDefault="00CD2466" w:rsidP="00D12F0B">
            <w:pPr>
              <w:pStyle w:val="TableParagraph"/>
              <w:spacing w:line="256" w:lineRule="auto"/>
              <w:rPr>
                <w:b/>
                <w:sz w:val="18"/>
                <w:szCs w:val="18"/>
              </w:rPr>
            </w:pPr>
            <w:r w:rsidRPr="006D28D0">
              <w:rPr>
                <w:b/>
                <w:sz w:val="18"/>
                <w:szCs w:val="18"/>
              </w:rPr>
              <w:t>Total</w:t>
            </w:r>
            <w:r w:rsidRPr="006D28D0">
              <w:rPr>
                <w:b/>
                <w:spacing w:val="-14"/>
                <w:sz w:val="18"/>
                <w:szCs w:val="18"/>
              </w:rPr>
              <w:t xml:space="preserve"> </w:t>
            </w:r>
            <w:r w:rsidRPr="006D28D0">
              <w:rPr>
                <w:b/>
                <w:sz w:val="18"/>
                <w:szCs w:val="18"/>
              </w:rPr>
              <w:t>deaths</w:t>
            </w:r>
            <w:r w:rsidRPr="006D28D0">
              <w:rPr>
                <w:b/>
                <w:spacing w:val="-14"/>
                <w:sz w:val="18"/>
                <w:szCs w:val="18"/>
              </w:rPr>
              <w:t xml:space="preserve"> </w:t>
            </w:r>
            <w:r w:rsidRPr="006D28D0">
              <w:rPr>
                <w:b/>
                <w:sz w:val="18"/>
                <w:szCs w:val="18"/>
              </w:rPr>
              <w:t>from</w:t>
            </w:r>
            <w:r w:rsidRPr="006D28D0">
              <w:rPr>
                <w:b/>
                <w:spacing w:val="-12"/>
                <w:sz w:val="18"/>
                <w:szCs w:val="18"/>
              </w:rPr>
              <w:t xml:space="preserve"> </w:t>
            </w:r>
            <w:r w:rsidRPr="006D28D0">
              <w:rPr>
                <w:b/>
                <w:sz w:val="18"/>
                <w:szCs w:val="18"/>
              </w:rPr>
              <w:t xml:space="preserve">all </w:t>
            </w:r>
            <w:r w:rsidRPr="006D28D0">
              <w:rPr>
                <w:b/>
                <w:spacing w:val="-2"/>
                <w:sz w:val="18"/>
                <w:szCs w:val="18"/>
              </w:rPr>
              <w:t>causes</w:t>
            </w:r>
          </w:p>
        </w:tc>
        <w:tc>
          <w:tcPr>
            <w:tcW w:w="992" w:type="dxa"/>
          </w:tcPr>
          <w:p w14:paraId="2DD46286" w14:textId="77777777" w:rsidR="005275E3" w:rsidRPr="006D28D0" w:rsidRDefault="005275E3" w:rsidP="00B33A60">
            <w:pPr>
              <w:pStyle w:val="TableParagraph"/>
              <w:spacing w:line="229" w:lineRule="exact"/>
              <w:jc w:val="center"/>
              <w:rPr>
                <w:spacing w:val="-2"/>
                <w:sz w:val="18"/>
                <w:szCs w:val="18"/>
              </w:rPr>
            </w:pPr>
          </w:p>
          <w:p w14:paraId="2998A0A0" w14:textId="22CD020D" w:rsidR="00CD2466" w:rsidRPr="006D28D0" w:rsidRDefault="00CD2466" w:rsidP="00B33A60">
            <w:pPr>
              <w:pStyle w:val="TableParagraph"/>
              <w:spacing w:line="229" w:lineRule="exact"/>
              <w:jc w:val="center"/>
              <w:rPr>
                <w:sz w:val="18"/>
                <w:szCs w:val="18"/>
              </w:rPr>
            </w:pPr>
            <w:r w:rsidRPr="006D28D0">
              <w:rPr>
                <w:spacing w:val="-2"/>
                <w:sz w:val="18"/>
                <w:szCs w:val="18"/>
              </w:rPr>
              <w:t>73,484</w:t>
            </w:r>
          </w:p>
        </w:tc>
        <w:tc>
          <w:tcPr>
            <w:tcW w:w="993" w:type="dxa"/>
          </w:tcPr>
          <w:p w14:paraId="5ADE9CA8" w14:textId="77777777" w:rsidR="005275E3" w:rsidRPr="006D28D0" w:rsidRDefault="005275E3" w:rsidP="00B33A60">
            <w:pPr>
              <w:pStyle w:val="TableParagraph"/>
              <w:spacing w:line="229" w:lineRule="exact"/>
              <w:ind w:right="250"/>
              <w:jc w:val="center"/>
              <w:rPr>
                <w:spacing w:val="-2"/>
                <w:sz w:val="18"/>
                <w:szCs w:val="18"/>
              </w:rPr>
            </w:pPr>
          </w:p>
          <w:p w14:paraId="5F56DE3C" w14:textId="2854DE3D" w:rsidR="00CD2466" w:rsidRPr="006D28D0" w:rsidRDefault="00CD2466" w:rsidP="00B33A60">
            <w:pPr>
              <w:pStyle w:val="TableParagraph"/>
              <w:spacing w:line="229" w:lineRule="exact"/>
              <w:ind w:right="250"/>
              <w:jc w:val="center"/>
              <w:rPr>
                <w:sz w:val="18"/>
                <w:szCs w:val="18"/>
              </w:rPr>
            </w:pPr>
            <w:r w:rsidRPr="006D28D0">
              <w:rPr>
                <w:spacing w:val="-2"/>
                <w:sz w:val="18"/>
                <w:szCs w:val="18"/>
              </w:rPr>
              <w:t>69,989</w:t>
            </w:r>
          </w:p>
        </w:tc>
        <w:tc>
          <w:tcPr>
            <w:tcW w:w="1134" w:type="dxa"/>
          </w:tcPr>
          <w:p w14:paraId="77A51823" w14:textId="77777777" w:rsidR="005275E3" w:rsidRPr="006D28D0" w:rsidRDefault="005275E3" w:rsidP="00B33A60">
            <w:pPr>
              <w:pStyle w:val="TableParagraph"/>
              <w:spacing w:line="229" w:lineRule="exact"/>
              <w:jc w:val="center"/>
              <w:rPr>
                <w:spacing w:val="-2"/>
                <w:sz w:val="18"/>
                <w:szCs w:val="18"/>
              </w:rPr>
            </w:pPr>
          </w:p>
          <w:p w14:paraId="229881E9" w14:textId="18C5CF0E" w:rsidR="00CD2466" w:rsidRPr="006D28D0" w:rsidRDefault="00CD2466" w:rsidP="00B33A60">
            <w:pPr>
              <w:pStyle w:val="TableParagraph"/>
              <w:spacing w:line="229" w:lineRule="exact"/>
              <w:jc w:val="center"/>
              <w:rPr>
                <w:sz w:val="18"/>
                <w:szCs w:val="18"/>
              </w:rPr>
            </w:pPr>
            <w:r w:rsidRPr="006D28D0">
              <w:rPr>
                <w:spacing w:val="-2"/>
                <w:sz w:val="18"/>
                <w:szCs w:val="18"/>
              </w:rPr>
              <w:t>143,473</w:t>
            </w:r>
          </w:p>
        </w:tc>
        <w:tc>
          <w:tcPr>
            <w:tcW w:w="992" w:type="dxa"/>
          </w:tcPr>
          <w:p w14:paraId="212A2A96" w14:textId="77777777" w:rsidR="005275E3" w:rsidRPr="006D28D0" w:rsidRDefault="005275E3" w:rsidP="00B33A60">
            <w:pPr>
              <w:pStyle w:val="TableParagraph"/>
              <w:spacing w:line="229" w:lineRule="exact"/>
              <w:ind w:right="66"/>
              <w:jc w:val="center"/>
              <w:rPr>
                <w:spacing w:val="-2"/>
                <w:sz w:val="18"/>
                <w:szCs w:val="18"/>
              </w:rPr>
            </w:pPr>
          </w:p>
          <w:p w14:paraId="4FBC8084" w14:textId="05978732" w:rsidR="00CD2466" w:rsidRPr="006D28D0" w:rsidRDefault="00CD2466" w:rsidP="00B33A60">
            <w:pPr>
              <w:pStyle w:val="TableParagraph"/>
              <w:spacing w:line="229" w:lineRule="exact"/>
              <w:ind w:right="66"/>
              <w:jc w:val="center"/>
              <w:rPr>
                <w:sz w:val="18"/>
                <w:szCs w:val="18"/>
              </w:rPr>
            </w:pPr>
            <w:r w:rsidRPr="006D28D0">
              <w:rPr>
                <w:spacing w:val="-2"/>
                <w:sz w:val="18"/>
                <w:szCs w:val="18"/>
              </w:rPr>
              <w:t>88,346</w:t>
            </w:r>
          </w:p>
        </w:tc>
        <w:tc>
          <w:tcPr>
            <w:tcW w:w="897" w:type="dxa"/>
          </w:tcPr>
          <w:p w14:paraId="7CB34AFF" w14:textId="77777777" w:rsidR="005275E3" w:rsidRPr="006D28D0" w:rsidRDefault="005275E3" w:rsidP="00B33A60">
            <w:pPr>
              <w:pStyle w:val="TableParagraph"/>
              <w:spacing w:line="229" w:lineRule="exact"/>
              <w:ind w:left="8"/>
              <w:jc w:val="center"/>
              <w:rPr>
                <w:spacing w:val="-2"/>
                <w:sz w:val="18"/>
                <w:szCs w:val="18"/>
              </w:rPr>
            </w:pPr>
          </w:p>
          <w:p w14:paraId="0D9B1CA0" w14:textId="4EF3DEB3" w:rsidR="00CD2466" w:rsidRPr="006D28D0" w:rsidRDefault="00CD2466" w:rsidP="00B33A60">
            <w:pPr>
              <w:pStyle w:val="TableParagraph"/>
              <w:spacing w:line="229" w:lineRule="exact"/>
              <w:ind w:left="8"/>
              <w:jc w:val="center"/>
              <w:rPr>
                <w:sz w:val="18"/>
                <w:szCs w:val="18"/>
              </w:rPr>
            </w:pPr>
            <w:r w:rsidRPr="006D28D0">
              <w:rPr>
                <w:spacing w:val="-2"/>
                <w:sz w:val="18"/>
                <w:szCs w:val="18"/>
              </w:rPr>
              <w:t>80,955</w:t>
            </w:r>
          </w:p>
        </w:tc>
        <w:tc>
          <w:tcPr>
            <w:tcW w:w="1087" w:type="dxa"/>
          </w:tcPr>
          <w:p w14:paraId="544E6C9C" w14:textId="77777777" w:rsidR="005275E3" w:rsidRPr="006D28D0" w:rsidRDefault="005275E3" w:rsidP="00B33A60">
            <w:pPr>
              <w:pStyle w:val="TableParagraph"/>
              <w:spacing w:line="229" w:lineRule="exact"/>
              <w:jc w:val="center"/>
              <w:rPr>
                <w:spacing w:val="-2"/>
                <w:sz w:val="18"/>
                <w:szCs w:val="18"/>
              </w:rPr>
            </w:pPr>
          </w:p>
          <w:p w14:paraId="12A5E358" w14:textId="3CBDB17A" w:rsidR="00CD2466" w:rsidRPr="006D28D0" w:rsidRDefault="00CD2466" w:rsidP="00B33A60">
            <w:pPr>
              <w:pStyle w:val="TableParagraph"/>
              <w:spacing w:line="229" w:lineRule="exact"/>
              <w:jc w:val="center"/>
              <w:rPr>
                <w:sz w:val="18"/>
                <w:szCs w:val="18"/>
              </w:rPr>
            </w:pPr>
            <w:r w:rsidRPr="006D28D0">
              <w:rPr>
                <w:spacing w:val="-2"/>
                <w:sz w:val="18"/>
                <w:szCs w:val="18"/>
              </w:rPr>
              <w:t>169,301</w:t>
            </w:r>
          </w:p>
        </w:tc>
      </w:tr>
      <w:tr w:rsidR="00CD2466" w:rsidRPr="006D28D0" w14:paraId="1F672D53" w14:textId="77777777" w:rsidTr="000B733F">
        <w:trPr>
          <w:trHeight w:val="550"/>
        </w:trPr>
        <w:tc>
          <w:tcPr>
            <w:tcW w:w="2977" w:type="dxa"/>
            <w:shd w:val="clear" w:color="auto" w:fill="D9E1F3"/>
          </w:tcPr>
          <w:p w14:paraId="547A62AD" w14:textId="77777777" w:rsidR="005275E3" w:rsidRPr="006D28D0" w:rsidRDefault="005275E3" w:rsidP="00D12F0B">
            <w:pPr>
              <w:pStyle w:val="TableParagraph"/>
              <w:rPr>
                <w:b/>
                <w:sz w:val="18"/>
                <w:szCs w:val="18"/>
              </w:rPr>
            </w:pPr>
          </w:p>
          <w:p w14:paraId="475ADE93" w14:textId="7540DD65" w:rsidR="00CD2466" w:rsidRPr="006D28D0" w:rsidRDefault="00CD2466" w:rsidP="00D12F0B">
            <w:pPr>
              <w:pStyle w:val="TableParagraph"/>
              <w:rPr>
                <w:b/>
                <w:sz w:val="18"/>
                <w:szCs w:val="18"/>
              </w:rPr>
            </w:pPr>
            <w:r w:rsidRPr="006D28D0">
              <w:rPr>
                <w:b/>
                <w:sz w:val="18"/>
                <w:szCs w:val="18"/>
              </w:rPr>
              <w:t>Deaths from melanoma and</w:t>
            </w:r>
          </w:p>
          <w:p w14:paraId="041985F9" w14:textId="77777777" w:rsidR="00CD2466" w:rsidRPr="006D28D0" w:rsidRDefault="00CD2466" w:rsidP="00D12F0B">
            <w:pPr>
              <w:pStyle w:val="TableParagraph"/>
              <w:spacing w:line="240" w:lineRule="exact"/>
              <w:rPr>
                <w:b/>
                <w:sz w:val="18"/>
                <w:szCs w:val="18"/>
              </w:rPr>
            </w:pPr>
            <w:r w:rsidRPr="006D28D0">
              <w:rPr>
                <w:b/>
                <w:sz w:val="18"/>
                <w:szCs w:val="18"/>
              </w:rPr>
              <w:t>other malignant neoplasms</w:t>
            </w:r>
            <w:r w:rsidRPr="006D28D0">
              <w:rPr>
                <w:b/>
                <w:spacing w:val="-15"/>
                <w:sz w:val="18"/>
                <w:szCs w:val="18"/>
              </w:rPr>
              <w:t xml:space="preserve"> </w:t>
            </w:r>
            <w:r w:rsidRPr="006D28D0">
              <w:rPr>
                <w:b/>
                <w:sz w:val="18"/>
                <w:szCs w:val="18"/>
              </w:rPr>
              <w:t>of</w:t>
            </w:r>
            <w:r w:rsidRPr="006D28D0">
              <w:rPr>
                <w:b/>
                <w:spacing w:val="-15"/>
                <w:sz w:val="18"/>
                <w:szCs w:val="18"/>
              </w:rPr>
              <w:t xml:space="preserve"> </w:t>
            </w:r>
            <w:r w:rsidRPr="006D28D0">
              <w:rPr>
                <w:b/>
                <w:sz w:val="18"/>
                <w:szCs w:val="18"/>
              </w:rPr>
              <w:t>skin</w:t>
            </w:r>
          </w:p>
        </w:tc>
        <w:tc>
          <w:tcPr>
            <w:tcW w:w="992" w:type="dxa"/>
          </w:tcPr>
          <w:p w14:paraId="7E894101" w14:textId="77777777" w:rsidR="005275E3" w:rsidRPr="006D28D0" w:rsidRDefault="005275E3" w:rsidP="00B33A60">
            <w:pPr>
              <w:pStyle w:val="TableParagraph"/>
              <w:spacing w:line="229" w:lineRule="exact"/>
              <w:jc w:val="center"/>
              <w:rPr>
                <w:spacing w:val="-4"/>
                <w:sz w:val="18"/>
                <w:szCs w:val="18"/>
              </w:rPr>
            </w:pPr>
          </w:p>
          <w:p w14:paraId="623554DB" w14:textId="7F0F06EA" w:rsidR="00CD2466" w:rsidRPr="006D28D0" w:rsidRDefault="00CD2466" w:rsidP="00B33A60">
            <w:pPr>
              <w:pStyle w:val="TableParagraph"/>
              <w:spacing w:line="229" w:lineRule="exact"/>
              <w:jc w:val="center"/>
              <w:rPr>
                <w:sz w:val="18"/>
                <w:szCs w:val="18"/>
              </w:rPr>
            </w:pPr>
            <w:r w:rsidRPr="006D28D0">
              <w:rPr>
                <w:spacing w:val="-4"/>
                <w:sz w:val="18"/>
                <w:szCs w:val="18"/>
              </w:rPr>
              <w:t>1297</w:t>
            </w:r>
          </w:p>
        </w:tc>
        <w:tc>
          <w:tcPr>
            <w:tcW w:w="993" w:type="dxa"/>
          </w:tcPr>
          <w:p w14:paraId="6CA2B289" w14:textId="77777777" w:rsidR="005275E3" w:rsidRPr="006D28D0" w:rsidRDefault="005275E3" w:rsidP="00B33A60">
            <w:pPr>
              <w:pStyle w:val="TableParagraph"/>
              <w:spacing w:line="229" w:lineRule="exact"/>
              <w:ind w:left="7"/>
              <w:jc w:val="center"/>
              <w:rPr>
                <w:spacing w:val="-5"/>
                <w:sz w:val="18"/>
                <w:szCs w:val="18"/>
              </w:rPr>
            </w:pPr>
          </w:p>
          <w:p w14:paraId="330546A0" w14:textId="38A82FE0" w:rsidR="00CD2466" w:rsidRPr="006D28D0" w:rsidRDefault="00CD2466" w:rsidP="00B33A60">
            <w:pPr>
              <w:pStyle w:val="TableParagraph"/>
              <w:spacing w:line="229" w:lineRule="exact"/>
              <w:ind w:left="7"/>
              <w:jc w:val="center"/>
              <w:rPr>
                <w:sz w:val="18"/>
                <w:szCs w:val="18"/>
              </w:rPr>
            </w:pPr>
            <w:r w:rsidRPr="006D28D0">
              <w:rPr>
                <w:spacing w:val="-5"/>
                <w:sz w:val="18"/>
                <w:szCs w:val="18"/>
              </w:rPr>
              <w:t>600</w:t>
            </w:r>
          </w:p>
        </w:tc>
        <w:tc>
          <w:tcPr>
            <w:tcW w:w="1134" w:type="dxa"/>
          </w:tcPr>
          <w:p w14:paraId="55FB3322" w14:textId="77777777" w:rsidR="005275E3" w:rsidRPr="006D28D0" w:rsidRDefault="005275E3" w:rsidP="00B33A60">
            <w:pPr>
              <w:pStyle w:val="TableParagraph"/>
              <w:spacing w:line="229" w:lineRule="exact"/>
              <w:jc w:val="center"/>
              <w:rPr>
                <w:spacing w:val="-4"/>
                <w:sz w:val="18"/>
                <w:szCs w:val="18"/>
              </w:rPr>
            </w:pPr>
          </w:p>
          <w:p w14:paraId="6C7345A2" w14:textId="347A6180" w:rsidR="00CD2466" w:rsidRPr="006D28D0" w:rsidRDefault="00CD2466" w:rsidP="00B33A60">
            <w:pPr>
              <w:pStyle w:val="TableParagraph"/>
              <w:spacing w:line="229" w:lineRule="exact"/>
              <w:jc w:val="center"/>
              <w:rPr>
                <w:sz w:val="18"/>
                <w:szCs w:val="18"/>
              </w:rPr>
            </w:pPr>
            <w:r w:rsidRPr="006D28D0">
              <w:rPr>
                <w:spacing w:val="-4"/>
                <w:sz w:val="18"/>
                <w:szCs w:val="18"/>
              </w:rPr>
              <w:t>1897</w:t>
            </w:r>
          </w:p>
        </w:tc>
        <w:tc>
          <w:tcPr>
            <w:tcW w:w="992" w:type="dxa"/>
          </w:tcPr>
          <w:p w14:paraId="339BC802" w14:textId="77777777" w:rsidR="005275E3" w:rsidRPr="006D28D0" w:rsidRDefault="005275E3" w:rsidP="00B33A60">
            <w:pPr>
              <w:pStyle w:val="TableParagraph"/>
              <w:spacing w:line="229" w:lineRule="exact"/>
              <w:ind w:right="66"/>
              <w:jc w:val="center"/>
              <w:rPr>
                <w:spacing w:val="-4"/>
                <w:sz w:val="18"/>
                <w:szCs w:val="18"/>
              </w:rPr>
            </w:pPr>
          </w:p>
          <w:p w14:paraId="1D434C11" w14:textId="0A171C0D" w:rsidR="00CD2466" w:rsidRPr="006D28D0" w:rsidRDefault="00CD2466" w:rsidP="00B33A60">
            <w:pPr>
              <w:pStyle w:val="TableParagraph"/>
              <w:spacing w:line="229" w:lineRule="exact"/>
              <w:ind w:right="66"/>
              <w:jc w:val="center"/>
              <w:rPr>
                <w:sz w:val="18"/>
                <w:szCs w:val="18"/>
              </w:rPr>
            </w:pPr>
            <w:r w:rsidRPr="006D28D0">
              <w:rPr>
                <w:spacing w:val="-4"/>
                <w:sz w:val="18"/>
                <w:szCs w:val="18"/>
              </w:rPr>
              <w:t>1406</w:t>
            </w:r>
          </w:p>
        </w:tc>
        <w:tc>
          <w:tcPr>
            <w:tcW w:w="897" w:type="dxa"/>
          </w:tcPr>
          <w:p w14:paraId="077A8F79" w14:textId="77777777" w:rsidR="005275E3" w:rsidRPr="006D28D0" w:rsidRDefault="005275E3" w:rsidP="00B33A60">
            <w:pPr>
              <w:pStyle w:val="TableParagraph"/>
              <w:spacing w:line="229" w:lineRule="exact"/>
              <w:ind w:left="8"/>
              <w:jc w:val="center"/>
              <w:rPr>
                <w:spacing w:val="-5"/>
                <w:sz w:val="18"/>
                <w:szCs w:val="18"/>
              </w:rPr>
            </w:pPr>
          </w:p>
          <w:p w14:paraId="39C9F787" w14:textId="4A53AF58" w:rsidR="00CD2466" w:rsidRPr="006D28D0" w:rsidRDefault="00CD2466" w:rsidP="00B33A60">
            <w:pPr>
              <w:pStyle w:val="TableParagraph"/>
              <w:spacing w:line="229" w:lineRule="exact"/>
              <w:ind w:left="8"/>
              <w:jc w:val="center"/>
              <w:rPr>
                <w:sz w:val="18"/>
                <w:szCs w:val="18"/>
              </w:rPr>
            </w:pPr>
            <w:r w:rsidRPr="006D28D0">
              <w:rPr>
                <w:spacing w:val="-5"/>
                <w:sz w:val="18"/>
                <w:szCs w:val="18"/>
              </w:rPr>
              <w:t>687</w:t>
            </w:r>
          </w:p>
        </w:tc>
        <w:tc>
          <w:tcPr>
            <w:tcW w:w="1087" w:type="dxa"/>
          </w:tcPr>
          <w:p w14:paraId="0E15FECD" w14:textId="77777777" w:rsidR="005275E3" w:rsidRPr="006D28D0" w:rsidRDefault="005275E3" w:rsidP="00B33A60">
            <w:pPr>
              <w:pStyle w:val="TableParagraph"/>
              <w:spacing w:line="229" w:lineRule="exact"/>
              <w:jc w:val="center"/>
              <w:rPr>
                <w:spacing w:val="-4"/>
                <w:sz w:val="18"/>
                <w:szCs w:val="18"/>
              </w:rPr>
            </w:pPr>
          </w:p>
          <w:p w14:paraId="1429B73C" w14:textId="53195671" w:rsidR="00CD2466" w:rsidRPr="006D28D0" w:rsidRDefault="00CD2466" w:rsidP="00B33A60">
            <w:pPr>
              <w:pStyle w:val="TableParagraph"/>
              <w:spacing w:line="229" w:lineRule="exact"/>
              <w:jc w:val="center"/>
              <w:rPr>
                <w:sz w:val="18"/>
                <w:szCs w:val="18"/>
              </w:rPr>
            </w:pPr>
            <w:r w:rsidRPr="006D28D0">
              <w:rPr>
                <w:spacing w:val="-4"/>
                <w:sz w:val="18"/>
                <w:szCs w:val="18"/>
              </w:rPr>
              <w:t>2093</w:t>
            </w:r>
          </w:p>
        </w:tc>
      </w:tr>
    </w:tbl>
    <w:p w14:paraId="1799C84F" w14:textId="14560B96" w:rsidR="00CD2466" w:rsidRDefault="00CD2466" w:rsidP="008146E1">
      <w:pPr>
        <w:pStyle w:val="BodyText"/>
        <w:spacing w:before="240" w:line="259" w:lineRule="auto"/>
        <w:ind w:right="502"/>
      </w:pPr>
      <w:r>
        <w:t>Skin</w:t>
      </w:r>
      <w:r>
        <w:rPr>
          <w:spacing w:val="-2"/>
        </w:rPr>
        <w:t xml:space="preserve"> </w:t>
      </w:r>
      <w:r>
        <w:t>melanoma</w:t>
      </w:r>
      <w:r>
        <w:rPr>
          <w:spacing w:val="-2"/>
        </w:rPr>
        <w:t xml:space="preserve"> </w:t>
      </w:r>
      <w:r>
        <w:t>mortality</w:t>
      </w:r>
      <w:r>
        <w:rPr>
          <w:spacing w:val="-3"/>
        </w:rPr>
        <w:t xml:space="preserve"> </w:t>
      </w:r>
      <w:r>
        <w:t>age-adjusted</w:t>
      </w:r>
      <w:r>
        <w:rPr>
          <w:spacing w:val="-4"/>
        </w:rPr>
        <w:t xml:space="preserve"> </w:t>
      </w:r>
      <w:r>
        <w:t>rates</w:t>
      </w:r>
      <w:r>
        <w:rPr>
          <w:spacing w:val="-3"/>
        </w:rPr>
        <w:t xml:space="preserve"> </w:t>
      </w:r>
      <w:r>
        <w:t>peak</w:t>
      </w:r>
      <w:r w:rsidR="00CE3F33">
        <w:t>e</w:t>
      </w:r>
      <w:r>
        <w:t>d</w:t>
      </w:r>
      <w:r>
        <w:rPr>
          <w:spacing w:val="-4"/>
        </w:rPr>
        <w:t xml:space="preserve"> </w:t>
      </w:r>
      <w:r>
        <w:t>at</w:t>
      </w:r>
      <w:r>
        <w:rPr>
          <w:spacing w:val="-4"/>
        </w:rPr>
        <w:t xml:space="preserve"> </w:t>
      </w:r>
      <w:r>
        <w:t>8</w:t>
      </w:r>
      <w:r>
        <w:rPr>
          <w:spacing w:val="-4"/>
        </w:rPr>
        <w:t xml:space="preserve"> </w:t>
      </w:r>
      <w:r>
        <w:t>deaths per</w:t>
      </w:r>
      <w:r>
        <w:rPr>
          <w:spacing w:val="-3"/>
        </w:rPr>
        <w:t xml:space="preserve"> </w:t>
      </w:r>
      <w:r>
        <w:t>100,000</w:t>
      </w:r>
      <w:r>
        <w:rPr>
          <w:spacing w:val="-2"/>
        </w:rPr>
        <w:t xml:space="preserve"> </w:t>
      </w:r>
      <w:r>
        <w:t>people</w:t>
      </w:r>
      <w:r>
        <w:rPr>
          <w:spacing w:val="-2"/>
        </w:rPr>
        <w:t xml:space="preserve"> </w:t>
      </w:r>
      <w:r>
        <w:t>in</w:t>
      </w:r>
      <w:r>
        <w:rPr>
          <w:spacing w:val="-2"/>
        </w:rPr>
        <w:t xml:space="preserve"> </w:t>
      </w:r>
      <w:r>
        <w:t>2013.</w:t>
      </w:r>
      <w:r>
        <w:rPr>
          <w:spacing w:val="-4"/>
        </w:rPr>
        <w:t xml:space="preserve"> </w:t>
      </w:r>
      <w:r>
        <w:t>In</w:t>
      </w:r>
      <w:r>
        <w:rPr>
          <w:spacing w:val="-4"/>
        </w:rPr>
        <w:t xml:space="preserve"> </w:t>
      </w:r>
      <w:r>
        <w:t>2023, there were estimated to be 1,314 deaths from melanoma (with the estimated age-adjusted mortality rate of 5 deaths per 100,000 people) (The Australian Institute of Health and Welfare, 2023)</w:t>
      </w:r>
      <w:r w:rsidR="00C94E3B" w:rsidRPr="00DC420D">
        <w:rPr>
          <w:vertAlign w:val="superscript"/>
        </w:rPr>
        <w:t>2</w:t>
      </w:r>
      <w:r w:rsidRPr="00DC420D">
        <w:t>.</w:t>
      </w:r>
    </w:p>
    <w:p w14:paraId="01A62BCF" w14:textId="77EBCEC7" w:rsidR="00CD2466" w:rsidRDefault="00CD2466" w:rsidP="00CD2466">
      <w:pPr>
        <w:pStyle w:val="BodyText"/>
        <w:spacing w:before="119" w:line="259" w:lineRule="auto"/>
        <w:ind w:right="502"/>
      </w:pPr>
      <w:r>
        <w:t>In</w:t>
      </w:r>
      <w:r>
        <w:rPr>
          <w:spacing w:val="-3"/>
        </w:rPr>
        <w:t xml:space="preserve"> </w:t>
      </w:r>
      <w:r>
        <w:t>1995–1999,</w:t>
      </w:r>
      <w:r>
        <w:rPr>
          <w:spacing w:val="-3"/>
        </w:rPr>
        <w:t xml:space="preserve"> </w:t>
      </w:r>
      <w:r>
        <w:t>5-year</w:t>
      </w:r>
      <w:r>
        <w:rPr>
          <w:spacing w:val="-2"/>
        </w:rPr>
        <w:t xml:space="preserve"> </w:t>
      </w:r>
      <w:r>
        <w:t>skin</w:t>
      </w:r>
      <w:r>
        <w:rPr>
          <w:spacing w:val="-1"/>
        </w:rPr>
        <w:t xml:space="preserve"> </w:t>
      </w:r>
      <w:r>
        <w:t>melanoma</w:t>
      </w:r>
      <w:r>
        <w:rPr>
          <w:spacing w:val="-3"/>
        </w:rPr>
        <w:t xml:space="preserve"> </w:t>
      </w:r>
      <w:r>
        <w:t>survival</w:t>
      </w:r>
      <w:r>
        <w:rPr>
          <w:spacing w:val="-4"/>
        </w:rPr>
        <w:t xml:space="preserve"> </w:t>
      </w:r>
      <w:r>
        <w:t>rates</w:t>
      </w:r>
      <w:r>
        <w:rPr>
          <w:spacing w:val="-2"/>
        </w:rPr>
        <w:t xml:space="preserve"> </w:t>
      </w:r>
      <w:r>
        <w:t>were</w:t>
      </w:r>
      <w:r>
        <w:rPr>
          <w:spacing w:val="-3"/>
        </w:rPr>
        <w:t xml:space="preserve"> </w:t>
      </w:r>
      <w:r>
        <w:t>a</w:t>
      </w:r>
      <w:r>
        <w:rPr>
          <w:spacing w:val="-1"/>
        </w:rPr>
        <w:t xml:space="preserve"> </w:t>
      </w:r>
      <w:r>
        <w:t>little</w:t>
      </w:r>
      <w:r>
        <w:rPr>
          <w:spacing w:val="-1"/>
        </w:rPr>
        <w:t xml:space="preserve"> </w:t>
      </w:r>
      <w:r>
        <w:t>over</w:t>
      </w:r>
      <w:r>
        <w:rPr>
          <w:spacing w:val="-2"/>
        </w:rPr>
        <w:t xml:space="preserve"> </w:t>
      </w:r>
      <w:r>
        <w:t>90%.</w:t>
      </w:r>
      <w:r>
        <w:rPr>
          <w:spacing w:val="-3"/>
        </w:rPr>
        <w:t xml:space="preserve"> </w:t>
      </w:r>
      <w:r>
        <w:t>In</w:t>
      </w:r>
      <w:r>
        <w:rPr>
          <w:spacing w:val="-1"/>
        </w:rPr>
        <w:t xml:space="preserve"> </w:t>
      </w:r>
      <w:r>
        <w:t>2015-2019,</w:t>
      </w:r>
      <w:r>
        <w:rPr>
          <w:spacing w:val="-3"/>
        </w:rPr>
        <w:t xml:space="preserve"> </w:t>
      </w:r>
      <w:r>
        <w:t>the</w:t>
      </w:r>
      <w:r>
        <w:rPr>
          <w:spacing w:val="-3"/>
        </w:rPr>
        <w:t xml:space="preserve"> </w:t>
      </w:r>
      <w:r>
        <w:t>five-year relative survival rate for melanoma was almost 94%. Survival rates vary considerably by stage at diagnosis. For people diagnosed at Stage I (thin tumours and localised disease) the 5-year relative survival rate for melanoma is nearly 100%, but only 26% when diagnosed at Stage IV (metastatic disease). Improvements in survival could be associated with earlier detection and diagnosis. (Australian institute of health and Welfare, 2023</w:t>
      </w:r>
      <w:r w:rsidRPr="00DC420D">
        <w:t>)</w:t>
      </w:r>
      <w:r w:rsidR="008B3B5F" w:rsidRPr="00DC420D">
        <w:rPr>
          <w:vertAlign w:val="superscript"/>
        </w:rPr>
        <w:t>2</w:t>
      </w:r>
      <w:r w:rsidRPr="00DC420D">
        <w:t>.</w:t>
      </w:r>
    </w:p>
    <w:p w14:paraId="5EEB6503" w14:textId="327D1691" w:rsidR="00CD2466" w:rsidRDefault="00CD2466" w:rsidP="00CD2466">
      <w:pPr>
        <w:pStyle w:val="BodyText"/>
        <w:spacing w:before="120" w:line="259" w:lineRule="auto"/>
        <w:ind w:right="502"/>
      </w:pPr>
      <w:r>
        <w:t>Skin cancer, both melanoma and keratinocyte carcinomas are responsible for the highest cancer- related</w:t>
      </w:r>
      <w:r>
        <w:rPr>
          <w:spacing w:val="-4"/>
        </w:rPr>
        <w:t xml:space="preserve"> </w:t>
      </w:r>
      <w:r>
        <w:t>health</w:t>
      </w:r>
      <w:r>
        <w:rPr>
          <w:spacing w:val="-4"/>
        </w:rPr>
        <w:t xml:space="preserve"> </w:t>
      </w:r>
      <w:r>
        <w:t>system</w:t>
      </w:r>
      <w:r>
        <w:rPr>
          <w:spacing w:val="-3"/>
        </w:rPr>
        <w:t xml:space="preserve"> </w:t>
      </w:r>
      <w:r>
        <w:t>expenditure</w:t>
      </w:r>
      <w:r>
        <w:rPr>
          <w:spacing w:val="-4"/>
        </w:rPr>
        <w:t xml:space="preserve"> </w:t>
      </w:r>
      <w:r>
        <w:t>at</w:t>
      </w:r>
      <w:r>
        <w:rPr>
          <w:spacing w:val="-3"/>
        </w:rPr>
        <w:t xml:space="preserve"> </w:t>
      </w:r>
      <w:r>
        <w:t>more</w:t>
      </w:r>
      <w:r>
        <w:rPr>
          <w:spacing w:val="-4"/>
        </w:rPr>
        <w:t xml:space="preserve"> </w:t>
      </w:r>
      <w:r>
        <w:t>than</w:t>
      </w:r>
      <w:r>
        <w:rPr>
          <w:spacing w:val="-4"/>
        </w:rPr>
        <w:t xml:space="preserve"> </w:t>
      </w:r>
      <w:r>
        <w:t>$1.6</w:t>
      </w:r>
      <w:r>
        <w:rPr>
          <w:spacing w:val="-3"/>
        </w:rPr>
        <w:t xml:space="preserve"> </w:t>
      </w:r>
      <w:r>
        <w:t>billion,</w:t>
      </w:r>
      <w:r>
        <w:rPr>
          <w:spacing w:val="-3"/>
        </w:rPr>
        <w:t xml:space="preserve"> </w:t>
      </w:r>
      <w:r>
        <w:t>placing</w:t>
      </w:r>
      <w:r>
        <w:rPr>
          <w:spacing w:val="-4"/>
        </w:rPr>
        <w:t xml:space="preserve"> </w:t>
      </w:r>
      <w:r>
        <w:t>significant</w:t>
      </w:r>
      <w:r>
        <w:rPr>
          <w:spacing w:val="-3"/>
        </w:rPr>
        <w:t xml:space="preserve"> </w:t>
      </w:r>
      <w:r>
        <w:t>burden</w:t>
      </w:r>
      <w:r>
        <w:rPr>
          <w:spacing w:val="-3"/>
        </w:rPr>
        <w:t xml:space="preserve"> </w:t>
      </w:r>
      <w:r>
        <w:t>on</w:t>
      </w:r>
      <w:r>
        <w:rPr>
          <w:spacing w:val="-3"/>
        </w:rPr>
        <w:t xml:space="preserve"> </w:t>
      </w:r>
      <w:r>
        <w:t>Australia’s healthcare system (</w:t>
      </w:r>
      <w:r w:rsidRPr="00F53E4A">
        <w:t>Australian Institute of Health and Welfare, 2021</w:t>
      </w:r>
      <w:r>
        <w:t>)</w:t>
      </w:r>
      <w:r w:rsidR="00F53E4A">
        <w:rPr>
          <w:rStyle w:val="FootnoteReference"/>
        </w:rPr>
        <w:footnoteReference w:id="4"/>
      </w:r>
      <w:r w:rsidR="0058625F">
        <w:t xml:space="preserve">. </w:t>
      </w:r>
      <w:r>
        <w:t>Skin cancer is the most expensive</w:t>
      </w:r>
      <w:r>
        <w:rPr>
          <w:spacing w:val="-3"/>
        </w:rPr>
        <w:t xml:space="preserve"> </w:t>
      </w:r>
      <w:r>
        <w:t>cancer</w:t>
      </w:r>
      <w:r>
        <w:rPr>
          <w:spacing w:val="-2"/>
        </w:rPr>
        <w:t xml:space="preserve"> </w:t>
      </w:r>
      <w:r>
        <w:t>to</w:t>
      </w:r>
      <w:r>
        <w:rPr>
          <w:spacing w:val="-1"/>
        </w:rPr>
        <w:t xml:space="preserve"> </w:t>
      </w:r>
      <w:r>
        <w:t>treat</w:t>
      </w:r>
      <w:r>
        <w:rPr>
          <w:spacing w:val="-1"/>
        </w:rPr>
        <w:t xml:space="preserve"> </w:t>
      </w:r>
      <w:r>
        <w:t>in</w:t>
      </w:r>
      <w:r>
        <w:rPr>
          <w:spacing w:val="-1"/>
        </w:rPr>
        <w:t xml:space="preserve"> </w:t>
      </w:r>
      <w:r>
        <w:t>Australia</w:t>
      </w:r>
      <w:r>
        <w:rPr>
          <w:spacing w:val="-1"/>
        </w:rPr>
        <w:t xml:space="preserve"> </w:t>
      </w:r>
      <w:r>
        <w:t>–</w:t>
      </w:r>
      <w:r>
        <w:rPr>
          <w:spacing w:val="-3"/>
        </w:rPr>
        <w:t xml:space="preserve"> </w:t>
      </w:r>
      <w:r>
        <w:t>more</w:t>
      </w:r>
      <w:r>
        <w:rPr>
          <w:spacing w:val="-3"/>
        </w:rPr>
        <w:t xml:space="preserve"> </w:t>
      </w:r>
      <w:r>
        <w:t>than</w:t>
      </w:r>
      <w:r>
        <w:rPr>
          <w:spacing w:val="-1"/>
        </w:rPr>
        <w:t xml:space="preserve"> </w:t>
      </w:r>
      <w:r>
        <w:t>breast,</w:t>
      </w:r>
      <w:r>
        <w:rPr>
          <w:spacing w:val="-3"/>
        </w:rPr>
        <w:t xml:space="preserve"> </w:t>
      </w:r>
      <w:r>
        <w:t>prostate</w:t>
      </w:r>
      <w:r>
        <w:rPr>
          <w:spacing w:val="-1"/>
        </w:rPr>
        <w:t xml:space="preserve"> </w:t>
      </w:r>
      <w:r>
        <w:t>or</w:t>
      </w:r>
      <w:r>
        <w:rPr>
          <w:spacing w:val="-2"/>
        </w:rPr>
        <w:t xml:space="preserve"> </w:t>
      </w:r>
      <w:r>
        <w:t>lung</w:t>
      </w:r>
      <w:r>
        <w:rPr>
          <w:spacing w:val="-3"/>
        </w:rPr>
        <w:t xml:space="preserve"> </w:t>
      </w:r>
      <w:r>
        <w:t>cancer.</w:t>
      </w:r>
      <w:r>
        <w:rPr>
          <w:spacing w:val="-1"/>
        </w:rPr>
        <w:t xml:space="preserve"> </w:t>
      </w:r>
      <w:r>
        <w:t>Ongoing</w:t>
      </w:r>
      <w:r>
        <w:rPr>
          <w:spacing w:val="-1"/>
        </w:rPr>
        <w:t xml:space="preserve"> </w:t>
      </w:r>
      <w:r>
        <w:t>national investment in prevention, early detection and treatment is needed (Australian College of Dermatologists, 2023)</w:t>
      </w:r>
      <w:r w:rsidR="0058625F">
        <w:rPr>
          <w:rStyle w:val="FootnoteReference"/>
        </w:rPr>
        <w:footnoteReference w:id="5"/>
      </w:r>
      <w:r>
        <w:t>.</w:t>
      </w:r>
    </w:p>
    <w:p w14:paraId="34659137" w14:textId="7780F07A" w:rsidR="00AB7B1A" w:rsidRDefault="00AB7B1A" w:rsidP="00A01BB1">
      <w:pPr>
        <w:pStyle w:val="Heading3"/>
      </w:pPr>
      <w:bookmarkStart w:id="10" w:name="_Toc184730540"/>
      <w:r>
        <w:t xml:space="preserve">Ultraviolet </w:t>
      </w:r>
      <w:r w:rsidRPr="00A01BB1">
        <w:t>radiation</w:t>
      </w:r>
      <w:bookmarkEnd w:id="10"/>
    </w:p>
    <w:p w14:paraId="3C792A05" w14:textId="7E9CED37" w:rsidR="00BA5A2E" w:rsidRDefault="00BA5A2E" w:rsidP="00BA5A2E">
      <w:pPr>
        <w:pStyle w:val="BodyText"/>
        <w:spacing w:before="119" w:line="259" w:lineRule="auto"/>
        <w:ind w:right="502"/>
      </w:pPr>
      <w:r>
        <w:t>Solar</w:t>
      </w:r>
      <w:r>
        <w:rPr>
          <w:spacing w:val="-3"/>
        </w:rPr>
        <w:t xml:space="preserve"> </w:t>
      </w:r>
      <w:r>
        <w:t>emissions</w:t>
      </w:r>
      <w:r>
        <w:rPr>
          <w:spacing w:val="-3"/>
        </w:rPr>
        <w:t xml:space="preserve"> </w:t>
      </w:r>
      <w:r>
        <w:t>include</w:t>
      </w:r>
      <w:r>
        <w:rPr>
          <w:spacing w:val="-2"/>
        </w:rPr>
        <w:t xml:space="preserve"> </w:t>
      </w:r>
      <w:r>
        <w:t>visible</w:t>
      </w:r>
      <w:r>
        <w:rPr>
          <w:spacing w:val="-2"/>
        </w:rPr>
        <w:t xml:space="preserve"> </w:t>
      </w:r>
      <w:r>
        <w:t>light,</w:t>
      </w:r>
      <w:r>
        <w:rPr>
          <w:spacing w:val="-2"/>
        </w:rPr>
        <w:t xml:space="preserve"> </w:t>
      </w:r>
      <w:r>
        <w:t>heat</w:t>
      </w:r>
      <w:r>
        <w:rPr>
          <w:spacing w:val="-4"/>
        </w:rPr>
        <w:t xml:space="preserve"> </w:t>
      </w:r>
      <w:r>
        <w:t>and</w:t>
      </w:r>
      <w:r>
        <w:rPr>
          <w:spacing w:val="-4"/>
        </w:rPr>
        <w:t xml:space="preserve"> </w:t>
      </w:r>
      <w:r>
        <w:t>UV</w:t>
      </w:r>
      <w:r w:rsidR="00E17560">
        <w:t>R</w:t>
      </w:r>
      <w:r>
        <w:t>.</w:t>
      </w:r>
      <w:r>
        <w:rPr>
          <w:spacing w:val="-4"/>
        </w:rPr>
        <w:t xml:space="preserve"> </w:t>
      </w:r>
      <w:r>
        <w:t>The</w:t>
      </w:r>
      <w:r>
        <w:rPr>
          <w:spacing w:val="-4"/>
        </w:rPr>
        <w:t xml:space="preserve"> </w:t>
      </w:r>
      <w:r>
        <w:t>sun</w:t>
      </w:r>
      <w:r>
        <w:rPr>
          <w:spacing w:val="-2"/>
        </w:rPr>
        <w:t xml:space="preserve"> </w:t>
      </w:r>
      <w:r>
        <w:t>is</w:t>
      </w:r>
      <w:r>
        <w:rPr>
          <w:spacing w:val="-3"/>
        </w:rPr>
        <w:t xml:space="preserve"> </w:t>
      </w:r>
      <w:r>
        <w:t>the</w:t>
      </w:r>
      <w:r>
        <w:rPr>
          <w:spacing w:val="-4"/>
        </w:rPr>
        <w:t xml:space="preserve"> </w:t>
      </w:r>
      <w:r>
        <w:t>strongest</w:t>
      </w:r>
      <w:r>
        <w:rPr>
          <w:spacing w:val="-4"/>
        </w:rPr>
        <w:t xml:space="preserve"> </w:t>
      </w:r>
      <w:r>
        <w:t>source</w:t>
      </w:r>
      <w:r>
        <w:rPr>
          <w:spacing w:val="-4"/>
        </w:rPr>
        <w:t xml:space="preserve"> </w:t>
      </w:r>
      <w:r>
        <w:t>of</w:t>
      </w:r>
      <w:r>
        <w:rPr>
          <w:spacing w:val="-4"/>
        </w:rPr>
        <w:t xml:space="preserve"> </w:t>
      </w:r>
      <w:r>
        <w:t>UV</w:t>
      </w:r>
      <w:r w:rsidR="00E17560">
        <w:t>R</w:t>
      </w:r>
      <w:r>
        <w:rPr>
          <w:spacing w:val="-1"/>
        </w:rPr>
        <w:t xml:space="preserve"> </w:t>
      </w:r>
      <w:r>
        <w:t>in</w:t>
      </w:r>
      <w:r>
        <w:rPr>
          <w:spacing w:val="-2"/>
        </w:rPr>
        <w:t xml:space="preserve"> </w:t>
      </w:r>
      <w:r>
        <w:t>our environment. There are also artificial sources of UV</w:t>
      </w:r>
      <w:r w:rsidR="00E17560">
        <w:t>R</w:t>
      </w:r>
      <w:r>
        <w:t xml:space="preserve"> including: welding; tanning beds; nail curing devices; signature recognition; bug zappers; fluorescence lights; curing of printing inks; medical devices; sterilisation and purification equipment</w:t>
      </w:r>
      <w:r w:rsidR="0058625F">
        <w:rPr>
          <w:rStyle w:val="FootnoteReference"/>
        </w:rPr>
        <w:footnoteReference w:id="6"/>
      </w:r>
      <w:r>
        <w:t>.</w:t>
      </w:r>
    </w:p>
    <w:p w14:paraId="0F4DD836" w14:textId="62172FD2" w:rsidR="00BA5A2E" w:rsidRDefault="00BA5A2E" w:rsidP="00BA5A2E">
      <w:pPr>
        <w:pStyle w:val="BodyText"/>
        <w:spacing w:before="120"/>
      </w:pPr>
      <w:r>
        <w:t>The</w:t>
      </w:r>
      <w:r>
        <w:rPr>
          <w:spacing w:val="-6"/>
        </w:rPr>
        <w:t xml:space="preserve"> </w:t>
      </w:r>
      <w:r>
        <w:t>UV</w:t>
      </w:r>
      <w:r w:rsidR="00E17560">
        <w:t>R</w:t>
      </w:r>
      <w:r>
        <w:rPr>
          <w:spacing w:val="-6"/>
        </w:rPr>
        <w:t xml:space="preserve"> </w:t>
      </w:r>
      <w:r>
        <w:t>spectrum</w:t>
      </w:r>
      <w:r>
        <w:rPr>
          <w:spacing w:val="-5"/>
        </w:rPr>
        <w:t xml:space="preserve"> </w:t>
      </w:r>
      <w:r>
        <w:t>is</w:t>
      </w:r>
      <w:r>
        <w:rPr>
          <w:spacing w:val="-5"/>
        </w:rPr>
        <w:t xml:space="preserve"> </w:t>
      </w:r>
      <w:r>
        <w:t>divided</w:t>
      </w:r>
      <w:r>
        <w:rPr>
          <w:spacing w:val="-6"/>
        </w:rPr>
        <w:t xml:space="preserve"> </w:t>
      </w:r>
      <w:r>
        <w:t>into</w:t>
      </w:r>
      <w:r>
        <w:rPr>
          <w:spacing w:val="-4"/>
        </w:rPr>
        <w:t xml:space="preserve"> </w:t>
      </w:r>
      <w:r>
        <w:t>3</w:t>
      </w:r>
      <w:r>
        <w:rPr>
          <w:spacing w:val="-5"/>
        </w:rPr>
        <w:t xml:space="preserve"> </w:t>
      </w:r>
      <w:r>
        <w:t>regions</w:t>
      </w:r>
      <w:r>
        <w:rPr>
          <w:spacing w:val="-5"/>
        </w:rPr>
        <w:t xml:space="preserve"> </w:t>
      </w:r>
      <w:r>
        <w:t>called</w:t>
      </w:r>
      <w:r>
        <w:rPr>
          <w:spacing w:val="-6"/>
        </w:rPr>
        <w:t xml:space="preserve"> </w:t>
      </w:r>
      <w:r>
        <w:t>UVA,</w:t>
      </w:r>
      <w:r>
        <w:rPr>
          <w:spacing w:val="-5"/>
        </w:rPr>
        <w:t xml:space="preserve"> </w:t>
      </w:r>
      <w:r>
        <w:t>UVB</w:t>
      </w:r>
      <w:r>
        <w:rPr>
          <w:spacing w:val="-4"/>
        </w:rPr>
        <w:t xml:space="preserve"> </w:t>
      </w:r>
      <w:r>
        <w:t>and</w:t>
      </w:r>
      <w:r>
        <w:rPr>
          <w:spacing w:val="-4"/>
        </w:rPr>
        <w:t xml:space="preserve"> </w:t>
      </w:r>
      <w:r>
        <w:t>UVC</w:t>
      </w:r>
      <w:r>
        <w:rPr>
          <w:spacing w:val="-5"/>
        </w:rPr>
        <w:t xml:space="preserve"> </w:t>
      </w:r>
      <w:r>
        <w:t>according</w:t>
      </w:r>
      <w:r>
        <w:rPr>
          <w:spacing w:val="-3"/>
        </w:rPr>
        <w:t xml:space="preserve"> </w:t>
      </w:r>
      <w:r>
        <w:t>to</w:t>
      </w:r>
      <w:r>
        <w:rPr>
          <w:spacing w:val="-6"/>
        </w:rPr>
        <w:t xml:space="preserve"> </w:t>
      </w:r>
      <w:r>
        <w:rPr>
          <w:spacing w:val="-2"/>
        </w:rPr>
        <w:t>wavelength:</w:t>
      </w:r>
    </w:p>
    <w:p w14:paraId="16C91C6D" w14:textId="3C5444CF" w:rsidR="00DC73F8" w:rsidRPr="00DC420D" w:rsidRDefault="00BA5A2E" w:rsidP="006D28D0">
      <w:pPr>
        <w:pStyle w:val="ListBullet"/>
      </w:pPr>
      <w:r w:rsidRPr="00DC420D">
        <w:t>UVC (100-280 nm) - is the shortest wavelength and the most damaging type of UVR, however, as sunlight passes through the atmosphere, water vapour, oxygen and carbon dioxide, all UVC is absorbed</w:t>
      </w:r>
      <w:r w:rsidR="0058625F" w:rsidRPr="00DC420D">
        <w:rPr>
          <w:rStyle w:val="FootnoteReference"/>
        </w:rPr>
        <w:footnoteReference w:id="7"/>
      </w:r>
      <w:r w:rsidR="00DC73F8" w:rsidRPr="00DC420D">
        <w:t>.</w:t>
      </w:r>
    </w:p>
    <w:p w14:paraId="63D7ADD0" w14:textId="573DE809" w:rsidR="006457B0" w:rsidRPr="00DC420D" w:rsidRDefault="00DC73F8" w:rsidP="006D28D0">
      <w:pPr>
        <w:pStyle w:val="ListBullet"/>
      </w:pPr>
      <w:r w:rsidRPr="00DC420D">
        <w:t>U</w:t>
      </w:r>
      <w:r w:rsidR="006457B0" w:rsidRPr="00DC420D">
        <w:t>VB (2</w:t>
      </w:r>
      <w:r w:rsidR="000D677C" w:rsidRPr="00DC420D">
        <w:t>80</w:t>
      </w:r>
      <w:r w:rsidR="006457B0" w:rsidRPr="00DC420D">
        <w:t>–3</w:t>
      </w:r>
      <w:r w:rsidR="000D677C" w:rsidRPr="00DC420D">
        <w:t>15</w:t>
      </w:r>
      <w:r w:rsidR="006457B0" w:rsidRPr="00DC420D">
        <w:t xml:space="preserve"> nm)</w:t>
      </w:r>
      <w:r w:rsidR="00F53E4A" w:rsidRPr="00DC420D">
        <w:rPr>
          <w:vertAlign w:val="superscript"/>
        </w:rPr>
        <w:t>7</w:t>
      </w:r>
      <w:r w:rsidR="006457B0" w:rsidRPr="00DC420D">
        <w:t xml:space="preserve"> - most UVB is absorbed by the atmosphere, UVB comprises 5% of the solar UVR reaching the earth's surface.</w:t>
      </w:r>
    </w:p>
    <w:p w14:paraId="6433EAEA" w14:textId="44762843" w:rsidR="006457B0" w:rsidRPr="00DC420D" w:rsidRDefault="006457B0" w:rsidP="006D28D0">
      <w:pPr>
        <w:pStyle w:val="ListBullet"/>
      </w:pPr>
      <w:r w:rsidRPr="00DC420D">
        <w:t>UVA 3</w:t>
      </w:r>
      <w:r w:rsidR="000D677C" w:rsidRPr="00DC420D">
        <w:t>15</w:t>
      </w:r>
      <w:r w:rsidRPr="00DC420D">
        <w:t>–400 nm</w:t>
      </w:r>
      <w:r w:rsidR="00F53E4A" w:rsidRPr="00DC420D">
        <w:rPr>
          <w:vertAlign w:val="superscript"/>
        </w:rPr>
        <w:t>7</w:t>
      </w:r>
      <w:r w:rsidRPr="00DC420D">
        <w:t xml:space="preserve"> - UVA is not filtered significantly by the atmosphere The majority of solar UVR reaching the earth's surface (approximately 95%) is UVA.</w:t>
      </w:r>
    </w:p>
    <w:p w14:paraId="36C7F17E" w14:textId="746D55C1" w:rsidR="006457B0" w:rsidRDefault="006457B0" w:rsidP="006457B0">
      <w:pPr>
        <w:pStyle w:val="BodyText"/>
        <w:spacing w:before="125" w:line="259" w:lineRule="auto"/>
        <w:ind w:right="502"/>
      </w:pPr>
      <w:r>
        <w:t>Exposure</w:t>
      </w:r>
      <w:r>
        <w:rPr>
          <w:spacing w:val="-3"/>
        </w:rPr>
        <w:t xml:space="preserve"> </w:t>
      </w:r>
      <w:r>
        <w:t>to</w:t>
      </w:r>
      <w:r>
        <w:rPr>
          <w:spacing w:val="-3"/>
        </w:rPr>
        <w:t xml:space="preserve"> </w:t>
      </w:r>
      <w:r>
        <w:t>UVR</w:t>
      </w:r>
      <w:r>
        <w:rPr>
          <w:spacing w:val="-3"/>
        </w:rPr>
        <w:t xml:space="preserve"> </w:t>
      </w:r>
      <w:r>
        <w:t>via</w:t>
      </w:r>
      <w:r>
        <w:rPr>
          <w:spacing w:val="-3"/>
        </w:rPr>
        <w:t xml:space="preserve"> </w:t>
      </w:r>
      <w:r>
        <w:t>sun</w:t>
      </w:r>
      <w:r>
        <w:rPr>
          <w:spacing w:val="-1"/>
        </w:rPr>
        <w:t xml:space="preserve"> </w:t>
      </w:r>
      <w:r>
        <w:t>exposure</w:t>
      </w:r>
      <w:r>
        <w:rPr>
          <w:spacing w:val="-3"/>
        </w:rPr>
        <w:t xml:space="preserve"> </w:t>
      </w:r>
      <w:r>
        <w:t>is</w:t>
      </w:r>
      <w:r>
        <w:rPr>
          <w:spacing w:val="-2"/>
        </w:rPr>
        <w:t xml:space="preserve"> </w:t>
      </w:r>
      <w:r>
        <w:t>estimated</w:t>
      </w:r>
      <w:r>
        <w:rPr>
          <w:spacing w:val="-1"/>
        </w:rPr>
        <w:t xml:space="preserve"> </w:t>
      </w:r>
      <w:r>
        <w:t>to</w:t>
      </w:r>
      <w:r>
        <w:rPr>
          <w:spacing w:val="-3"/>
        </w:rPr>
        <w:t xml:space="preserve"> </w:t>
      </w:r>
      <w:r>
        <w:t>cause</w:t>
      </w:r>
      <w:r>
        <w:rPr>
          <w:spacing w:val="-3"/>
        </w:rPr>
        <w:t xml:space="preserve"> </w:t>
      </w:r>
      <w:r>
        <w:t>around</w:t>
      </w:r>
      <w:r>
        <w:rPr>
          <w:spacing w:val="-3"/>
        </w:rPr>
        <w:t xml:space="preserve"> </w:t>
      </w:r>
      <w:r>
        <w:t>95%</w:t>
      </w:r>
      <w:r>
        <w:rPr>
          <w:spacing w:val="-2"/>
        </w:rPr>
        <w:t xml:space="preserve"> </w:t>
      </w:r>
      <w:r>
        <w:t>of</w:t>
      </w:r>
      <w:r>
        <w:rPr>
          <w:spacing w:val="-1"/>
        </w:rPr>
        <w:t xml:space="preserve"> </w:t>
      </w:r>
      <w:r>
        <w:t>melanoma</w:t>
      </w:r>
      <w:r>
        <w:rPr>
          <w:spacing w:val="-3"/>
        </w:rPr>
        <w:t xml:space="preserve"> </w:t>
      </w:r>
      <w:r>
        <w:t>cases</w:t>
      </w:r>
      <w:r>
        <w:rPr>
          <w:spacing w:val="-2"/>
        </w:rPr>
        <w:t xml:space="preserve"> </w:t>
      </w:r>
      <w:r>
        <w:t>in</w:t>
      </w:r>
      <w:r>
        <w:rPr>
          <w:spacing w:val="-1"/>
        </w:rPr>
        <w:t xml:space="preserve"> </w:t>
      </w:r>
      <w:r>
        <w:t>Australia (Cancer Australia)</w:t>
      </w:r>
      <w:r w:rsidR="008E2272">
        <w:rPr>
          <w:rStyle w:val="FootnoteReference"/>
        </w:rPr>
        <w:footnoteReference w:id="8"/>
      </w:r>
      <w:r>
        <w:t xml:space="preserve">. Both UVA and UVB can cause </w:t>
      </w:r>
      <w:r w:rsidR="002A3768">
        <w:t>deoxyribonucleic acid (</w:t>
      </w:r>
      <w:r>
        <w:t>DNA</w:t>
      </w:r>
      <w:r w:rsidR="002A3768">
        <w:t>)</w:t>
      </w:r>
      <w:r>
        <w:t xml:space="preserve"> damage. UVA has less energy than UVB and is responsible for skin tanning and skin aging. UVB has a shorter wavelength and higher energy</w:t>
      </w:r>
      <w:r w:rsidR="008146E1">
        <w:t>,</w:t>
      </w:r>
      <w:r>
        <w:t xml:space="preserve"> and it only reaches the epidermis layer of skin. UVB is the primary cause of erythema, a radiation-induced inflammatory response appearing as the reddening of the skin, commonly known as sunburn (Zou </w:t>
      </w:r>
      <w:r w:rsidRPr="00DC420D">
        <w:rPr>
          <w:iCs/>
        </w:rPr>
        <w:t>et al</w:t>
      </w:r>
      <w:r w:rsidR="00DC420D">
        <w:rPr>
          <w:iCs/>
        </w:rPr>
        <w:t>.</w:t>
      </w:r>
      <w:r>
        <w:t xml:space="preserve"> 2022).</w:t>
      </w:r>
    </w:p>
    <w:p w14:paraId="4BEF56DB" w14:textId="517FC8C2" w:rsidR="00652613" w:rsidRDefault="006457B0" w:rsidP="006457B0">
      <w:pPr>
        <w:pStyle w:val="BodyText"/>
        <w:spacing w:before="120" w:line="259" w:lineRule="auto"/>
        <w:ind w:right="502"/>
      </w:pPr>
      <w:r>
        <w:t>UVR</w:t>
      </w:r>
      <w:r>
        <w:rPr>
          <w:spacing w:val="-1"/>
        </w:rPr>
        <w:t xml:space="preserve"> </w:t>
      </w:r>
      <w:r>
        <w:t>comes from both</w:t>
      </w:r>
      <w:r>
        <w:rPr>
          <w:spacing w:val="-1"/>
        </w:rPr>
        <w:t xml:space="preserve"> </w:t>
      </w:r>
      <w:r>
        <w:t>direct</w:t>
      </w:r>
      <w:r>
        <w:rPr>
          <w:spacing w:val="-1"/>
        </w:rPr>
        <w:t xml:space="preserve"> </w:t>
      </w:r>
      <w:r>
        <w:t>sunlight and indirect</w:t>
      </w:r>
      <w:r>
        <w:rPr>
          <w:spacing w:val="-1"/>
        </w:rPr>
        <w:t xml:space="preserve"> </w:t>
      </w:r>
      <w:r>
        <w:t>sources.</w:t>
      </w:r>
      <w:r>
        <w:rPr>
          <w:spacing w:val="-1"/>
        </w:rPr>
        <w:t xml:space="preserve"> </w:t>
      </w:r>
      <w:r>
        <w:t>Substantial amounts of</w:t>
      </w:r>
      <w:r>
        <w:rPr>
          <w:spacing w:val="-1"/>
        </w:rPr>
        <w:t xml:space="preserve"> </w:t>
      </w:r>
      <w:r>
        <w:t>the</w:t>
      </w:r>
      <w:r>
        <w:rPr>
          <w:spacing w:val="-1"/>
        </w:rPr>
        <w:t xml:space="preserve"> </w:t>
      </w:r>
      <w:r>
        <w:t>sun's UVR are scattered from the open sky and reflected from the environment (e.g. snow, sand, water, clouds and the sky itself). This means that a person can be sunburned in shade and that the risk of sunburn is greatly increased near sources of reflected radiation, such as snow and water. UVR from the sun reaching</w:t>
      </w:r>
      <w:r>
        <w:rPr>
          <w:spacing w:val="-4"/>
        </w:rPr>
        <w:t xml:space="preserve"> </w:t>
      </w:r>
      <w:r>
        <w:t>the</w:t>
      </w:r>
      <w:r>
        <w:rPr>
          <w:spacing w:val="-4"/>
        </w:rPr>
        <w:t xml:space="preserve"> </w:t>
      </w:r>
      <w:r>
        <w:t>skin</w:t>
      </w:r>
      <w:r>
        <w:rPr>
          <w:spacing w:val="-2"/>
        </w:rPr>
        <w:t xml:space="preserve"> </w:t>
      </w:r>
      <w:r>
        <w:t>is</w:t>
      </w:r>
      <w:r>
        <w:rPr>
          <w:spacing w:val="-3"/>
        </w:rPr>
        <w:t xml:space="preserve"> </w:t>
      </w:r>
      <w:r>
        <w:t>a</w:t>
      </w:r>
      <w:r>
        <w:rPr>
          <w:spacing w:val="-4"/>
        </w:rPr>
        <w:t xml:space="preserve"> </w:t>
      </w:r>
      <w:r>
        <w:t>continuous process</w:t>
      </w:r>
      <w:r>
        <w:rPr>
          <w:spacing w:val="-3"/>
        </w:rPr>
        <w:t xml:space="preserve"> </w:t>
      </w:r>
      <w:r>
        <w:t>with</w:t>
      </w:r>
      <w:r>
        <w:rPr>
          <w:spacing w:val="-2"/>
        </w:rPr>
        <w:t xml:space="preserve"> </w:t>
      </w:r>
      <w:r>
        <w:t>the</w:t>
      </w:r>
      <w:r>
        <w:rPr>
          <w:spacing w:val="-2"/>
        </w:rPr>
        <w:t xml:space="preserve"> </w:t>
      </w:r>
      <w:r>
        <w:t>skin</w:t>
      </w:r>
      <w:r>
        <w:rPr>
          <w:spacing w:val="-4"/>
        </w:rPr>
        <w:t xml:space="preserve"> </w:t>
      </w:r>
      <w:r>
        <w:t>accumulating</w:t>
      </w:r>
      <w:r>
        <w:rPr>
          <w:spacing w:val="-4"/>
        </w:rPr>
        <w:t xml:space="preserve"> </w:t>
      </w:r>
      <w:r>
        <w:t>damage</w:t>
      </w:r>
      <w:r>
        <w:rPr>
          <w:spacing w:val="-4"/>
        </w:rPr>
        <w:t xml:space="preserve"> </w:t>
      </w:r>
      <w:r>
        <w:t>as long</w:t>
      </w:r>
      <w:r>
        <w:rPr>
          <w:spacing w:val="-4"/>
        </w:rPr>
        <w:t xml:space="preserve"> </w:t>
      </w:r>
      <w:r>
        <w:t>as</w:t>
      </w:r>
      <w:r>
        <w:rPr>
          <w:spacing w:val="-3"/>
        </w:rPr>
        <w:t xml:space="preserve"> </w:t>
      </w:r>
      <w:r>
        <w:t>it</w:t>
      </w:r>
      <w:r>
        <w:rPr>
          <w:spacing w:val="-4"/>
        </w:rPr>
        <w:t xml:space="preserve"> </w:t>
      </w:r>
      <w:r>
        <w:t>is</w:t>
      </w:r>
      <w:r>
        <w:rPr>
          <w:spacing w:val="-3"/>
        </w:rPr>
        <w:t xml:space="preserve"> </w:t>
      </w:r>
      <w:r>
        <w:t>exposed to the sun. This may lead eventually to premature ageing of the skin, skin cancer and other adverse effects</w:t>
      </w:r>
      <w:r w:rsidR="008E2272">
        <w:rPr>
          <w:rStyle w:val="FootnoteReference"/>
        </w:rPr>
        <w:footnoteReference w:id="9"/>
      </w:r>
      <w:r w:rsidR="00DC73F8">
        <w:t>.</w:t>
      </w:r>
    </w:p>
    <w:p w14:paraId="38DD01F3" w14:textId="2B6E720B" w:rsidR="006457B0" w:rsidRDefault="004E3687" w:rsidP="00F47305">
      <w:pPr>
        <w:pStyle w:val="Heading4"/>
      </w:pPr>
      <w:bookmarkStart w:id="11" w:name="_Toc184730541"/>
      <w:r>
        <w:t xml:space="preserve">Protection from </w:t>
      </w:r>
      <w:r w:rsidRPr="00A01BB1">
        <w:t>ultraviolet</w:t>
      </w:r>
      <w:r>
        <w:t xml:space="preserve"> radiation</w:t>
      </w:r>
      <w:bookmarkEnd w:id="11"/>
    </w:p>
    <w:p w14:paraId="0C036D15" w14:textId="0755DF7D" w:rsidR="00F76A95" w:rsidRDefault="00F76A95" w:rsidP="00F76A95">
      <w:pPr>
        <w:pStyle w:val="BodyText"/>
        <w:spacing w:before="119" w:line="259" w:lineRule="auto"/>
        <w:ind w:right="502"/>
      </w:pPr>
      <w:r>
        <w:t>It is important to take preventive measures to limit UVR exposure, as exposure to UVR is the main preventable</w:t>
      </w:r>
      <w:r>
        <w:rPr>
          <w:spacing w:val="-3"/>
        </w:rPr>
        <w:t xml:space="preserve"> </w:t>
      </w:r>
      <w:r>
        <w:t>cause</w:t>
      </w:r>
      <w:r>
        <w:rPr>
          <w:spacing w:val="-1"/>
        </w:rPr>
        <w:t xml:space="preserve"> </w:t>
      </w:r>
      <w:r>
        <w:t>of</w:t>
      </w:r>
      <w:r>
        <w:rPr>
          <w:spacing w:val="-3"/>
        </w:rPr>
        <w:t xml:space="preserve"> </w:t>
      </w:r>
      <w:r>
        <w:t>skin</w:t>
      </w:r>
      <w:r>
        <w:rPr>
          <w:spacing w:val="-3"/>
        </w:rPr>
        <w:t xml:space="preserve"> </w:t>
      </w:r>
      <w:r>
        <w:t>cancer.</w:t>
      </w:r>
      <w:r>
        <w:rPr>
          <w:spacing w:val="-3"/>
        </w:rPr>
        <w:t xml:space="preserve"> </w:t>
      </w:r>
      <w:r>
        <w:t>Exposure</w:t>
      </w:r>
      <w:r>
        <w:rPr>
          <w:spacing w:val="-3"/>
        </w:rPr>
        <w:t xml:space="preserve"> </w:t>
      </w:r>
      <w:r>
        <w:t>to</w:t>
      </w:r>
      <w:r>
        <w:rPr>
          <w:spacing w:val="-3"/>
        </w:rPr>
        <w:t xml:space="preserve"> </w:t>
      </w:r>
      <w:r>
        <w:t>UVR</w:t>
      </w:r>
      <w:r>
        <w:rPr>
          <w:spacing w:val="-3"/>
        </w:rPr>
        <w:t xml:space="preserve"> </w:t>
      </w:r>
      <w:r>
        <w:t>can</w:t>
      </w:r>
      <w:r>
        <w:rPr>
          <w:spacing w:val="-3"/>
        </w:rPr>
        <w:t xml:space="preserve"> </w:t>
      </w:r>
      <w:r>
        <w:t>be</w:t>
      </w:r>
      <w:r>
        <w:rPr>
          <w:spacing w:val="-1"/>
        </w:rPr>
        <w:t xml:space="preserve"> </w:t>
      </w:r>
      <w:r>
        <w:t>moderated</w:t>
      </w:r>
      <w:r>
        <w:rPr>
          <w:spacing w:val="-3"/>
        </w:rPr>
        <w:t xml:space="preserve"> </w:t>
      </w:r>
      <w:r>
        <w:t>by</w:t>
      </w:r>
      <w:r>
        <w:rPr>
          <w:spacing w:val="-2"/>
        </w:rPr>
        <w:t xml:space="preserve"> </w:t>
      </w:r>
      <w:r>
        <w:t>protective</w:t>
      </w:r>
      <w:r>
        <w:rPr>
          <w:spacing w:val="-3"/>
        </w:rPr>
        <w:t xml:space="preserve"> </w:t>
      </w:r>
      <w:r w:rsidRPr="009932EC">
        <w:rPr>
          <w:lang w:val="en-GB"/>
        </w:rPr>
        <w:t>behaviours</w:t>
      </w:r>
      <w:r>
        <w:t>,</w:t>
      </w:r>
      <w:r>
        <w:rPr>
          <w:spacing w:val="-3"/>
        </w:rPr>
        <w:t xml:space="preserve"> </w:t>
      </w:r>
      <w:r>
        <w:t>such as seeking shade, wearing a hat, wearing protective clothing and sunscreen.</w:t>
      </w:r>
    </w:p>
    <w:p w14:paraId="7A7C7074" w14:textId="6B094770" w:rsidR="00F76A95" w:rsidRDefault="00F76A95" w:rsidP="00F76A95">
      <w:pPr>
        <w:pStyle w:val="BodyText"/>
        <w:spacing w:before="119" w:line="259" w:lineRule="auto"/>
        <w:ind w:right="502"/>
      </w:pPr>
      <w:r>
        <w:t>There</w:t>
      </w:r>
      <w:r>
        <w:rPr>
          <w:spacing w:val="-1"/>
        </w:rPr>
        <w:t xml:space="preserve"> </w:t>
      </w:r>
      <w:r>
        <w:t>is a</w:t>
      </w:r>
      <w:r>
        <w:rPr>
          <w:spacing w:val="-1"/>
        </w:rPr>
        <w:t xml:space="preserve"> </w:t>
      </w:r>
      <w:r>
        <w:t>long history of</w:t>
      </w:r>
      <w:r>
        <w:rPr>
          <w:spacing w:val="-1"/>
        </w:rPr>
        <w:t xml:space="preserve"> </w:t>
      </w:r>
      <w:r>
        <w:t>health</w:t>
      </w:r>
      <w:r>
        <w:rPr>
          <w:spacing w:val="-1"/>
        </w:rPr>
        <w:t xml:space="preserve"> </w:t>
      </w:r>
      <w:r>
        <w:t>campaigns aimed at</w:t>
      </w:r>
      <w:r>
        <w:rPr>
          <w:spacing w:val="-1"/>
        </w:rPr>
        <w:t xml:space="preserve"> </w:t>
      </w:r>
      <w:r>
        <w:t>reducing</w:t>
      </w:r>
      <w:r>
        <w:rPr>
          <w:spacing w:val="-1"/>
        </w:rPr>
        <w:t xml:space="preserve"> </w:t>
      </w:r>
      <w:r>
        <w:t>skin</w:t>
      </w:r>
      <w:r>
        <w:rPr>
          <w:spacing w:val="-1"/>
        </w:rPr>
        <w:t xml:space="preserve"> </w:t>
      </w:r>
      <w:r>
        <w:t>cancer in</w:t>
      </w:r>
      <w:r>
        <w:rPr>
          <w:spacing w:val="-1"/>
        </w:rPr>
        <w:t xml:space="preserve"> </w:t>
      </w:r>
      <w:r>
        <w:t>Australia.</w:t>
      </w:r>
      <w:r w:rsidR="00BA2E21">
        <w:t xml:space="preserve"> T</w:t>
      </w:r>
      <w:r>
        <w:t>he Cancer</w:t>
      </w:r>
      <w:r>
        <w:rPr>
          <w:spacing w:val="-3"/>
        </w:rPr>
        <w:t xml:space="preserve"> </w:t>
      </w:r>
      <w:r>
        <w:t>Council</w:t>
      </w:r>
      <w:r w:rsidR="009932EC">
        <w:t xml:space="preserve"> Australia</w:t>
      </w:r>
      <w:r>
        <w:rPr>
          <w:spacing w:val="-5"/>
        </w:rPr>
        <w:t xml:space="preserve"> </w:t>
      </w:r>
      <w:r>
        <w:t>launched</w:t>
      </w:r>
      <w:r>
        <w:rPr>
          <w:spacing w:val="-4"/>
        </w:rPr>
        <w:t xml:space="preserve"> </w:t>
      </w:r>
      <w:r>
        <w:t>the</w:t>
      </w:r>
      <w:r>
        <w:rPr>
          <w:spacing w:val="-4"/>
        </w:rPr>
        <w:t xml:space="preserve"> </w:t>
      </w:r>
      <w:r>
        <w:t>“Slip,</w:t>
      </w:r>
      <w:r>
        <w:rPr>
          <w:spacing w:val="-4"/>
        </w:rPr>
        <w:t xml:space="preserve"> </w:t>
      </w:r>
      <w:r>
        <w:t>Slop,</w:t>
      </w:r>
      <w:r>
        <w:rPr>
          <w:spacing w:val="-2"/>
        </w:rPr>
        <w:t xml:space="preserve"> </w:t>
      </w:r>
      <w:r>
        <w:t>Slap”</w:t>
      </w:r>
      <w:r>
        <w:rPr>
          <w:spacing w:val="-3"/>
        </w:rPr>
        <w:t xml:space="preserve"> </w:t>
      </w:r>
      <w:r>
        <w:t>campaign</w:t>
      </w:r>
      <w:r>
        <w:rPr>
          <w:spacing w:val="-2"/>
        </w:rPr>
        <w:t xml:space="preserve"> </w:t>
      </w:r>
      <w:r>
        <w:t>in</w:t>
      </w:r>
      <w:r>
        <w:rPr>
          <w:spacing w:val="-1"/>
        </w:rPr>
        <w:t xml:space="preserve"> </w:t>
      </w:r>
      <w:r>
        <w:t>1981,</w:t>
      </w:r>
      <w:r>
        <w:rPr>
          <w:spacing w:val="-4"/>
        </w:rPr>
        <w:t xml:space="preserve"> </w:t>
      </w:r>
      <w:r>
        <w:t>which</w:t>
      </w:r>
      <w:r>
        <w:rPr>
          <w:spacing w:val="-2"/>
        </w:rPr>
        <w:t xml:space="preserve"> </w:t>
      </w:r>
      <w:r>
        <w:t>was</w:t>
      </w:r>
      <w:r>
        <w:rPr>
          <w:spacing w:val="-3"/>
        </w:rPr>
        <w:t xml:space="preserve"> </w:t>
      </w:r>
      <w:r>
        <w:t>updated</w:t>
      </w:r>
      <w:r>
        <w:rPr>
          <w:spacing w:val="-2"/>
        </w:rPr>
        <w:t xml:space="preserve"> </w:t>
      </w:r>
      <w:r>
        <w:t>in</w:t>
      </w:r>
      <w:r>
        <w:rPr>
          <w:spacing w:val="-2"/>
        </w:rPr>
        <w:t xml:space="preserve"> </w:t>
      </w:r>
      <w:r>
        <w:t>2007</w:t>
      </w:r>
      <w:r>
        <w:rPr>
          <w:spacing w:val="-4"/>
        </w:rPr>
        <w:t xml:space="preserve"> </w:t>
      </w:r>
      <w:r>
        <w:t>to</w:t>
      </w:r>
      <w:r>
        <w:rPr>
          <w:spacing w:val="-2"/>
        </w:rPr>
        <w:t xml:space="preserve"> </w:t>
      </w:r>
      <w:r>
        <w:t xml:space="preserve">“Slip, Slop, Slap, Seek, Slide” which means slipping on sun protective clothing; slopping on sunscreen; slapping on a broad-brimmed hat; seeking shade when and where possible; and sliding on sunglasses. Cancer Council </w:t>
      </w:r>
      <w:r w:rsidR="009932EC">
        <w:t xml:space="preserve">Australia </w:t>
      </w:r>
      <w:r>
        <w:t xml:space="preserve">states that the campaign is widely credited as playing a key role in the </w:t>
      </w:r>
      <w:r w:rsidRPr="009932EC">
        <w:rPr>
          <w:lang w:val="en-AU"/>
        </w:rPr>
        <w:t>dramatic</w:t>
      </w:r>
      <w:r>
        <w:t xml:space="preserve"> shift in sun protection attitudes and </w:t>
      </w:r>
      <w:r w:rsidRPr="009932EC">
        <w:rPr>
          <w:lang w:val="en-GB"/>
        </w:rPr>
        <w:t>behaviour</w:t>
      </w:r>
      <w:r>
        <w:t xml:space="preserve"> in Australia.</w:t>
      </w:r>
    </w:p>
    <w:p w14:paraId="2261D40E" w14:textId="1F3C4349" w:rsidR="00BA5A2E" w:rsidRPr="002F0B95" w:rsidRDefault="00F76A95" w:rsidP="00F76A95">
      <w:pPr>
        <w:pStyle w:val="BodyText"/>
        <w:spacing w:before="120" w:line="259" w:lineRule="auto"/>
        <w:ind w:right="502"/>
        <w:rPr>
          <w:vertAlign w:val="superscript"/>
        </w:rPr>
      </w:pPr>
      <w:r>
        <w:t>Public health campaigns encourage the use of sunscreens, as one of the measures to prevent the harmful</w:t>
      </w:r>
      <w:r>
        <w:rPr>
          <w:spacing w:val="-1"/>
        </w:rPr>
        <w:t xml:space="preserve"> </w:t>
      </w:r>
      <w:r>
        <w:t>effects of UVR. In general, sunscreens contain active ingredients that can absorb, reflect, or scatter UV rays, to protect the skin against UVR induced skin damage. The active ingredients</w:t>
      </w:r>
      <w:r>
        <w:rPr>
          <w:spacing w:val="-3"/>
        </w:rPr>
        <w:t xml:space="preserve"> </w:t>
      </w:r>
      <w:r>
        <w:t>in</w:t>
      </w:r>
      <w:r>
        <w:rPr>
          <w:spacing w:val="-4"/>
        </w:rPr>
        <w:t xml:space="preserve"> </w:t>
      </w:r>
      <w:r>
        <w:t>sunscreens</w:t>
      </w:r>
      <w:r>
        <w:rPr>
          <w:spacing w:val="-3"/>
        </w:rPr>
        <w:t xml:space="preserve"> </w:t>
      </w:r>
      <w:r>
        <w:t>can</w:t>
      </w:r>
      <w:r>
        <w:rPr>
          <w:spacing w:val="-4"/>
        </w:rPr>
        <w:t xml:space="preserve"> </w:t>
      </w:r>
      <w:r>
        <w:t>be</w:t>
      </w:r>
      <w:r>
        <w:rPr>
          <w:spacing w:val="-4"/>
        </w:rPr>
        <w:t xml:space="preserve"> </w:t>
      </w:r>
      <w:r>
        <w:t>either</w:t>
      </w:r>
      <w:r>
        <w:rPr>
          <w:spacing w:val="-1"/>
        </w:rPr>
        <w:t xml:space="preserve"> </w:t>
      </w:r>
      <w:r>
        <w:t>inorganic</w:t>
      </w:r>
      <w:r>
        <w:rPr>
          <w:spacing w:val="-3"/>
        </w:rPr>
        <w:t xml:space="preserve"> </w:t>
      </w:r>
      <w:r>
        <w:t>materials</w:t>
      </w:r>
      <w:r>
        <w:rPr>
          <w:spacing w:val="-3"/>
        </w:rPr>
        <w:t xml:space="preserve"> </w:t>
      </w:r>
      <w:r>
        <w:t>such</w:t>
      </w:r>
      <w:r>
        <w:rPr>
          <w:spacing w:val="-2"/>
        </w:rPr>
        <w:t xml:space="preserve"> </w:t>
      </w:r>
      <w:r>
        <w:t>as</w:t>
      </w:r>
      <w:r>
        <w:rPr>
          <w:spacing w:val="-3"/>
        </w:rPr>
        <w:t xml:space="preserve"> </w:t>
      </w:r>
      <w:r>
        <w:t>titanium</w:t>
      </w:r>
      <w:r>
        <w:rPr>
          <w:spacing w:val="-2"/>
        </w:rPr>
        <w:t xml:space="preserve"> </w:t>
      </w:r>
      <w:r>
        <w:t>dioxide</w:t>
      </w:r>
      <w:r>
        <w:rPr>
          <w:spacing w:val="-4"/>
        </w:rPr>
        <w:t xml:space="preserve"> </w:t>
      </w:r>
      <w:r>
        <w:t>(TiO2)</w:t>
      </w:r>
      <w:r>
        <w:rPr>
          <w:spacing w:val="-3"/>
        </w:rPr>
        <w:t xml:space="preserve"> </w:t>
      </w:r>
      <w:r>
        <w:t>and</w:t>
      </w:r>
      <w:r>
        <w:rPr>
          <w:spacing w:val="-4"/>
        </w:rPr>
        <w:t xml:space="preserve"> </w:t>
      </w:r>
      <w:r>
        <w:t xml:space="preserve">zinc oxide (ZnO), or organic compounds such as oxybenzone, octocrylene, butyl methoxy dibenzoylmethane, etc. (Zou </w:t>
      </w:r>
      <w:r w:rsidRPr="00DC420D">
        <w:rPr>
          <w:iCs/>
        </w:rPr>
        <w:t>et al</w:t>
      </w:r>
      <w:r w:rsidR="00DC420D" w:rsidRPr="00DC420D">
        <w:rPr>
          <w:iCs/>
        </w:rPr>
        <w:t>.</w:t>
      </w:r>
      <w:r>
        <w:rPr>
          <w:i/>
        </w:rPr>
        <w:t xml:space="preserve"> </w:t>
      </w:r>
      <w:r>
        <w:t>2022)</w:t>
      </w:r>
      <w:r w:rsidR="0058625F">
        <w:t>.</w:t>
      </w:r>
    </w:p>
    <w:p w14:paraId="404140CC" w14:textId="4875F30A" w:rsidR="00E37D50" w:rsidRPr="004813EC" w:rsidRDefault="00E37D50" w:rsidP="004813EC">
      <w:pPr>
        <w:pStyle w:val="Heading3"/>
      </w:pPr>
      <w:bookmarkStart w:id="12" w:name="_Toc184730542"/>
      <w:r w:rsidRPr="004813EC">
        <w:t>Sunscreen regulation in Australia</w:t>
      </w:r>
      <w:bookmarkEnd w:id="12"/>
    </w:p>
    <w:p w14:paraId="12D46CE3" w14:textId="1D5FA2C9" w:rsidR="00E37D50" w:rsidRPr="00E37D50" w:rsidRDefault="00E37D50" w:rsidP="004813EC">
      <w:pPr>
        <w:pStyle w:val="BodyText"/>
      </w:pPr>
      <w:r w:rsidRPr="00E37D50">
        <w:t>In</w:t>
      </w:r>
      <w:r w:rsidRPr="00E37D50">
        <w:rPr>
          <w:spacing w:val="-4"/>
        </w:rPr>
        <w:t xml:space="preserve"> </w:t>
      </w:r>
      <w:r w:rsidRPr="00E37D50">
        <w:t>Australia,</w:t>
      </w:r>
      <w:r w:rsidRPr="00E37D50">
        <w:rPr>
          <w:spacing w:val="-4"/>
        </w:rPr>
        <w:t xml:space="preserve"> </w:t>
      </w:r>
      <w:r w:rsidRPr="00E37D50">
        <w:t>sunscreens</w:t>
      </w:r>
      <w:r w:rsidRPr="00E37D50">
        <w:rPr>
          <w:spacing w:val="-3"/>
        </w:rPr>
        <w:t xml:space="preserve"> </w:t>
      </w:r>
      <w:r w:rsidRPr="00E37D50">
        <w:t>are</w:t>
      </w:r>
      <w:r w:rsidRPr="00E37D50">
        <w:rPr>
          <w:spacing w:val="-4"/>
        </w:rPr>
        <w:t xml:space="preserve"> </w:t>
      </w:r>
      <w:r w:rsidRPr="00E37D50">
        <w:t>regulated</w:t>
      </w:r>
      <w:r w:rsidRPr="00E37D50">
        <w:rPr>
          <w:spacing w:val="-3"/>
        </w:rPr>
        <w:t xml:space="preserve"> </w:t>
      </w:r>
      <w:r w:rsidRPr="00E37D50">
        <w:t>as</w:t>
      </w:r>
      <w:r w:rsidRPr="00E37D50">
        <w:rPr>
          <w:spacing w:val="-3"/>
        </w:rPr>
        <w:t xml:space="preserve"> </w:t>
      </w:r>
      <w:r w:rsidRPr="00E37D50">
        <w:t>either</w:t>
      </w:r>
      <w:r w:rsidRPr="00E37D50">
        <w:rPr>
          <w:spacing w:val="-3"/>
        </w:rPr>
        <w:t xml:space="preserve"> </w:t>
      </w:r>
      <w:r w:rsidRPr="00E37D50">
        <w:t>cosmetics</w:t>
      </w:r>
      <w:r w:rsidRPr="00E37D50">
        <w:rPr>
          <w:spacing w:val="-3"/>
        </w:rPr>
        <w:t xml:space="preserve"> </w:t>
      </w:r>
      <w:r w:rsidRPr="00E37D50">
        <w:t>or</w:t>
      </w:r>
      <w:r w:rsidRPr="00E37D50">
        <w:rPr>
          <w:spacing w:val="-3"/>
        </w:rPr>
        <w:t xml:space="preserve"> </w:t>
      </w:r>
      <w:r w:rsidRPr="00E37D50">
        <w:t>therapeutic</w:t>
      </w:r>
      <w:r w:rsidRPr="00E37D50">
        <w:rPr>
          <w:spacing w:val="-1"/>
        </w:rPr>
        <w:t xml:space="preserve"> </w:t>
      </w:r>
      <w:r w:rsidRPr="00E37D50">
        <w:t>goods</w:t>
      </w:r>
      <w:r w:rsidRPr="00E37D50">
        <w:rPr>
          <w:spacing w:val="-3"/>
        </w:rPr>
        <w:t xml:space="preserve"> </w:t>
      </w:r>
      <w:r w:rsidRPr="00E37D50">
        <w:t>depending</w:t>
      </w:r>
      <w:r w:rsidRPr="00E37D50">
        <w:rPr>
          <w:spacing w:val="-3"/>
        </w:rPr>
        <w:t xml:space="preserve"> </w:t>
      </w:r>
      <w:r w:rsidRPr="00E37D50">
        <w:t>on</w:t>
      </w:r>
      <w:r w:rsidRPr="00E37D50">
        <w:rPr>
          <w:spacing w:val="-3"/>
        </w:rPr>
        <w:t xml:space="preserve"> </w:t>
      </w:r>
      <w:r w:rsidR="000B733F" w:rsidRPr="00E37D50">
        <w:t>several</w:t>
      </w:r>
      <w:r w:rsidRPr="00E37D50">
        <w:t xml:space="preserve"> factors, such as their ingredients, health claims and claimed SPF.</w:t>
      </w:r>
      <w:r w:rsidR="00290E87">
        <w:t xml:space="preserve"> </w:t>
      </w:r>
      <w:r w:rsidRPr="00E37D50">
        <w:t xml:space="preserve">The objective of regulation of sunscreens </w:t>
      </w:r>
      <w:r w:rsidR="001518C9">
        <w:t xml:space="preserve">is </w:t>
      </w:r>
      <w:r w:rsidRPr="00E37D50">
        <w:t>to ensure their quality, safety, and efficacy to protect</w:t>
      </w:r>
      <w:r w:rsidRPr="00E37D50">
        <w:rPr>
          <w:spacing w:val="-4"/>
        </w:rPr>
        <w:t xml:space="preserve"> </w:t>
      </w:r>
      <w:r w:rsidRPr="00E37D50">
        <w:t>consumers</w:t>
      </w:r>
      <w:r w:rsidRPr="00E37D50">
        <w:rPr>
          <w:spacing w:val="-3"/>
        </w:rPr>
        <w:t xml:space="preserve"> </w:t>
      </w:r>
      <w:r w:rsidRPr="00E37D50">
        <w:t>from</w:t>
      </w:r>
      <w:r w:rsidRPr="00E37D50">
        <w:rPr>
          <w:spacing w:val="-2"/>
        </w:rPr>
        <w:t xml:space="preserve"> </w:t>
      </w:r>
      <w:r w:rsidRPr="00E37D50">
        <w:t>the</w:t>
      </w:r>
      <w:r w:rsidRPr="00E37D50">
        <w:rPr>
          <w:spacing w:val="-2"/>
        </w:rPr>
        <w:t xml:space="preserve"> </w:t>
      </w:r>
      <w:r w:rsidRPr="00E37D50">
        <w:t>sun’s</w:t>
      </w:r>
      <w:r w:rsidRPr="00E37D50">
        <w:rPr>
          <w:spacing w:val="-3"/>
        </w:rPr>
        <w:t xml:space="preserve"> </w:t>
      </w:r>
      <w:r w:rsidRPr="00E37D50">
        <w:t>harmful</w:t>
      </w:r>
      <w:r w:rsidRPr="00E37D50">
        <w:rPr>
          <w:spacing w:val="-5"/>
        </w:rPr>
        <w:t xml:space="preserve"> </w:t>
      </w:r>
      <w:r w:rsidRPr="00E37D50">
        <w:t>UV</w:t>
      </w:r>
      <w:r w:rsidR="00B034D8">
        <w:t>R</w:t>
      </w:r>
      <w:r w:rsidRPr="00E37D50">
        <w:rPr>
          <w:spacing w:val="-2"/>
        </w:rPr>
        <w:t xml:space="preserve"> </w:t>
      </w:r>
      <w:r w:rsidRPr="00E37D50">
        <w:t>and</w:t>
      </w:r>
      <w:r w:rsidRPr="00E37D50">
        <w:rPr>
          <w:spacing w:val="-4"/>
        </w:rPr>
        <w:t xml:space="preserve"> </w:t>
      </w:r>
      <w:r w:rsidRPr="00E37D50">
        <w:t>reduce</w:t>
      </w:r>
      <w:r w:rsidRPr="00E37D50">
        <w:rPr>
          <w:spacing w:val="-4"/>
        </w:rPr>
        <w:t xml:space="preserve"> </w:t>
      </w:r>
      <w:r w:rsidRPr="00E37D50">
        <w:t>the</w:t>
      </w:r>
      <w:r w:rsidRPr="00E37D50">
        <w:rPr>
          <w:spacing w:val="-2"/>
        </w:rPr>
        <w:t xml:space="preserve"> </w:t>
      </w:r>
      <w:r w:rsidRPr="00E37D50">
        <w:t>incidence and</w:t>
      </w:r>
      <w:r w:rsidRPr="00E37D50">
        <w:rPr>
          <w:spacing w:val="-4"/>
        </w:rPr>
        <w:t xml:space="preserve"> </w:t>
      </w:r>
      <w:r w:rsidRPr="00E37D50">
        <w:t>tragic</w:t>
      </w:r>
      <w:r w:rsidRPr="00E37D50">
        <w:rPr>
          <w:spacing w:val="-3"/>
        </w:rPr>
        <w:t xml:space="preserve"> </w:t>
      </w:r>
      <w:r w:rsidRPr="00E37D50">
        <w:t>outcomes of skin cancer.</w:t>
      </w:r>
    </w:p>
    <w:p w14:paraId="7A61F4C3" w14:textId="77777777" w:rsidR="00E37D50" w:rsidRPr="00E37D50" w:rsidRDefault="00E37D50" w:rsidP="00F47305">
      <w:pPr>
        <w:pStyle w:val="Heading4"/>
      </w:pPr>
      <w:bookmarkStart w:id="13" w:name="_Toc184730543"/>
      <w:r w:rsidRPr="00E37D50">
        <w:t>Primary and secondary sunscreens</w:t>
      </w:r>
      <w:bookmarkEnd w:id="13"/>
    </w:p>
    <w:p w14:paraId="1AF7D4CD" w14:textId="0C75B481" w:rsidR="00E37D50" w:rsidRPr="00E37D50" w:rsidRDefault="00E37D50" w:rsidP="00E37D50">
      <w:pPr>
        <w:widowControl w:val="0"/>
        <w:autoSpaceDE w:val="0"/>
        <w:autoSpaceDN w:val="0"/>
        <w:spacing w:before="120" w:after="0" w:line="256" w:lineRule="auto"/>
        <w:ind w:right="161"/>
        <w:rPr>
          <w:rFonts w:eastAsia="Arial" w:cs="Arial"/>
          <w:i/>
          <w:lang w:val="en-US"/>
        </w:rPr>
      </w:pPr>
      <w:r w:rsidRPr="00E37D50">
        <w:rPr>
          <w:rFonts w:eastAsia="Arial" w:cs="Arial"/>
          <w:lang w:val="en-US"/>
        </w:rPr>
        <w:t xml:space="preserve">Sunscreens fall into 2 categories: </w:t>
      </w:r>
      <w:r w:rsidR="008146E1">
        <w:rPr>
          <w:rFonts w:eastAsia="Arial" w:cs="Arial"/>
          <w:lang w:val="en-US"/>
        </w:rPr>
        <w:t>“</w:t>
      </w:r>
      <w:r w:rsidRPr="00E37D50">
        <w:rPr>
          <w:rFonts w:eastAsia="Arial" w:cs="Arial"/>
          <w:lang w:val="en-US"/>
        </w:rPr>
        <w:t>primary</w:t>
      </w:r>
      <w:r w:rsidR="008146E1">
        <w:rPr>
          <w:rFonts w:eastAsia="Arial" w:cs="Arial"/>
          <w:lang w:val="en-US"/>
        </w:rPr>
        <w:t>”</w:t>
      </w:r>
      <w:r w:rsidRPr="00E37D50">
        <w:rPr>
          <w:rFonts w:eastAsia="Arial" w:cs="Arial"/>
          <w:lang w:val="en-US"/>
        </w:rPr>
        <w:t xml:space="preserve"> sunscreens and </w:t>
      </w:r>
      <w:r w:rsidR="008146E1">
        <w:rPr>
          <w:rFonts w:eastAsia="Arial" w:cs="Arial"/>
          <w:lang w:val="en-US"/>
        </w:rPr>
        <w:t>“</w:t>
      </w:r>
      <w:r w:rsidRPr="00E37D50">
        <w:rPr>
          <w:rFonts w:eastAsia="Arial" w:cs="Arial"/>
          <w:lang w:val="en-US"/>
        </w:rPr>
        <w:t>secondary</w:t>
      </w:r>
      <w:r w:rsidR="008146E1">
        <w:rPr>
          <w:rFonts w:eastAsia="Arial" w:cs="Arial"/>
          <w:lang w:val="en-US"/>
        </w:rPr>
        <w:t>”</w:t>
      </w:r>
      <w:r w:rsidRPr="00E37D50">
        <w:rPr>
          <w:rFonts w:eastAsia="Arial" w:cs="Arial"/>
          <w:lang w:val="en-US"/>
        </w:rPr>
        <w:t xml:space="preserve"> sunscreens. The Australian therapeutic</w:t>
      </w:r>
      <w:r w:rsidRPr="00E37D50">
        <w:rPr>
          <w:rFonts w:eastAsia="Arial" w:cs="Arial"/>
          <w:spacing w:val="-3"/>
          <w:lang w:val="en-US"/>
        </w:rPr>
        <w:t xml:space="preserve"> </w:t>
      </w:r>
      <w:r w:rsidRPr="00E37D50">
        <w:rPr>
          <w:rFonts w:eastAsia="Arial" w:cs="Arial"/>
          <w:lang w:val="en-US"/>
        </w:rPr>
        <w:t>goods</w:t>
      </w:r>
      <w:r w:rsidRPr="00E37D50">
        <w:rPr>
          <w:rFonts w:eastAsia="Arial" w:cs="Arial"/>
          <w:spacing w:val="-3"/>
          <w:lang w:val="en-US"/>
        </w:rPr>
        <w:t xml:space="preserve"> </w:t>
      </w:r>
      <w:r w:rsidRPr="00E37D50">
        <w:rPr>
          <w:rFonts w:eastAsia="Arial" w:cs="Arial"/>
          <w:lang w:val="en-US"/>
        </w:rPr>
        <w:t>legislation</w:t>
      </w:r>
      <w:r w:rsidRPr="00E37D50">
        <w:rPr>
          <w:rFonts w:eastAsia="Arial" w:cs="Arial"/>
          <w:spacing w:val="-4"/>
          <w:lang w:val="en-US"/>
        </w:rPr>
        <w:t xml:space="preserve"> </w:t>
      </w:r>
      <w:r w:rsidRPr="00E37D50">
        <w:rPr>
          <w:rFonts w:eastAsia="Arial" w:cs="Arial"/>
          <w:lang w:val="en-US"/>
        </w:rPr>
        <w:t>relies</w:t>
      </w:r>
      <w:r w:rsidRPr="00E37D50">
        <w:rPr>
          <w:rFonts w:eastAsia="Arial" w:cs="Arial"/>
          <w:spacing w:val="-3"/>
          <w:lang w:val="en-US"/>
        </w:rPr>
        <w:t xml:space="preserve"> </w:t>
      </w:r>
      <w:r w:rsidRPr="00E37D50">
        <w:rPr>
          <w:rFonts w:eastAsia="Arial" w:cs="Arial"/>
          <w:lang w:val="en-US"/>
        </w:rPr>
        <w:t>on</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definition</w:t>
      </w:r>
      <w:r w:rsidRPr="00E37D50">
        <w:rPr>
          <w:rFonts w:eastAsia="Arial" w:cs="Arial"/>
          <w:spacing w:val="-2"/>
          <w:lang w:val="en-US"/>
        </w:rPr>
        <w:t xml:space="preserve"> </w:t>
      </w:r>
      <w:r w:rsidRPr="00E37D50">
        <w:rPr>
          <w:rFonts w:eastAsia="Arial" w:cs="Arial"/>
          <w:lang w:val="en-US"/>
        </w:rPr>
        <w:t>of</w:t>
      </w:r>
      <w:r w:rsidRPr="00E37D50">
        <w:rPr>
          <w:rFonts w:eastAsia="Arial" w:cs="Arial"/>
          <w:spacing w:val="-2"/>
          <w:lang w:val="en-US"/>
        </w:rPr>
        <w:t xml:space="preserve"> </w:t>
      </w:r>
      <w:r w:rsidRPr="00E37D50">
        <w:rPr>
          <w:rFonts w:eastAsia="Arial" w:cs="Arial"/>
          <w:lang w:val="en-US"/>
        </w:rPr>
        <w:t>primary</w:t>
      </w:r>
      <w:r w:rsidRPr="00E37D50">
        <w:rPr>
          <w:rFonts w:eastAsia="Arial" w:cs="Arial"/>
          <w:spacing w:val="-3"/>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secondary</w:t>
      </w:r>
      <w:r w:rsidRPr="00E37D50">
        <w:rPr>
          <w:rFonts w:eastAsia="Arial" w:cs="Arial"/>
          <w:spacing w:val="-3"/>
          <w:lang w:val="en-US"/>
        </w:rPr>
        <w:t xml:space="preserve"> </w:t>
      </w:r>
      <w:r w:rsidRPr="00E37D50">
        <w:rPr>
          <w:rFonts w:eastAsia="Arial" w:cs="Arial"/>
          <w:lang w:val="en-US"/>
        </w:rPr>
        <w:t>sunscreens</w:t>
      </w:r>
      <w:r w:rsidRPr="00E37D50">
        <w:rPr>
          <w:rFonts w:eastAsia="Arial" w:cs="Arial"/>
          <w:spacing w:val="-3"/>
          <w:lang w:val="en-US"/>
        </w:rPr>
        <w:t xml:space="preserve"> </w:t>
      </w:r>
      <w:r w:rsidRPr="00E37D50">
        <w:rPr>
          <w:rFonts w:eastAsia="Arial" w:cs="Arial"/>
          <w:lang w:val="en-US"/>
        </w:rPr>
        <w:t>provided</w:t>
      </w:r>
      <w:r w:rsidRPr="00E37D50">
        <w:rPr>
          <w:rFonts w:eastAsia="Arial" w:cs="Arial"/>
          <w:spacing w:val="-4"/>
          <w:lang w:val="en-US"/>
        </w:rPr>
        <w:t xml:space="preserve"> </w:t>
      </w:r>
      <w:r w:rsidRPr="00E37D50">
        <w:rPr>
          <w:rFonts w:eastAsia="Arial" w:cs="Arial"/>
          <w:lang w:val="en-US"/>
        </w:rPr>
        <w:t>in the Australian/New Zealand Standard for sunscreens (</w:t>
      </w:r>
      <w:bookmarkStart w:id="14" w:name="_Hlk174615131"/>
      <w:r w:rsidRPr="00E37D50">
        <w:rPr>
          <w:rFonts w:eastAsia="Arial" w:cs="Arial"/>
          <w:lang w:val="en-US"/>
        </w:rPr>
        <w:t xml:space="preserve">AS/NZS 2604:2021, </w:t>
      </w:r>
      <w:r w:rsidRPr="00E37D50">
        <w:rPr>
          <w:rFonts w:eastAsia="Arial" w:cs="Arial"/>
          <w:i/>
          <w:lang w:val="en-US"/>
        </w:rPr>
        <w:t>Sunscreen</w:t>
      </w:r>
    </w:p>
    <w:p w14:paraId="30AB8EF8" w14:textId="1841E042" w:rsidR="00E37D50" w:rsidRPr="00E37D50" w:rsidRDefault="00E37D50" w:rsidP="00E37D50">
      <w:pPr>
        <w:spacing w:before="5" w:line="256" w:lineRule="auto"/>
        <w:ind w:right="183"/>
      </w:pPr>
      <w:r w:rsidRPr="00E37D50">
        <w:rPr>
          <w:i/>
        </w:rPr>
        <w:t>products</w:t>
      </w:r>
      <w:r w:rsidRPr="00E37D50">
        <w:rPr>
          <w:i/>
          <w:spacing w:val="-4"/>
        </w:rPr>
        <w:t xml:space="preserve"> </w:t>
      </w:r>
      <w:r w:rsidRPr="00E37D50">
        <w:rPr>
          <w:i/>
        </w:rPr>
        <w:t>-</w:t>
      </w:r>
      <w:r w:rsidRPr="00E37D50">
        <w:rPr>
          <w:i/>
          <w:spacing w:val="-4"/>
        </w:rPr>
        <w:t xml:space="preserve"> </w:t>
      </w:r>
      <w:r w:rsidRPr="00E37D50">
        <w:rPr>
          <w:i/>
        </w:rPr>
        <w:t>Evaluation</w:t>
      </w:r>
      <w:r w:rsidRPr="00E37D50">
        <w:rPr>
          <w:i/>
          <w:spacing w:val="-5"/>
        </w:rPr>
        <w:t xml:space="preserve"> </w:t>
      </w:r>
      <w:r w:rsidRPr="00E37D50">
        <w:rPr>
          <w:i/>
        </w:rPr>
        <w:t>and</w:t>
      </w:r>
      <w:r w:rsidRPr="00E37D50">
        <w:rPr>
          <w:i/>
          <w:spacing w:val="-5"/>
        </w:rPr>
        <w:t xml:space="preserve"> </w:t>
      </w:r>
      <w:r w:rsidRPr="00E37D50">
        <w:rPr>
          <w:i/>
        </w:rPr>
        <w:t>classification</w:t>
      </w:r>
      <w:r w:rsidRPr="00E37D50">
        <w:rPr>
          <w:i/>
          <w:spacing w:val="-5"/>
        </w:rPr>
        <w:t xml:space="preserve"> </w:t>
      </w:r>
      <w:r w:rsidRPr="00E37D50">
        <w:t>for</w:t>
      </w:r>
      <w:r w:rsidRPr="00E37D50">
        <w:rPr>
          <w:spacing w:val="-4"/>
        </w:rPr>
        <w:t xml:space="preserve"> </w:t>
      </w:r>
      <w:r w:rsidRPr="00E37D50">
        <w:t>sunscreens</w:t>
      </w:r>
      <w:bookmarkEnd w:id="14"/>
      <w:r w:rsidRPr="00E37D50">
        <w:t>)</w:t>
      </w:r>
      <w:r w:rsidRPr="00E37D50">
        <w:rPr>
          <w:spacing w:val="-4"/>
        </w:rPr>
        <w:t xml:space="preserve"> </w:t>
      </w:r>
      <w:r w:rsidRPr="00E37D50">
        <w:t>(the</w:t>
      </w:r>
      <w:r w:rsidRPr="00E37D50">
        <w:rPr>
          <w:spacing w:val="-5"/>
        </w:rPr>
        <w:t xml:space="preserve"> </w:t>
      </w:r>
      <w:r w:rsidR="00332D78" w:rsidRPr="00332D78">
        <w:rPr>
          <w:b/>
          <w:bCs/>
          <w:spacing w:val="-5"/>
        </w:rPr>
        <w:t xml:space="preserve">2021 </w:t>
      </w:r>
      <w:r w:rsidRPr="00E37D50">
        <w:rPr>
          <w:b/>
          <w:bCs/>
        </w:rPr>
        <w:t>Sunscreen</w:t>
      </w:r>
      <w:r w:rsidRPr="00E37D50">
        <w:rPr>
          <w:b/>
          <w:bCs/>
          <w:spacing w:val="-3"/>
        </w:rPr>
        <w:t xml:space="preserve"> </w:t>
      </w:r>
      <w:r w:rsidRPr="00E37D50">
        <w:rPr>
          <w:b/>
          <w:bCs/>
        </w:rPr>
        <w:t>Standard</w:t>
      </w:r>
      <w:r w:rsidRPr="00E37D50">
        <w:t>)</w:t>
      </w:r>
      <w:r w:rsidRPr="00E37D50">
        <w:rPr>
          <w:spacing w:val="-2"/>
        </w:rPr>
        <w:t xml:space="preserve"> </w:t>
      </w:r>
      <w:r w:rsidRPr="00E37D50">
        <w:t>as</w:t>
      </w:r>
      <w:r w:rsidRPr="00E37D50">
        <w:rPr>
          <w:spacing w:val="-4"/>
        </w:rPr>
        <w:t xml:space="preserve"> </w:t>
      </w:r>
      <w:r w:rsidRPr="00E37D50">
        <w:t xml:space="preserve">reproduced </w:t>
      </w:r>
      <w:r w:rsidRPr="00E37D50">
        <w:rPr>
          <w:spacing w:val="-2"/>
        </w:rPr>
        <w:t>below:</w:t>
      </w:r>
    </w:p>
    <w:p w14:paraId="40989969" w14:textId="77777777" w:rsidR="00E37D50" w:rsidRPr="00E37D50" w:rsidRDefault="00E37D50" w:rsidP="006D28D0">
      <w:pPr>
        <w:pStyle w:val="Numberbullet0"/>
      </w:pPr>
      <w:r w:rsidRPr="00052B09">
        <w:rPr>
          <w:b/>
          <w:bCs/>
        </w:rPr>
        <w:t xml:space="preserve">Primary sunscreen product: </w:t>
      </w:r>
      <w:r w:rsidRPr="00E37D50">
        <w:t>Product</w:t>
      </w:r>
      <w:r w:rsidRPr="00052B09">
        <w:rPr>
          <w:spacing w:val="-4"/>
        </w:rPr>
        <w:t xml:space="preserve"> </w:t>
      </w:r>
      <w:r w:rsidRPr="00E37D50">
        <w:t>that</w:t>
      </w:r>
      <w:r w:rsidRPr="00052B09">
        <w:rPr>
          <w:spacing w:val="-4"/>
        </w:rPr>
        <w:t xml:space="preserve"> </w:t>
      </w:r>
      <w:r w:rsidRPr="00E37D50">
        <w:t>is</w:t>
      </w:r>
      <w:r w:rsidRPr="00052B09">
        <w:rPr>
          <w:spacing w:val="-3"/>
        </w:rPr>
        <w:t xml:space="preserve"> </w:t>
      </w:r>
      <w:r w:rsidRPr="00E37D50">
        <w:t>represented</w:t>
      </w:r>
      <w:r w:rsidRPr="00052B09">
        <w:rPr>
          <w:spacing w:val="-4"/>
        </w:rPr>
        <w:t xml:space="preserve"> </w:t>
      </w:r>
      <w:r w:rsidRPr="00E37D50">
        <w:t>as being</w:t>
      </w:r>
      <w:r w:rsidRPr="00052B09">
        <w:rPr>
          <w:spacing w:val="-2"/>
        </w:rPr>
        <w:t xml:space="preserve"> </w:t>
      </w:r>
      <w:r w:rsidRPr="00E37D50">
        <w:t>primarily</w:t>
      </w:r>
      <w:r w:rsidRPr="00052B09">
        <w:rPr>
          <w:spacing w:val="-3"/>
        </w:rPr>
        <w:t xml:space="preserve"> </w:t>
      </w:r>
      <w:r w:rsidRPr="00E37D50">
        <w:t>to</w:t>
      </w:r>
      <w:r w:rsidRPr="00052B09">
        <w:rPr>
          <w:spacing w:val="-4"/>
        </w:rPr>
        <w:t xml:space="preserve"> </w:t>
      </w:r>
      <w:r w:rsidRPr="00E37D50">
        <w:t>protect</w:t>
      </w:r>
      <w:r w:rsidRPr="00052B09">
        <w:rPr>
          <w:spacing w:val="-4"/>
        </w:rPr>
        <w:t xml:space="preserve"> </w:t>
      </w:r>
      <w:r w:rsidRPr="00E37D50">
        <w:t>the skin from UV radiation.</w:t>
      </w:r>
    </w:p>
    <w:p w14:paraId="105426ED" w14:textId="092F5730" w:rsidR="00E37D50" w:rsidRPr="00245C80" w:rsidRDefault="00E37D50" w:rsidP="006D28D0">
      <w:pPr>
        <w:pStyle w:val="Numberbullet0"/>
      </w:pPr>
      <w:r w:rsidRPr="00052B09">
        <w:rPr>
          <w:b/>
          <w:bCs/>
        </w:rPr>
        <w:t xml:space="preserve">Secondary </w:t>
      </w:r>
      <w:r w:rsidRPr="00300500">
        <w:rPr>
          <w:b/>
          <w:bCs/>
        </w:rPr>
        <w:t>sunscreen</w:t>
      </w:r>
      <w:r w:rsidRPr="00052B09">
        <w:rPr>
          <w:b/>
          <w:bCs/>
        </w:rPr>
        <w:t xml:space="preserve"> product:</w:t>
      </w:r>
      <w:r w:rsidRPr="00E37D50">
        <w:t xml:space="preserve"> Product</w:t>
      </w:r>
      <w:r w:rsidRPr="00052B09">
        <w:rPr>
          <w:spacing w:val="-2"/>
        </w:rPr>
        <w:t xml:space="preserve"> </w:t>
      </w:r>
      <w:r w:rsidRPr="00E37D50">
        <w:t>that</w:t>
      </w:r>
      <w:r w:rsidRPr="00052B09">
        <w:rPr>
          <w:spacing w:val="-2"/>
        </w:rPr>
        <w:t xml:space="preserve"> </w:t>
      </w:r>
      <w:r w:rsidRPr="00E37D50">
        <w:t>is</w:t>
      </w:r>
      <w:r w:rsidRPr="00052B09">
        <w:rPr>
          <w:spacing w:val="-1"/>
        </w:rPr>
        <w:t xml:space="preserve"> </w:t>
      </w:r>
      <w:r w:rsidRPr="00E37D50">
        <w:t>represented</w:t>
      </w:r>
      <w:r w:rsidRPr="00052B09">
        <w:rPr>
          <w:spacing w:val="-2"/>
        </w:rPr>
        <w:t xml:space="preserve"> </w:t>
      </w:r>
      <w:r w:rsidRPr="00E37D50">
        <w:t>as</w:t>
      </w:r>
      <w:r w:rsidRPr="00052B09">
        <w:rPr>
          <w:spacing w:val="-1"/>
        </w:rPr>
        <w:t xml:space="preserve"> </w:t>
      </w:r>
      <w:r w:rsidRPr="00E37D50">
        <w:t>having a</w:t>
      </w:r>
      <w:r w:rsidRPr="00052B09">
        <w:rPr>
          <w:spacing w:val="-2"/>
        </w:rPr>
        <w:t xml:space="preserve"> </w:t>
      </w:r>
      <w:r w:rsidRPr="00E37D50">
        <w:t>primary</w:t>
      </w:r>
      <w:r w:rsidRPr="00052B09">
        <w:rPr>
          <w:spacing w:val="-1"/>
        </w:rPr>
        <w:t xml:space="preserve"> </w:t>
      </w:r>
      <w:r w:rsidRPr="00E37D50">
        <w:t>function other</w:t>
      </w:r>
      <w:r w:rsidRPr="00052B09">
        <w:rPr>
          <w:spacing w:val="-3"/>
        </w:rPr>
        <w:t xml:space="preserve"> </w:t>
      </w:r>
      <w:r w:rsidRPr="00E37D50">
        <w:t>than</w:t>
      </w:r>
      <w:r w:rsidRPr="00052B09">
        <w:rPr>
          <w:spacing w:val="-4"/>
        </w:rPr>
        <w:t xml:space="preserve"> </w:t>
      </w:r>
      <w:r w:rsidRPr="00E37D50">
        <w:t>sun</w:t>
      </w:r>
      <w:r w:rsidRPr="00052B09">
        <w:rPr>
          <w:spacing w:val="-4"/>
        </w:rPr>
        <w:t xml:space="preserve"> </w:t>
      </w:r>
      <w:r w:rsidRPr="00E37D50">
        <w:t>protection</w:t>
      </w:r>
      <w:r w:rsidRPr="00052B09">
        <w:rPr>
          <w:spacing w:val="-4"/>
        </w:rPr>
        <w:t xml:space="preserve"> </w:t>
      </w:r>
      <w:r w:rsidRPr="00E37D50">
        <w:t>whilst</w:t>
      </w:r>
      <w:r w:rsidRPr="00052B09">
        <w:rPr>
          <w:spacing w:val="-2"/>
        </w:rPr>
        <w:t xml:space="preserve"> </w:t>
      </w:r>
      <w:r w:rsidRPr="00E37D50">
        <w:t>providing</w:t>
      </w:r>
      <w:r w:rsidRPr="00052B09">
        <w:rPr>
          <w:spacing w:val="-4"/>
        </w:rPr>
        <w:t xml:space="preserve"> </w:t>
      </w:r>
      <w:r w:rsidRPr="00E37D50">
        <w:t>some</w:t>
      </w:r>
      <w:r w:rsidRPr="00052B09">
        <w:rPr>
          <w:spacing w:val="-4"/>
        </w:rPr>
        <w:t xml:space="preserve"> </w:t>
      </w:r>
      <w:r w:rsidRPr="00E37D50">
        <w:t>protection</w:t>
      </w:r>
      <w:r w:rsidRPr="00052B09">
        <w:rPr>
          <w:spacing w:val="-2"/>
        </w:rPr>
        <w:t xml:space="preserve"> </w:t>
      </w:r>
      <w:r w:rsidRPr="00E37D50">
        <w:t>of</w:t>
      </w:r>
      <w:r w:rsidRPr="00052B09">
        <w:rPr>
          <w:spacing w:val="-4"/>
        </w:rPr>
        <w:t xml:space="preserve"> </w:t>
      </w:r>
      <w:r w:rsidRPr="00E37D50">
        <w:t>the</w:t>
      </w:r>
      <w:r w:rsidRPr="00052B09">
        <w:rPr>
          <w:spacing w:val="-4"/>
        </w:rPr>
        <w:t xml:space="preserve"> </w:t>
      </w:r>
      <w:r w:rsidRPr="00E37D50">
        <w:t>skin</w:t>
      </w:r>
      <w:r w:rsidRPr="00052B09">
        <w:rPr>
          <w:spacing w:val="-2"/>
        </w:rPr>
        <w:t xml:space="preserve"> </w:t>
      </w:r>
      <w:r w:rsidRPr="00E37D50">
        <w:t>from</w:t>
      </w:r>
      <w:r w:rsidRPr="00052B09">
        <w:rPr>
          <w:spacing w:val="-4"/>
        </w:rPr>
        <w:t xml:space="preserve"> </w:t>
      </w:r>
      <w:r w:rsidRPr="00E37D50">
        <w:t>UV</w:t>
      </w:r>
      <w:r w:rsidRPr="00052B09">
        <w:rPr>
          <w:spacing w:val="-5"/>
        </w:rPr>
        <w:t xml:space="preserve"> </w:t>
      </w:r>
      <w:r w:rsidRPr="00E37D50">
        <w:t>radiation</w:t>
      </w:r>
      <w:r w:rsidRPr="00052B09">
        <w:rPr>
          <w:spacing w:val="-4"/>
        </w:rPr>
        <w:t xml:space="preserve"> </w:t>
      </w:r>
      <w:r w:rsidRPr="00245C80">
        <w:t>lips</w:t>
      </w:r>
    </w:p>
    <w:p w14:paraId="0765FF82" w14:textId="77777777" w:rsidR="00E37D50" w:rsidRPr="00E37D50" w:rsidRDefault="00E37D50" w:rsidP="00F47305">
      <w:pPr>
        <w:pStyle w:val="Heading4"/>
      </w:pPr>
      <w:bookmarkStart w:id="15" w:name="_Therapeutic_sunscreens"/>
      <w:bookmarkStart w:id="16" w:name="_Toc184730544"/>
      <w:bookmarkStart w:id="17" w:name="Therapeuticsunscreens"/>
      <w:bookmarkEnd w:id="15"/>
      <w:r w:rsidRPr="00E37D50">
        <w:t>Therapeutic sunscreens</w:t>
      </w:r>
      <w:bookmarkEnd w:id="16"/>
    </w:p>
    <w:bookmarkEnd w:id="17"/>
    <w:p w14:paraId="6F07D48C" w14:textId="77777777" w:rsidR="00E37D50" w:rsidRPr="00E37D50" w:rsidRDefault="00E37D50" w:rsidP="00E37D50">
      <w:pPr>
        <w:spacing w:before="120" w:line="256" w:lineRule="auto"/>
        <w:ind w:right="161"/>
      </w:pPr>
      <w:r w:rsidRPr="00E37D50">
        <w:t>Under</w:t>
      </w:r>
      <w:r w:rsidRPr="00E37D50">
        <w:rPr>
          <w:spacing w:val="-3"/>
        </w:rPr>
        <w:t xml:space="preserve"> </w:t>
      </w:r>
      <w:r w:rsidRPr="00E37D50">
        <w:t>the</w:t>
      </w:r>
      <w:r w:rsidRPr="00E37D50">
        <w:rPr>
          <w:spacing w:val="-4"/>
        </w:rPr>
        <w:t xml:space="preserve"> </w:t>
      </w:r>
      <w:hyperlink r:id="rId11">
        <w:r w:rsidRPr="00E37D50">
          <w:rPr>
            <w:i/>
            <w:color w:val="0000FF"/>
            <w:u w:val="single" w:color="0000FF"/>
          </w:rPr>
          <w:t>Therapeutic</w:t>
        </w:r>
        <w:r w:rsidRPr="00E37D50">
          <w:rPr>
            <w:i/>
            <w:color w:val="0000FF"/>
            <w:spacing w:val="-3"/>
            <w:u w:val="single" w:color="0000FF"/>
          </w:rPr>
          <w:t xml:space="preserve"> </w:t>
        </w:r>
        <w:r w:rsidRPr="00E37D50">
          <w:rPr>
            <w:i/>
            <w:color w:val="0000FF"/>
            <w:u w:val="single" w:color="0000FF"/>
          </w:rPr>
          <w:t>Goods</w:t>
        </w:r>
        <w:r w:rsidRPr="00E37D50">
          <w:rPr>
            <w:i/>
            <w:color w:val="0000FF"/>
            <w:spacing w:val="-3"/>
            <w:u w:val="single" w:color="0000FF"/>
          </w:rPr>
          <w:t xml:space="preserve"> </w:t>
        </w:r>
        <w:r w:rsidRPr="00E37D50">
          <w:rPr>
            <w:i/>
            <w:color w:val="0000FF"/>
            <w:u w:val="single" w:color="0000FF"/>
          </w:rPr>
          <w:t>Act</w:t>
        </w:r>
        <w:r w:rsidRPr="00E37D50">
          <w:rPr>
            <w:i/>
            <w:color w:val="0000FF"/>
            <w:spacing w:val="-4"/>
            <w:u w:val="single" w:color="0000FF"/>
          </w:rPr>
          <w:t xml:space="preserve"> </w:t>
        </w:r>
        <w:r w:rsidRPr="00E37D50">
          <w:rPr>
            <w:i/>
            <w:color w:val="0000FF"/>
            <w:u w:val="single" w:color="0000FF"/>
          </w:rPr>
          <w:t>1989</w:t>
        </w:r>
      </w:hyperlink>
      <w:r w:rsidRPr="00E37D50">
        <w:rPr>
          <w:i/>
          <w:color w:val="0000FF"/>
          <w:spacing w:val="-3"/>
        </w:rPr>
        <w:t xml:space="preserve"> </w:t>
      </w:r>
      <w:r w:rsidRPr="00E37D50">
        <w:t>(the</w:t>
      </w:r>
      <w:r w:rsidRPr="00E37D50">
        <w:rPr>
          <w:spacing w:val="-2"/>
        </w:rPr>
        <w:t xml:space="preserve"> </w:t>
      </w:r>
      <w:r w:rsidRPr="00E37D50">
        <w:t>Act)</w:t>
      </w:r>
      <w:r w:rsidRPr="00E37D50">
        <w:rPr>
          <w:spacing w:val="-3"/>
        </w:rPr>
        <w:t xml:space="preserve"> </w:t>
      </w:r>
      <w:r w:rsidRPr="00E37D50">
        <w:t>and</w:t>
      </w:r>
      <w:r w:rsidRPr="00E37D50">
        <w:rPr>
          <w:spacing w:val="-2"/>
        </w:rPr>
        <w:t xml:space="preserve"> </w:t>
      </w:r>
      <w:r w:rsidRPr="00E37D50">
        <w:t>supporting</w:t>
      </w:r>
      <w:r w:rsidRPr="00E37D50">
        <w:rPr>
          <w:spacing w:val="-4"/>
        </w:rPr>
        <w:t xml:space="preserve"> </w:t>
      </w:r>
      <w:r w:rsidRPr="00E37D50">
        <w:t>legislation,</w:t>
      </w:r>
      <w:r w:rsidRPr="00E37D50">
        <w:rPr>
          <w:spacing w:val="-2"/>
        </w:rPr>
        <w:t xml:space="preserve"> </w:t>
      </w:r>
      <w:r w:rsidRPr="00E37D50">
        <w:t>sunscreen</w:t>
      </w:r>
      <w:r w:rsidRPr="00E37D50">
        <w:rPr>
          <w:spacing w:val="-4"/>
        </w:rPr>
        <w:t xml:space="preserve"> </w:t>
      </w:r>
      <w:r w:rsidRPr="00E37D50">
        <w:t>products</w:t>
      </w:r>
      <w:r w:rsidRPr="00E37D50">
        <w:rPr>
          <w:spacing w:val="-3"/>
        </w:rPr>
        <w:t xml:space="preserve"> </w:t>
      </w:r>
      <w:r w:rsidRPr="00E37D50">
        <w:t>that are regulated as therapeutic goods (also known as “</w:t>
      </w:r>
      <w:r w:rsidRPr="00E37D50">
        <w:rPr>
          <w:b/>
        </w:rPr>
        <w:t>therapeutic sunscreens</w:t>
      </w:r>
      <w:r w:rsidRPr="00E37D50">
        <w:t>”) by the TGA include:</w:t>
      </w:r>
    </w:p>
    <w:p w14:paraId="1A71F327" w14:textId="77777777" w:rsidR="00E37D50" w:rsidRPr="006D28D0" w:rsidRDefault="00E37D50" w:rsidP="006D28D0">
      <w:pPr>
        <w:pStyle w:val="ListBullet"/>
      </w:pPr>
      <w:r w:rsidRPr="006D28D0">
        <w:t>Primary sunscreens</w:t>
      </w:r>
    </w:p>
    <w:p w14:paraId="2089CF0D" w14:textId="77777777" w:rsidR="00E37D50" w:rsidRPr="006D28D0" w:rsidRDefault="00E37D50" w:rsidP="006D28D0">
      <w:pPr>
        <w:pStyle w:val="ListBullet"/>
      </w:pPr>
      <w:r w:rsidRPr="006D28D0">
        <w:t>Some secondary sunscreens: Products with a primary purpose other than sun protection, that also contain sun screening agents but are not excluded (see below) from therapeutic goods legislation e.g. sunbathing and moisturising skin care products with an SPF over 15.</w:t>
      </w:r>
    </w:p>
    <w:p w14:paraId="61D8DBD2" w14:textId="35DA0A9B" w:rsidR="00E37D50" w:rsidRPr="00E37D50" w:rsidRDefault="00E37D50" w:rsidP="00E37D50">
      <w:pPr>
        <w:spacing w:before="120" w:after="180" w:line="240" w:lineRule="atLeast"/>
        <w:rPr>
          <w:rFonts w:eastAsia="Cambria" w:cs="Times New Roman"/>
        </w:rPr>
      </w:pPr>
      <w:r w:rsidRPr="00E37D50">
        <w:rPr>
          <w:rFonts w:eastAsia="Cambria" w:cs="Times New Roman"/>
        </w:rPr>
        <w:t xml:space="preserve">Many secondary sunscreen products are not considered to be therapeutic goods and are </w:t>
      </w:r>
      <w:r w:rsidR="008146E1">
        <w:rPr>
          <w:rFonts w:eastAsia="Cambria" w:cs="Times New Roman"/>
        </w:rPr>
        <w:t>“</w:t>
      </w:r>
      <w:r w:rsidRPr="00E37D50">
        <w:rPr>
          <w:rFonts w:eastAsia="Cambria" w:cs="Times New Roman"/>
        </w:rPr>
        <w:t>excluded</w:t>
      </w:r>
      <w:r w:rsidR="008146E1">
        <w:rPr>
          <w:rFonts w:eastAsia="Cambria" w:cs="Times New Roman"/>
        </w:rPr>
        <w:t>”</w:t>
      </w:r>
      <w:r w:rsidRPr="00E37D50">
        <w:rPr>
          <w:rFonts w:eastAsia="Cambria" w:cs="Times New Roman"/>
        </w:rPr>
        <w:t xml:space="preserve"> from therapeutic goods legislation. These product types are outlined under the </w:t>
      </w:r>
      <w:hyperlink r:id="rId12">
        <w:r w:rsidRPr="00C62DE5">
          <w:rPr>
            <w:rFonts w:eastAsia="Cambria" w:cs="Times New Roman"/>
            <w:i/>
            <w:iCs/>
            <w:color w:val="0000FF"/>
            <w:u w:val="single" w:color="0000FF"/>
          </w:rPr>
          <w:t>Therapeutic Goods</w:t>
        </w:r>
      </w:hyperlink>
      <w:r w:rsidRPr="00C62DE5">
        <w:rPr>
          <w:rFonts w:eastAsia="Cambria" w:cs="Times New Roman"/>
          <w:i/>
          <w:iCs/>
          <w:color w:val="0000FF"/>
        </w:rPr>
        <w:t xml:space="preserve"> </w:t>
      </w:r>
      <w:hyperlink r:id="rId13">
        <w:r w:rsidRPr="00C62DE5">
          <w:rPr>
            <w:rFonts w:eastAsia="Cambria" w:cs="Times New Roman"/>
            <w:i/>
            <w:iCs/>
            <w:color w:val="0000FF"/>
            <w:u w:val="single" w:color="0000FF"/>
          </w:rPr>
          <w:t>(Excluded Goods) Determination 2018</w:t>
        </w:r>
      </w:hyperlink>
      <w:r w:rsidRPr="00E37D50">
        <w:rPr>
          <w:rFonts w:eastAsia="Cambria" w:cs="Times New Roman"/>
        </w:rPr>
        <w:t xml:space="preserve"> </w:t>
      </w:r>
      <w:r w:rsidR="00332D78">
        <w:rPr>
          <w:rFonts w:eastAsia="Cambria" w:cs="Times New Roman"/>
        </w:rPr>
        <w:t xml:space="preserve">(Excluded Goods Determination). </w:t>
      </w:r>
      <w:r w:rsidRPr="00E37D50">
        <w:rPr>
          <w:rFonts w:eastAsia="Cambria" w:cs="Times New Roman"/>
        </w:rPr>
        <w:t>These include moisturisers with an SPF less than 15 and tinted</w:t>
      </w:r>
      <w:r w:rsidRPr="00E37D50">
        <w:rPr>
          <w:rFonts w:eastAsia="Cambria" w:cs="Times New Roman"/>
          <w:spacing w:val="-4"/>
        </w:rPr>
        <w:t xml:space="preserve"> </w:t>
      </w:r>
      <w:r w:rsidRPr="00E37D50">
        <w:rPr>
          <w:rFonts w:eastAsia="Cambria" w:cs="Times New Roman"/>
        </w:rPr>
        <w:t>foundations</w:t>
      </w:r>
      <w:r w:rsidRPr="00E37D50">
        <w:rPr>
          <w:rFonts w:eastAsia="Cambria" w:cs="Times New Roman"/>
          <w:spacing w:val="-3"/>
        </w:rPr>
        <w:t xml:space="preserve"> </w:t>
      </w:r>
      <w:r w:rsidRPr="00E37D50">
        <w:rPr>
          <w:rFonts w:eastAsia="Cambria" w:cs="Times New Roman"/>
        </w:rPr>
        <w:t>with</w:t>
      </w:r>
      <w:r w:rsidRPr="00E37D50">
        <w:rPr>
          <w:rFonts w:eastAsia="Cambria" w:cs="Times New Roman"/>
          <w:spacing w:val="-2"/>
        </w:rPr>
        <w:t xml:space="preserve"> </w:t>
      </w:r>
      <w:r w:rsidRPr="00E37D50">
        <w:rPr>
          <w:rFonts w:eastAsia="Cambria" w:cs="Times New Roman"/>
        </w:rPr>
        <w:t>an</w:t>
      </w:r>
      <w:r w:rsidRPr="00E37D50">
        <w:rPr>
          <w:rFonts w:eastAsia="Cambria" w:cs="Times New Roman"/>
          <w:spacing w:val="-2"/>
        </w:rPr>
        <w:t xml:space="preserve"> </w:t>
      </w:r>
      <w:r w:rsidRPr="00E37D50">
        <w:rPr>
          <w:rFonts w:eastAsia="Cambria" w:cs="Times New Roman"/>
        </w:rPr>
        <w:t>SPF</w:t>
      </w:r>
      <w:r w:rsidRPr="00E37D50">
        <w:rPr>
          <w:rFonts w:eastAsia="Cambria" w:cs="Times New Roman"/>
          <w:spacing w:val="-1"/>
        </w:rPr>
        <w:t xml:space="preserve"> </w:t>
      </w:r>
      <w:r w:rsidRPr="00E37D50">
        <w:rPr>
          <w:rFonts w:eastAsia="Cambria" w:cs="Times New Roman"/>
        </w:rPr>
        <w:t>up</w:t>
      </w:r>
      <w:r w:rsidRPr="00E37D50">
        <w:rPr>
          <w:rFonts w:eastAsia="Cambria" w:cs="Times New Roman"/>
          <w:spacing w:val="-4"/>
        </w:rPr>
        <w:t xml:space="preserve"> </w:t>
      </w:r>
      <w:r w:rsidRPr="00E37D50">
        <w:rPr>
          <w:rFonts w:eastAsia="Cambria" w:cs="Times New Roman"/>
        </w:rPr>
        <w:t>to</w:t>
      </w:r>
      <w:r w:rsidRPr="00E37D50">
        <w:rPr>
          <w:rFonts w:eastAsia="Cambria" w:cs="Times New Roman"/>
          <w:spacing w:val="-4"/>
        </w:rPr>
        <w:t xml:space="preserve"> </w:t>
      </w:r>
      <w:r w:rsidRPr="00E37D50">
        <w:rPr>
          <w:rFonts w:eastAsia="Cambria" w:cs="Times New Roman"/>
        </w:rPr>
        <w:t>50</w:t>
      </w:r>
      <w:r w:rsidR="009932EC">
        <w:rPr>
          <w:rFonts w:eastAsia="Cambria" w:cs="Times New Roman"/>
        </w:rPr>
        <w:t>+</w:t>
      </w:r>
      <w:r w:rsidRPr="00E37D50">
        <w:rPr>
          <w:rFonts w:eastAsia="Cambria" w:cs="Times New Roman"/>
        </w:rPr>
        <w:t>.</w:t>
      </w:r>
      <w:r w:rsidRPr="00E37D50">
        <w:rPr>
          <w:rFonts w:eastAsia="Cambria" w:cs="Times New Roman"/>
          <w:spacing w:val="-4"/>
        </w:rPr>
        <w:t xml:space="preserve"> </w:t>
      </w:r>
      <w:r w:rsidRPr="00E37D50">
        <w:rPr>
          <w:rFonts w:eastAsia="Cambria" w:cs="Times New Roman"/>
        </w:rPr>
        <w:t>These</w:t>
      </w:r>
      <w:r w:rsidRPr="00E37D50">
        <w:rPr>
          <w:rFonts w:eastAsia="Cambria" w:cs="Times New Roman"/>
          <w:spacing w:val="-2"/>
        </w:rPr>
        <w:t xml:space="preserve"> </w:t>
      </w:r>
      <w:r w:rsidRPr="00E37D50">
        <w:rPr>
          <w:rFonts w:eastAsia="Cambria" w:cs="Times New Roman"/>
        </w:rPr>
        <w:t>products</w:t>
      </w:r>
      <w:r w:rsidRPr="00E37D50">
        <w:rPr>
          <w:rFonts w:eastAsia="Cambria" w:cs="Times New Roman"/>
          <w:spacing w:val="-3"/>
        </w:rPr>
        <w:t xml:space="preserve"> </w:t>
      </w:r>
      <w:r w:rsidRPr="00E37D50">
        <w:rPr>
          <w:rFonts w:eastAsia="Cambria" w:cs="Times New Roman"/>
        </w:rPr>
        <w:t>must</w:t>
      </w:r>
      <w:r w:rsidRPr="00E37D50">
        <w:rPr>
          <w:rFonts w:eastAsia="Cambria" w:cs="Times New Roman"/>
          <w:spacing w:val="-4"/>
        </w:rPr>
        <w:t xml:space="preserve"> </w:t>
      </w:r>
      <w:r w:rsidRPr="00E37D50">
        <w:rPr>
          <w:rFonts w:eastAsia="Cambria" w:cs="Times New Roman"/>
        </w:rPr>
        <w:t>also</w:t>
      </w:r>
      <w:r w:rsidRPr="00E37D50">
        <w:rPr>
          <w:rFonts w:eastAsia="Cambria" w:cs="Times New Roman"/>
          <w:spacing w:val="-4"/>
        </w:rPr>
        <w:t xml:space="preserve"> </w:t>
      </w:r>
      <w:r w:rsidRPr="00E37D50">
        <w:rPr>
          <w:rFonts w:eastAsia="Cambria" w:cs="Times New Roman"/>
        </w:rPr>
        <w:t>meet</w:t>
      </w:r>
      <w:r w:rsidRPr="00E37D50">
        <w:rPr>
          <w:rFonts w:eastAsia="Cambria" w:cs="Times New Roman"/>
          <w:spacing w:val="-4"/>
        </w:rPr>
        <w:t xml:space="preserve"> </w:t>
      </w:r>
      <w:r w:rsidRPr="00E37D50">
        <w:rPr>
          <w:rFonts w:eastAsia="Cambria" w:cs="Times New Roman"/>
        </w:rPr>
        <w:t>certain</w:t>
      </w:r>
      <w:r w:rsidRPr="00E37D50">
        <w:rPr>
          <w:rFonts w:eastAsia="Cambria" w:cs="Times New Roman"/>
          <w:spacing w:val="-2"/>
        </w:rPr>
        <w:t xml:space="preserve"> </w:t>
      </w:r>
      <w:r w:rsidRPr="00E37D50">
        <w:rPr>
          <w:rFonts w:eastAsia="Cambria" w:cs="Times New Roman"/>
        </w:rPr>
        <w:t>criteria</w:t>
      </w:r>
      <w:r w:rsidRPr="00E37D50">
        <w:rPr>
          <w:rFonts w:eastAsia="Cambria" w:cs="Times New Roman"/>
          <w:spacing w:val="-4"/>
        </w:rPr>
        <w:t xml:space="preserve"> </w:t>
      </w:r>
      <w:r w:rsidRPr="00E37D50">
        <w:rPr>
          <w:rFonts w:eastAsia="Cambria" w:cs="Times New Roman"/>
        </w:rPr>
        <w:t>(such</w:t>
      </w:r>
      <w:r w:rsidRPr="00E37D50">
        <w:rPr>
          <w:rFonts w:eastAsia="Cambria" w:cs="Times New Roman"/>
          <w:spacing w:val="-2"/>
        </w:rPr>
        <w:t xml:space="preserve"> </w:t>
      </w:r>
      <w:r w:rsidRPr="00E37D50">
        <w:rPr>
          <w:rFonts w:eastAsia="Cambria" w:cs="Times New Roman"/>
        </w:rPr>
        <w:t>as</w:t>
      </w:r>
      <w:r w:rsidRPr="00E37D50">
        <w:rPr>
          <w:rFonts w:eastAsia="Cambria" w:cs="Times New Roman"/>
          <w:spacing w:val="-3"/>
        </w:rPr>
        <w:t xml:space="preserve"> </w:t>
      </w:r>
      <w:r w:rsidRPr="00E37D50">
        <w:rPr>
          <w:rFonts w:eastAsia="Cambria" w:cs="Times New Roman"/>
        </w:rPr>
        <w:t xml:space="preserve">not containing ingredients included in the </w:t>
      </w:r>
      <w:hyperlink r:id="rId14">
        <w:r w:rsidRPr="00E37D50">
          <w:rPr>
            <w:rFonts w:eastAsia="Cambria" w:cs="Times New Roman"/>
            <w:color w:val="0000FF"/>
            <w:u w:val="single" w:color="0000FF"/>
          </w:rPr>
          <w:t>Poisons Standard</w:t>
        </w:r>
      </w:hyperlink>
      <w:r w:rsidRPr="00E37D50">
        <w:rPr>
          <w:rFonts w:eastAsia="Cambria" w:cs="Times New Roman"/>
          <w:color w:val="0000FF"/>
        </w:rPr>
        <w:t xml:space="preserve"> </w:t>
      </w:r>
      <w:r w:rsidRPr="00E37D50">
        <w:rPr>
          <w:rFonts w:eastAsia="Cambria" w:cs="Times New Roman"/>
        </w:rPr>
        <w:t xml:space="preserve">and compliance with the </w:t>
      </w:r>
      <w:r w:rsidR="00350A7B">
        <w:rPr>
          <w:rFonts w:eastAsia="Cambria" w:cs="Times New Roman"/>
        </w:rPr>
        <w:t xml:space="preserve">2021 </w:t>
      </w:r>
      <w:r w:rsidRPr="00E37D50">
        <w:rPr>
          <w:rFonts w:eastAsia="Cambria" w:cs="Times New Roman"/>
        </w:rPr>
        <w:t>Sunscreen Standard). Ingredients in sunscreen products that are not considered to be therapeutic goods, are regulated under the Australian Industrial Chemicals Introduction Scheme (</w:t>
      </w:r>
      <w:hyperlink r:id="rId15">
        <w:r w:rsidRPr="00E37D50">
          <w:rPr>
            <w:rFonts w:eastAsia="Cambria" w:cs="Times New Roman"/>
            <w:color w:val="0000FF"/>
            <w:u w:val="single" w:color="0000FF"/>
          </w:rPr>
          <w:t>AICIS</w:t>
        </w:r>
      </w:hyperlink>
      <w:r w:rsidRPr="00E37D50">
        <w:rPr>
          <w:rFonts w:eastAsia="Cambria" w:cs="Times New Roman"/>
        </w:rPr>
        <w:t>).</w:t>
      </w:r>
    </w:p>
    <w:p w14:paraId="5775E6AC" w14:textId="6928E4DE" w:rsidR="00E37D50" w:rsidRDefault="00E37D50" w:rsidP="00E37D50">
      <w:pPr>
        <w:spacing w:before="120" w:after="180" w:line="240" w:lineRule="atLeast"/>
        <w:rPr>
          <w:rFonts w:eastAsia="Cambria" w:cs="Times New Roman"/>
        </w:rPr>
      </w:pPr>
      <w:r w:rsidRPr="00E37D50">
        <w:rPr>
          <w:rFonts w:eastAsia="Cambria" w:cs="Times New Roman"/>
        </w:rPr>
        <w:t xml:space="preserve">All therapeutic sunscreens must be included in the Australian Register of Therapeutic Goods (ARTG) to be supplied, imported, or exported in Australia. Most sunscreens are eligible for </w:t>
      </w:r>
      <w:r w:rsidRPr="00E37D50">
        <w:rPr>
          <w:rFonts w:eastAsia="Cambria" w:cs="Times New Roman"/>
          <w:b/>
          <w:bCs/>
        </w:rPr>
        <w:t>listing</w:t>
      </w:r>
      <w:r w:rsidRPr="00E37D50">
        <w:rPr>
          <w:rFonts w:eastAsia="Cambria" w:cs="Times New Roman"/>
        </w:rPr>
        <w:t xml:space="preserve"> in the ARTG, in accordance with the criteria of Schedule 4, item 7 of the </w:t>
      </w:r>
      <w:r w:rsidRPr="00E37D50">
        <w:rPr>
          <w:rFonts w:eastAsia="Cambria" w:cs="Times New Roman"/>
          <w:spacing w:val="-3"/>
        </w:rPr>
        <w:t xml:space="preserve"> </w:t>
      </w:r>
      <w:hyperlink r:id="rId16">
        <w:r w:rsidRPr="00294EAE">
          <w:rPr>
            <w:rFonts w:eastAsia="Cambria" w:cs="Times New Roman"/>
            <w:color w:val="0000FF"/>
            <w:u w:val="single" w:color="0000FF"/>
          </w:rPr>
          <w:t>Therapeutic</w:t>
        </w:r>
        <w:r w:rsidRPr="00294EAE">
          <w:rPr>
            <w:rFonts w:eastAsia="Cambria" w:cs="Times New Roman"/>
            <w:color w:val="0000FF"/>
            <w:spacing w:val="-2"/>
            <w:u w:val="single" w:color="0000FF"/>
          </w:rPr>
          <w:t xml:space="preserve"> </w:t>
        </w:r>
        <w:r w:rsidRPr="00294EAE">
          <w:rPr>
            <w:rFonts w:eastAsia="Cambria" w:cs="Times New Roman"/>
            <w:color w:val="0000FF"/>
            <w:u w:val="single" w:color="0000FF"/>
          </w:rPr>
          <w:t>Goods</w:t>
        </w:r>
        <w:r w:rsidRPr="00294EAE">
          <w:rPr>
            <w:rFonts w:eastAsia="Cambria" w:cs="Times New Roman"/>
            <w:color w:val="0000FF"/>
            <w:spacing w:val="-2"/>
            <w:u w:val="single" w:color="0000FF"/>
          </w:rPr>
          <w:t xml:space="preserve"> </w:t>
        </w:r>
        <w:r w:rsidRPr="00294EAE">
          <w:rPr>
            <w:rFonts w:eastAsia="Cambria" w:cs="Times New Roman"/>
            <w:color w:val="0000FF"/>
            <w:u w:val="single" w:color="0000FF"/>
          </w:rPr>
          <w:t>Regulations</w:t>
        </w:r>
      </w:hyperlink>
      <w:r w:rsidRPr="00294EAE">
        <w:rPr>
          <w:rFonts w:eastAsia="Cambria" w:cs="Times New Roman"/>
          <w:color w:val="0000FF"/>
        </w:rPr>
        <w:t xml:space="preserve"> </w:t>
      </w:r>
      <w:hyperlink r:id="rId17">
        <w:r w:rsidRPr="00294EAE">
          <w:rPr>
            <w:rFonts w:eastAsia="Cambria" w:cs="Times New Roman"/>
            <w:color w:val="0000FF"/>
            <w:u w:val="single" w:color="0000FF"/>
          </w:rPr>
          <w:t>1990</w:t>
        </w:r>
      </w:hyperlink>
      <w:r w:rsidR="00332D78" w:rsidRPr="00BD4AA7">
        <w:rPr>
          <w:rFonts w:eastAsia="Cambria" w:cs="Times New Roman"/>
        </w:rPr>
        <w:t xml:space="preserve"> </w:t>
      </w:r>
      <w:r w:rsidR="00332D78">
        <w:rPr>
          <w:rFonts w:eastAsia="Cambria" w:cs="Times New Roman"/>
        </w:rPr>
        <w:t xml:space="preserve">(the Regulations), </w:t>
      </w:r>
      <w:r w:rsidRPr="00E37D50">
        <w:rPr>
          <w:rFonts w:eastAsia="Cambria" w:cs="Times New Roman"/>
        </w:rPr>
        <w:t>excerpt below:</w:t>
      </w:r>
    </w:p>
    <w:tbl>
      <w:tblPr>
        <w:tblW w:w="9127" w:type="dxa"/>
        <w:tblInd w:w="117" w:type="dxa"/>
        <w:tblLayout w:type="fixed"/>
        <w:tblCellMar>
          <w:left w:w="0" w:type="dxa"/>
          <w:right w:w="0" w:type="dxa"/>
        </w:tblCellMar>
        <w:tblLook w:val="01E0" w:firstRow="1" w:lastRow="1" w:firstColumn="1" w:lastColumn="1" w:noHBand="0" w:noVBand="0"/>
      </w:tblPr>
      <w:tblGrid>
        <w:gridCol w:w="592"/>
        <w:gridCol w:w="783"/>
        <w:gridCol w:w="7752"/>
      </w:tblGrid>
      <w:tr w:rsidR="00E37D50" w:rsidRPr="00E37D50" w14:paraId="39CEF3A2" w14:textId="77777777" w:rsidTr="004813EC">
        <w:trPr>
          <w:trHeight w:val="231"/>
        </w:trPr>
        <w:tc>
          <w:tcPr>
            <w:tcW w:w="1375" w:type="dxa"/>
            <w:gridSpan w:val="2"/>
            <w:tcBorders>
              <w:top w:val="single" w:sz="12" w:space="0" w:color="000000"/>
              <w:bottom w:val="single" w:sz="12" w:space="0" w:color="000000"/>
            </w:tcBorders>
          </w:tcPr>
          <w:p w14:paraId="319E9840" w14:textId="77777777" w:rsidR="00E37D50" w:rsidRPr="00350A7B" w:rsidRDefault="00E37D50" w:rsidP="004813EC">
            <w:pPr>
              <w:keepNext/>
              <w:widowControl w:val="0"/>
              <w:autoSpaceDE w:val="0"/>
              <w:autoSpaceDN w:val="0"/>
              <w:spacing w:before="1" w:after="0" w:line="210" w:lineRule="exact"/>
              <w:ind w:left="130"/>
              <w:rPr>
                <w:rFonts w:eastAsia="Arial" w:cs="Arial"/>
                <w:b/>
                <w:szCs w:val="22"/>
                <w:lang w:val="en-US"/>
              </w:rPr>
            </w:pPr>
            <w:r w:rsidRPr="00350A7B">
              <w:rPr>
                <w:rFonts w:eastAsia="Arial" w:cs="Arial"/>
                <w:b/>
                <w:szCs w:val="22"/>
                <w:lang w:val="en-US"/>
              </w:rPr>
              <w:t>Item</w:t>
            </w:r>
            <w:r w:rsidRPr="00350A7B">
              <w:rPr>
                <w:rFonts w:eastAsia="Arial" w:cs="Arial"/>
                <w:b/>
                <w:spacing w:val="-7"/>
                <w:szCs w:val="22"/>
                <w:lang w:val="en-US"/>
              </w:rPr>
              <w:t xml:space="preserve"> </w:t>
            </w:r>
            <w:r w:rsidRPr="00350A7B">
              <w:rPr>
                <w:rFonts w:eastAsia="Arial" w:cs="Arial"/>
                <w:b/>
                <w:spacing w:val="-5"/>
                <w:szCs w:val="22"/>
                <w:lang w:val="en-US"/>
              </w:rPr>
              <w:t>No.</w:t>
            </w:r>
          </w:p>
        </w:tc>
        <w:tc>
          <w:tcPr>
            <w:tcW w:w="7752" w:type="dxa"/>
            <w:tcBorders>
              <w:top w:val="single" w:sz="12" w:space="0" w:color="000000"/>
              <w:bottom w:val="single" w:sz="12" w:space="0" w:color="000000"/>
            </w:tcBorders>
          </w:tcPr>
          <w:p w14:paraId="2C43A2F2" w14:textId="77777777" w:rsidR="00E37D50" w:rsidRPr="00350A7B" w:rsidRDefault="00E37D50" w:rsidP="00E37D50">
            <w:pPr>
              <w:widowControl w:val="0"/>
              <w:autoSpaceDE w:val="0"/>
              <w:autoSpaceDN w:val="0"/>
              <w:spacing w:before="1" w:after="0" w:line="210" w:lineRule="exact"/>
              <w:ind w:left="456"/>
              <w:rPr>
                <w:rFonts w:eastAsia="Arial" w:cs="Arial"/>
                <w:b/>
                <w:szCs w:val="22"/>
                <w:lang w:val="en-US"/>
              </w:rPr>
            </w:pPr>
            <w:r w:rsidRPr="00350A7B">
              <w:rPr>
                <w:rFonts w:eastAsia="Arial" w:cs="Arial"/>
                <w:b/>
                <w:spacing w:val="-2"/>
                <w:szCs w:val="22"/>
                <w:lang w:val="en-US"/>
              </w:rPr>
              <w:t>Therapeutic</w:t>
            </w:r>
            <w:r w:rsidRPr="00350A7B">
              <w:rPr>
                <w:rFonts w:eastAsia="Arial" w:cs="Arial"/>
                <w:b/>
                <w:spacing w:val="6"/>
                <w:szCs w:val="22"/>
                <w:lang w:val="en-US"/>
              </w:rPr>
              <w:t xml:space="preserve"> </w:t>
            </w:r>
            <w:r w:rsidRPr="00350A7B">
              <w:rPr>
                <w:rFonts w:eastAsia="Arial" w:cs="Arial"/>
                <w:b/>
                <w:spacing w:val="-4"/>
                <w:szCs w:val="22"/>
                <w:lang w:val="en-US"/>
              </w:rPr>
              <w:t>goods</w:t>
            </w:r>
          </w:p>
        </w:tc>
      </w:tr>
      <w:tr w:rsidR="00E37D50" w:rsidRPr="004813EC" w14:paraId="4E85FA6A" w14:textId="77777777" w:rsidTr="00D20E48">
        <w:trPr>
          <w:trHeight w:val="3673"/>
        </w:trPr>
        <w:tc>
          <w:tcPr>
            <w:tcW w:w="592" w:type="dxa"/>
            <w:tcBorders>
              <w:top w:val="single" w:sz="12" w:space="0" w:color="000000"/>
              <w:bottom w:val="single" w:sz="2" w:space="0" w:color="000000"/>
            </w:tcBorders>
          </w:tcPr>
          <w:p w14:paraId="53655FE6" w14:textId="77777777" w:rsidR="00E37D50" w:rsidRPr="00350A7B" w:rsidRDefault="00E37D50" w:rsidP="00E37D50">
            <w:pPr>
              <w:widowControl w:val="0"/>
              <w:autoSpaceDE w:val="0"/>
              <w:autoSpaceDN w:val="0"/>
              <w:spacing w:after="0" w:line="229" w:lineRule="exact"/>
              <w:ind w:left="131"/>
              <w:rPr>
                <w:rFonts w:eastAsia="Arial" w:cs="Arial"/>
                <w:szCs w:val="22"/>
                <w:lang w:val="en-US"/>
              </w:rPr>
            </w:pPr>
            <w:r w:rsidRPr="00350A7B">
              <w:rPr>
                <w:rFonts w:eastAsia="Arial" w:cs="Arial"/>
                <w:spacing w:val="-10"/>
                <w:szCs w:val="22"/>
                <w:lang w:val="en-US"/>
              </w:rPr>
              <w:t>7</w:t>
            </w:r>
          </w:p>
        </w:tc>
        <w:tc>
          <w:tcPr>
            <w:tcW w:w="8535" w:type="dxa"/>
            <w:gridSpan w:val="2"/>
            <w:tcBorders>
              <w:top w:val="single" w:sz="12" w:space="0" w:color="000000"/>
              <w:bottom w:val="single" w:sz="2" w:space="0" w:color="000000"/>
            </w:tcBorders>
          </w:tcPr>
          <w:p w14:paraId="731CD06B" w14:textId="77777777" w:rsidR="00E37D50" w:rsidRPr="00350A7B" w:rsidRDefault="00E37D50" w:rsidP="00E37D50">
            <w:pPr>
              <w:widowControl w:val="0"/>
              <w:autoSpaceDE w:val="0"/>
              <w:autoSpaceDN w:val="0"/>
              <w:spacing w:after="0" w:line="229" w:lineRule="exact"/>
              <w:ind w:left="496"/>
              <w:jc w:val="both"/>
              <w:rPr>
                <w:rFonts w:eastAsia="Arial" w:cs="Arial"/>
                <w:szCs w:val="22"/>
                <w:lang w:val="en-US"/>
              </w:rPr>
            </w:pPr>
            <w:r w:rsidRPr="00350A7B">
              <w:rPr>
                <w:rFonts w:eastAsia="Arial" w:cs="Arial"/>
                <w:szCs w:val="22"/>
                <w:lang w:val="en-US"/>
              </w:rPr>
              <w:t>sunscreen</w:t>
            </w:r>
            <w:r w:rsidRPr="00350A7B">
              <w:rPr>
                <w:rFonts w:eastAsia="Arial" w:cs="Arial"/>
                <w:spacing w:val="-10"/>
                <w:szCs w:val="22"/>
                <w:lang w:val="en-US"/>
              </w:rPr>
              <w:t xml:space="preserve"> </w:t>
            </w:r>
            <w:r w:rsidRPr="00350A7B">
              <w:rPr>
                <w:rFonts w:eastAsia="Arial" w:cs="Arial"/>
                <w:szCs w:val="22"/>
                <w:lang w:val="en-US"/>
              </w:rPr>
              <w:t>preparations</w:t>
            </w:r>
            <w:r w:rsidRPr="00350A7B">
              <w:rPr>
                <w:rFonts w:eastAsia="Arial" w:cs="Arial"/>
                <w:spacing w:val="-9"/>
                <w:szCs w:val="22"/>
                <w:lang w:val="en-US"/>
              </w:rPr>
              <w:t xml:space="preserve"> </w:t>
            </w:r>
            <w:r w:rsidRPr="00350A7B">
              <w:rPr>
                <w:rFonts w:eastAsia="Arial" w:cs="Arial"/>
                <w:szCs w:val="22"/>
                <w:lang w:val="en-US"/>
              </w:rPr>
              <w:t>for</w:t>
            </w:r>
            <w:r w:rsidRPr="00350A7B">
              <w:rPr>
                <w:rFonts w:eastAsia="Arial" w:cs="Arial"/>
                <w:spacing w:val="-7"/>
                <w:szCs w:val="22"/>
                <w:lang w:val="en-US"/>
              </w:rPr>
              <w:t xml:space="preserve"> </w:t>
            </w:r>
            <w:r w:rsidRPr="00350A7B">
              <w:rPr>
                <w:rFonts w:eastAsia="Arial" w:cs="Arial"/>
                <w:szCs w:val="22"/>
                <w:lang w:val="en-US"/>
              </w:rPr>
              <w:t>dermal</w:t>
            </w:r>
            <w:r w:rsidRPr="00350A7B">
              <w:rPr>
                <w:rFonts w:eastAsia="Arial" w:cs="Arial"/>
                <w:spacing w:val="-11"/>
                <w:szCs w:val="22"/>
                <w:lang w:val="en-US"/>
              </w:rPr>
              <w:t xml:space="preserve"> </w:t>
            </w:r>
            <w:r w:rsidRPr="00350A7B">
              <w:rPr>
                <w:rFonts w:eastAsia="Arial" w:cs="Arial"/>
                <w:szCs w:val="22"/>
                <w:lang w:val="en-US"/>
              </w:rPr>
              <w:t>application,</w:t>
            </w:r>
            <w:r w:rsidRPr="00350A7B">
              <w:rPr>
                <w:rFonts w:eastAsia="Arial" w:cs="Arial"/>
                <w:spacing w:val="-9"/>
                <w:szCs w:val="22"/>
                <w:lang w:val="en-US"/>
              </w:rPr>
              <w:t xml:space="preserve"> </w:t>
            </w:r>
            <w:r w:rsidRPr="00350A7B">
              <w:rPr>
                <w:rFonts w:eastAsia="Arial" w:cs="Arial"/>
                <w:spacing w:val="-5"/>
                <w:szCs w:val="22"/>
                <w:lang w:val="en-US"/>
              </w:rPr>
              <w:t>if:</w:t>
            </w:r>
          </w:p>
          <w:p w14:paraId="33749F38" w14:textId="77777777" w:rsidR="00E37D50" w:rsidRPr="00350A7B" w:rsidRDefault="00E37D50">
            <w:pPr>
              <w:widowControl w:val="0"/>
              <w:numPr>
                <w:ilvl w:val="0"/>
                <w:numId w:val="9"/>
              </w:numPr>
              <w:tabs>
                <w:tab w:val="left" w:pos="787"/>
              </w:tabs>
              <w:autoSpaceDE w:val="0"/>
              <w:autoSpaceDN w:val="0"/>
              <w:spacing w:after="0" w:line="240" w:lineRule="auto"/>
              <w:ind w:right="136" w:firstLine="0"/>
              <w:jc w:val="both"/>
              <w:rPr>
                <w:rFonts w:eastAsia="Arial" w:cs="Arial"/>
                <w:szCs w:val="22"/>
                <w:lang w:val="en-US"/>
              </w:rPr>
            </w:pPr>
            <w:r w:rsidRPr="00350A7B">
              <w:rPr>
                <w:rFonts w:eastAsia="Arial" w:cs="Arial"/>
                <w:szCs w:val="22"/>
                <w:lang w:val="en-US"/>
              </w:rPr>
              <w:t>the</w:t>
            </w:r>
            <w:r w:rsidRPr="00350A7B">
              <w:rPr>
                <w:rFonts w:eastAsia="Arial" w:cs="Arial"/>
                <w:spacing w:val="-9"/>
                <w:szCs w:val="22"/>
                <w:lang w:val="en-US"/>
              </w:rPr>
              <w:t xml:space="preserve"> </w:t>
            </w:r>
            <w:r w:rsidRPr="00350A7B">
              <w:rPr>
                <w:rFonts w:eastAsia="Arial" w:cs="Arial"/>
                <w:szCs w:val="22"/>
                <w:lang w:val="en-US"/>
              </w:rPr>
              <w:t>claimed</w:t>
            </w:r>
            <w:r w:rsidRPr="00350A7B">
              <w:rPr>
                <w:rFonts w:eastAsia="Arial" w:cs="Arial"/>
                <w:spacing w:val="-11"/>
                <w:szCs w:val="22"/>
                <w:lang w:val="en-US"/>
              </w:rPr>
              <w:t xml:space="preserve"> </w:t>
            </w:r>
            <w:r w:rsidRPr="00350A7B">
              <w:rPr>
                <w:rFonts w:eastAsia="Arial" w:cs="Arial"/>
                <w:szCs w:val="22"/>
                <w:lang w:val="en-US"/>
              </w:rPr>
              <w:t>sun</w:t>
            </w:r>
            <w:r w:rsidRPr="00350A7B">
              <w:rPr>
                <w:rFonts w:eastAsia="Arial" w:cs="Arial"/>
                <w:spacing w:val="-11"/>
                <w:szCs w:val="22"/>
                <w:lang w:val="en-US"/>
              </w:rPr>
              <w:t xml:space="preserve"> </w:t>
            </w:r>
            <w:r w:rsidRPr="00350A7B">
              <w:rPr>
                <w:rFonts w:eastAsia="Arial" w:cs="Arial"/>
                <w:szCs w:val="22"/>
                <w:lang w:val="en-US"/>
              </w:rPr>
              <w:t>protection</w:t>
            </w:r>
            <w:r w:rsidRPr="00350A7B">
              <w:rPr>
                <w:rFonts w:eastAsia="Arial" w:cs="Arial"/>
                <w:spacing w:val="-11"/>
                <w:szCs w:val="22"/>
                <w:lang w:val="en-US"/>
              </w:rPr>
              <w:t xml:space="preserve"> </w:t>
            </w:r>
            <w:r w:rsidRPr="00350A7B">
              <w:rPr>
                <w:rFonts w:eastAsia="Arial" w:cs="Arial"/>
                <w:szCs w:val="22"/>
                <w:lang w:val="en-US"/>
              </w:rPr>
              <w:t>factor</w:t>
            </w:r>
            <w:r w:rsidRPr="00350A7B">
              <w:rPr>
                <w:rFonts w:eastAsia="Arial" w:cs="Arial"/>
                <w:spacing w:val="-10"/>
                <w:szCs w:val="22"/>
                <w:lang w:val="en-US"/>
              </w:rPr>
              <w:t xml:space="preserve"> </w:t>
            </w:r>
            <w:r w:rsidRPr="00350A7B">
              <w:rPr>
                <w:rFonts w:eastAsia="Arial" w:cs="Arial"/>
                <w:szCs w:val="22"/>
                <w:lang w:val="en-US"/>
              </w:rPr>
              <w:t>has</w:t>
            </w:r>
            <w:r w:rsidRPr="00350A7B">
              <w:rPr>
                <w:rFonts w:eastAsia="Arial" w:cs="Arial"/>
                <w:spacing w:val="-10"/>
                <w:szCs w:val="22"/>
                <w:lang w:val="en-US"/>
              </w:rPr>
              <w:t xml:space="preserve"> </w:t>
            </w:r>
            <w:r w:rsidRPr="00350A7B">
              <w:rPr>
                <w:rFonts w:eastAsia="Arial" w:cs="Arial"/>
                <w:szCs w:val="22"/>
                <w:lang w:val="en-US"/>
              </w:rPr>
              <w:t>been</w:t>
            </w:r>
            <w:r w:rsidRPr="00350A7B">
              <w:rPr>
                <w:rFonts w:eastAsia="Arial" w:cs="Arial"/>
                <w:spacing w:val="-9"/>
                <w:szCs w:val="22"/>
                <w:lang w:val="en-US"/>
              </w:rPr>
              <w:t xml:space="preserve"> </w:t>
            </w:r>
            <w:r w:rsidRPr="00350A7B">
              <w:rPr>
                <w:rFonts w:eastAsia="Arial" w:cs="Arial"/>
                <w:szCs w:val="22"/>
                <w:lang w:val="en-US"/>
              </w:rPr>
              <w:t>established</w:t>
            </w:r>
            <w:r w:rsidRPr="00350A7B">
              <w:rPr>
                <w:rFonts w:eastAsia="Arial" w:cs="Arial"/>
                <w:spacing w:val="-9"/>
                <w:szCs w:val="22"/>
                <w:lang w:val="en-US"/>
              </w:rPr>
              <w:t xml:space="preserve"> </w:t>
            </w:r>
            <w:r w:rsidRPr="00350A7B">
              <w:rPr>
                <w:rFonts w:eastAsia="Arial" w:cs="Arial"/>
                <w:szCs w:val="22"/>
                <w:lang w:val="en-US"/>
              </w:rPr>
              <w:t>by</w:t>
            </w:r>
            <w:r w:rsidRPr="00350A7B">
              <w:rPr>
                <w:rFonts w:eastAsia="Arial" w:cs="Arial"/>
                <w:spacing w:val="-10"/>
                <w:szCs w:val="22"/>
                <w:lang w:val="en-US"/>
              </w:rPr>
              <w:t xml:space="preserve"> </w:t>
            </w:r>
            <w:r w:rsidRPr="00350A7B">
              <w:rPr>
                <w:rFonts w:eastAsia="Arial" w:cs="Arial"/>
                <w:szCs w:val="22"/>
                <w:lang w:val="en-US"/>
              </w:rPr>
              <w:t>testing</w:t>
            </w:r>
            <w:r w:rsidRPr="00350A7B">
              <w:rPr>
                <w:rFonts w:eastAsia="Arial" w:cs="Arial"/>
                <w:spacing w:val="-9"/>
                <w:szCs w:val="22"/>
                <w:lang w:val="en-US"/>
              </w:rPr>
              <w:t xml:space="preserve"> </w:t>
            </w:r>
            <w:r w:rsidRPr="00350A7B">
              <w:rPr>
                <w:rFonts w:eastAsia="Arial" w:cs="Arial"/>
                <w:szCs w:val="22"/>
                <w:lang w:val="en-US"/>
              </w:rPr>
              <w:t>according</w:t>
            </w:r>
            <w:r w:rsidRPr="00350A7B">
              <w:rPr>
                <w:rFonts w:eastAsia="Arial" w:cs="Arial"/>
                <w:spacing w:val="-9"/>
                <w:szCs w:val="22"/>
                <w:lang w:val="en-US"/>
              </w:rPr>
              <w:t xml:space="preserve"> </w:t>
            </w:r>
            <w:r w:rsidRPr="00350A7B">
              <w:rPr>
                <w:rFonts w:eastAsia="Arial" w:cs="Arial"/>
                <w:szCs w:val="22"/>
                <w:lang w:val="en-US"/>
              </w:rPr>
              <w:t>to the</w:t>
            </w:r>
            <w:r w:rsidRPr="00350A7B">
              <w:rPr>
                <w:rFonts w:eastAsia="Arial" w:cs="Arial"/>
                <w:spacing w:val="40"/>
                <w:szCs w:val="22"/>
                <w:lang w:val="en-US"/>
              </w:rPr>
              <w:t xml:space="preserve"> </w:t>
            </w:r>
            <w:r w:rsidRPr="00350A7B">
              <w:rPr>
                <w:rFonts w:eastAsia="Arial" w:cs="Arial"/>
                <w:szCs w:val="22"/>
                <w:lang w:val="en-US"/>
              </w:rPr>
              <w:t>method</w:t>
            </w:r>
            <w:r w:rsidRPr="00350A7B">
              <w:rPr>
                <w:rFonts w:eastAsia="Arial" w:cs="Arial"/>
                <w:spacing w:val="40"/>
                <w:szCs w:val="22"/>
                <w:lang w:val="en-US"/>
              </w:rPr>
              <w:t xml:space="preserve"> </w:t>
            </w:r>
            <w:r w:rsidRPr="00350A7B">
              <w:rPr>
                <w:rFonts w:eastAsia="Arial" w:cs="Arial"/>
                <w:szCs w:val="22"/>
                <w:lang w:val="en-US"/>
              </w:rPr>
              <w:t>described</w:t>
            </w:r>
            <w:r w:rsidRPr="00350A7B">
              <w:rPr>
                <w:rFonts w:eastAsia="Arial" w:cs="Arial"/>
                <w:spacing w:val="40"/>
                <w:szCs w:val="22"/>
                <w:lang w:val="en-US"/>
              </w:rPr>
              <w:t xml:space="preserve"> </w:t>
            </w:r>
            <w:r w:rsidRPr="00350A7B">
              <w:rPr>
                <w:rFonts w:eastAsia="Arial" w:cs="Arial"/>
                <w:szCs w:val="22"/>
                <w:lang w:val="en-US"/>
              </w:rPr>
              <w:t>in</w:t>
            </w:r>
            <w:r w:rsidRPr="00350A7B">
              <w:rPr>
                <w:rFonts w:eastAsia="Arial" w:cs="Arial"/>
                <w:spacing w:val="40"/>
                <w:szCs w:val="22"/>
                <w:lang w:val="en-US"/>
              </w:rPr>
              <w:t xml:space="preserve"> </w:t>
            </w:r>
            <w:r w:rsidRPr="00350A7B">
              <w:rPr>
                <w:rFonts w:eastAsia="Arial" w:cs="Arial"/>
                <w:szCs w:val="22"/>
                <w:lang w:val="en-US"/>
              </w:rPr>
              <w:t>Australian/New</w:t>
            </w:r>
            <w:r w:rsidRPr="00350A7B">
              <w:rPr>
                <w:rFonts w:eastAsia="Arial" w:cs="Arial"/>
                <w:spacing w:val="40"/>
                <w:szCs w:val="22"/>
                <w:lang w:val="en-US"/>
              </w:rPr>
              <w:t xml:space="preserve"> </w:t>
            </w:r>
            <w:r w:rsidRPr="00350A7B">
              <w:rPr>
                <w:rFonts w:eastAsia="Arial" w:cs="Arial"/>
                <w:szCs w:val="22"/>
                <w:lang w:val="en-US"/>
              </w:rPr>
              <w:t>Zealand</w:t>
            </w:r>
            <w:r w:rsidRPr="00350A7B">
              <w:rPr>
                <w:rFonts w:eastAsia="Arial" w:cs="Arial"/>
                <w:spacing w:val="40"/>
                <w:szCs w:val="22"/>
                <w:lang w:val="en-US"/>
              </w:rPr>
              <w:t xml:space="preserve"> </w:t>
            </w:r>
            <w:r w:rsidRPr="00350A7B">
              <w:rPr>
                <w:rFonts w:eastAsia="Arial" w:cs="Arial"/>
                <w:szCs w:val="22"/>
                <w:lang w:val="en-US"/>
              </w:rPr>
              <w:t>Standard</w:t>
            </w:r>
            <w:r w:rsidRPr="00350A7B">
              <w:rPr>
                <w:rFonts w:eastAsia="Arial" w:cs="Arial"/>
                <w:spacing w:val="40"/>
                <w:szCs w:val="22"/>
                <w:lang w:val="en-US"/>
              </w:rPr>
              <w:t xml:space="preserve"> </w:t>
            </w:r>
            <w:r w:rsidRPr="00350A7B">
              <w:rPr>
                <w:rFonts w:eastAsia="Arial" w:cs="Arial"/>
                <w:szCs w:val="22"/>
                <w:lang w:val="en-US"/>
              </w:rPr>
              <w:t>AS/NZS 2604:2021,</w:t>
            </w:r>
            <w:r w:rsidRPr="00350A7B">
              <w:rPr>
                <w:rFonts w:eastAsia="Arial" w:cs="Arial"/>
                <w:spacing w:val="-4"/>
                <w:szCs w:val="22"/>
                <w:lang w:val="en-US"/>
              </w:rPr>
              <w:t xml:space="preserve"> </w:t>
            </w:r>
            <w:r w:rsidRPr="00350A7B">
              <w:rPr>
                <w:rFonts w:eastAsia="Arial" w:cs="Arial"/>
                <w:szCs w:val="22"/>
                <w:lang w:val="en-US"/>
              </w:rPr>
              <w:t>Sunscreen products</w:t>
            </w:r>
            <w:r w:rsidRPr="00350A7B">
              <w:rPr>
                <w:rFonts w:eastAsia="Arial" w:cs="Arial"/>
                <w:spacing w:val="-4"/>
                <w:szCs w:val="22"/>
                <w:lang w:val="en-US"/>
              </w:rPr>
              <w:t xml:space="preserve"> </w:t>
            </w:r>
            <w:r w:rsidRPr="00350A7B">
              <w:rPr>
                <w:rFonts w:eastAsia="Arial" w:cs="Arial"/>
                <w:szCs w:val="22"/>
                <w:lang w:val="en-US"/>
              </w:rPr>
              <w:t>-</w:t>
            </w:r>
            <w:r w:rsidRPr="00350A7B">
              <w:rPr>
                <w:rFonts w:eastAsia="Arial" w:cs="Arial"/>
                <w:spacing w:val="-5"/>
                <w:szCs w:val="22"/>
                <w:lang w:val="en-US"/>
              </w:rPr>
              <w:t xml:space="preserve"> </w:t>
            </w:r>
            <w:r w:rsidRPr="00350A7B">
              <w:rPr>
                <w:rFonts w:eastAsia="Arial" w:cs="Arial"/>
                <w:szCs w:val="22"/>
                <w:lang w:val="en-US"/>
              </w:rPr>
              <w:t>Evaluation and classification, published jointly by,</w:t>
            </w:r>
            <w:r w:rsidRPr="00350A7B">
              <w:rPr>
                <w:rFonts w:eastAsia="Arial" w:cs="Arial"/>
                <w:spacing w:val="-2"/>
                <w:szCs w:val="22"/>
                <w:lang w:val="en-US"/>
              </w:rPr>
              <w:t xml:space="preserve"> </w:t>
            </w:r>
            <w:r w:rsidRPr="00350A7B">
              <w:rPr>
                <w:rFonts w:eastAsia="Arial" w:cs="Arial"/>
                <w:szCs w:val="22"/>
                <w:lang w:val="en-US"/>
              </w:rPr>
              <w:t>or</w:t>
            </w:r>
            <w:r w:rsidRPr="00350A7B">
              <w:rPr>
                <w:rFonts w:eastAsia="Arial" w:cs="Arial"/>
                <w:spacing w:val="-1"/>
                <w:szCs w:val="22"/>
                <w:lang w:val="en-US"/>
              </w:rPr>
              <w:t xml:space="preserve"> </w:t>
            </w:r>
            <w:r w:rsidRPr="00350A7B">
              <w:rPr>
                <w:rFonts w:eastAsia="Arial" w:cs="Arial"/>
                <w:szCs w:val="22"/>
                <w:lang w:val="en-US"/>
              </w:rPr>
              <w:t>on behalf</w:t>
            </w:r>
            <w:r w:rsidRPr="00350A7B">
              <w:rPr>
                <w:rFonts w:eastAsia="Arial" w:cs="Arial"/>
                <w:spacing w:val="-2"/>
                <w:szCs w:val="22"/>
                <w:lang w:val="en-US"/>
              </w:rPr>
              <w:t xml:space="preserve"> </w:t>
            </w:r>
            <w:r w:rsidRPr="00350A7B">
              <w:rPr>
                <w:rFonts w:eastAsia="Arial" w:cs="Arial"/>
                <w:szCs w:val="22"/>
                <w:lang w:val="en-US"/>
              </w:rPr>
              <w:t>of,</w:t>
            </w:r>
            <w:r w:rsidRPr="00350A7B">
              <w:rPr>
                <w:rFonts w:eastAsia="Arial" w:cs="Arial"/>
                <w:spacing w:val="-2"/>
                <w:szCs w:val="22"/>
                <w:lang w:val="en-US"/>
              </w:rPr>
              <w:t xml:space="preserve"> </w:t>
            </w:r>
            <w:r w:rsidRPr="00350A7B">
              <w:rPr>
                <w:rFonts w:eastAsia="Arial" w:cs="Arial"/>
                <w:szCs w:val="22"/>
                <w:lang w:val="en-US"/>
              </w:rPr>
              <w:t>Standards Australia and Standards New</w:t>
            </w:r>
            <w:r w:rsidRPr="00350A7B">
              <w:rPr>
                <w:rFonts w:eastAsia="Arial" w:cs="Arial"/>
                <w:spacing w:val="-1"/>
                <w:szCs w:val="22"/>
                <w:lang w:val="en-US"/>
              </w:rPr>
              <w:t xml:space="preserve"> </w:t>
            </w:r>
            <w:r w:rsidRPr="00350A7B">
              <w:rPr>
                <w:rFonts w:eastAsia="Arial" w:cs="Arial"/>
                <w:szCs w:val="22"/>
                <w:lang w:val="en-US"/>
              </w:rPr>
              <w:t>Zealand, as in</w:t>
            </w:r>
            <w:r w:rsidRPr="00350A7B">
              <w:rPr>
                <w:rFonts w:eastAsia="Arial" w:cs="Arial"/>
                <w:spacing w:val="-2"/>
                <w:szCs w:val="22"/>
                <w:lang w:val="en-US"/>
              </w:rPr>
              <w:t xml:space="preserve"> </w:t>
            </w:r>
            <w:r w:rsidRPr="00350A7B">
              <w:rPr>
                <w:rFonts w:eastAsia="Arial" w:cs="Arial"/>
                <w:szCs w:val="22"/>
                <w:lang w:val="en-US"/>
              </w:rPr>
              <w:t>force from time to time; and</w:t>
            </w:r>
          </w:p>
          <w:p w14:paraId="1C0CF50C" w14:textId="77777777" w:rsidR="00E37D50" w:rsidRPr="00350A7B" w:rsidRDefault="00E37D50">
            <w:pPr>
              <w:widowControl w:val="0"/>
              <w:numPr>
                <w:ilvl w:val="0"/>
                <w:numId w:val="9"/>
              </w:numPr>
              <w:tabs>
                <w:tab w:val="left" w:pos="839"/>
              </w:tabs>
              <w:autoSpaceDE w:val="0"/>
              <w:autoSpaceDN w:val="0"/>
              <w:spacing w:after="0" w:line="240" w:lineRule="auto"/>
              <w:ind w:right="140" w:firstLine="0"/>
              <w:jc w:val="both"/>
              <w:rPr>
                <w:rFonts w:eastAsia="Arial" w:cs="Arial"/>
                <w:szCs w:val="22"/>
                <w:lang w:val="en-US"/>
              </w:rPr>
            </w:pPr>
            <w:r w:rsidRPr="00350A7B">
              <w:rPr>
                <w:rFonts w:eastAsia="Arial" w:cs="Arial"/>
                <w:szCs w:val="22"/>
                <w:lang w:val="en-US"/>
              </w:rPr>
              <w:t>the performance statements and markings on the label comply with that Standard; and</w:t>
            </w:r>
          </w:p>
          <w:p w14:paraId="38218EB3" w14:textId="77777777" w:rsidR="00E37D50" w:rsidRPr="00350A7B" w:rsidRDefault="00E37D50">
            <w:pPr>
              <w:widowControl w:val="0"/>
              <w:numPr>
                <w:ilvl w:val="0"/>
                <w:numId w:val="9"/>
              </w:numPr>
              <w:tabs>
                <w:tab w:val="left" w:pos="810"/>
              </w:tabs>
              <w:autoSpaceDE w:val="0"/>
              <w:autoSpaceDN w:val="0"/>
              <w:spacing w:before="1" w:after="0" w:line="240" w:lineRule="auto"/>
              <w:ind w:right="138" w:firstLine="0"/>
              <w:jc w:val="both"/>
              <w:rPr>
                <w:rFonts w:eastAsia="Arial" w:cs="Arial"/>
                <w:szCs w:val="22"/>
                <w:lang w:val="en-US"/>
              </w:rPr>
            </w:pPr>
            <w:r w:rsidRPr="00350A7B">
              <w:rPr>
                <w:rFonts w:eastAsia="Arial" w:cs="Arial"/>
                <w:szCs w:val="22"/>
                <w:lang w:val="en-US"/>
              </w:rPr>
              <w:t>the sunscreen preparation only contains ingredients that are specified in a determination under paragraph 26BB(1)(a) of the Act; and</w:t>
            </w:r>
          </w:p>
          <w:p w14:paraId="7A6C2B7C" w14:textId="77777777" w:rsidR="00E37D50" w:rsidRPr="00350A7B" w:rsidRDefault="00E37D50">
            <w:pPr>
              <w:widowControl w:val="0"/>
              <w:numPr>
                <w:ilvl w:val="0"/>
                <w:numId w:val="9"/>
              </w:numPr>
              <w:tabs>
                <w:tab w:val="left" w:pos="892"/>
              </w:tabs>
              <w:autoSpaceDE w:val="0"/>
              <w:autoSpaceDN w:val="0"/>
              <w:spacing w:after="0" w:line="240" w:lineRule="auto"/>
              <w:ind w:right="139" w:firstLine="0"/>
              <w:jc w:val="both"/>
              <w:rPr>
                <w:rFonts w:eastAsia="Arial" w:cs="Arial"/>
                <w:szCs w:val="22"/>
                <w:lang w:val="en-US"/>
              </w:rPr>
            </w:pPr>
            <w:r w:rsidRPr="00350A7B">
              <w:rPr>
                <w:rFonts w:eastAsia="Arial" w:cs="Arial"/>
                <w:szCs w:val="22"/>
                <w:lang w:val="en-US"/>
              </w:rPr>
              <w:t>if a determination under paragraph 26BB(1)(b) of the Act specifies requirements in relation to ingredients being contained in the sunscreen preparation—none of the requirements have been contravened; and</w:t>
            </w:r>
          </w:p>
          <w:p w14:paraId="22CD38AC" w14:textId="77777777" w:rsidR="00E37D50" w:rsidRPr="00350A7B" w:rsidRDefault="00E37D50">
            <w:pPr>
              <w:widowControl w:val="0"/>
              <w:numPr>
                <w:ilvl w:val="0"/>
                <w:numId w:val="9"/>
              </w:numPr>
              <w:tabs>
                <w:tab w:val="left" w:pos="863"/>
              </w:tabs>
              <w:autoSpaceDE w:val="0"/>
              <w:autoSpaceDN w:val="0"/>
              <w:spacing w:after="0" w:line="240" w:lineRule="auto"/>
              <w:ind w:right="141" w:firstLine="0"/>
              <w:jc w:val="both"/>
              <w:rPr>
                <w:rFonts w:eastAsia="Arial" w:cs="Arial"/>
                <w:szCs w:val="22"/>
                <w:lang w:val="en-US"/>
              </w:rPr>
            </w:pPr>
            <w:r w:rsidRPr="00350A7B">
              <w:rPr>
                <w:rFonts w:eastAsia="Arial" w:cs="Arial"/>
                <w:szCs w:val="22"/>
                <w:lang w:val="en-US"/>
              </w:rPr>
              <w:t>the sunscreen preparation only has indications that are covered by a determination under paragraph 26BF(1)(a) of the Act; and</w:t>
            </w:r>
          </w:p>
          <w:p w14:paraId="3603E571" w14:textId="77777777" w:rsidR="00E37D50" w:rsidRPr="00350A7B" w:rsidRDefault="00E37D50">
            <w:pPr>
              <w:widowControl w:val="0"/>
              <w:numPr>
                <w:ilvl w:val="0"/>
                <w:numId w:val="9"/>
              </w:numPr>
              <w:tabs>
                <w:tab w:val="left" w:pos="843"/>
              </w:tabs>
              <w:autoSpaceDE w:val="0"/>
              <w:autoSpaceDN w:val="0"/>
              <w:spacing w:after="0" w:line="230" w:lineRule="exact"/>
              <w:ind w:right="139" w:firstLine="0"/>
              <w:jc w:val="both"/>
              <w:rPr>
                <w:rFonts w:eastAsia="Arial" w:cs="Arial"/>
                <w:szCs w:val="22"/>
                <w:lang w:val="en-US"/>
              </w:rPr>
            </w:pPr>
            <w:r w:rsidRPr="00350A7B">
              <w:rPr>
                <w:rFonts w:eastAsia="Arial" w:cs="Arial"/>
                <w:szCs w:val="22"/>
                <w:lang w:val="en-US"/>
              </w:rPr>
              <w:t>if a determination under paragraph 26BF(1)(b) of the Act specifies requirements in</w:t>
            </w:r>
            <w:r w:rsidRPr="00350A7B">
              <w:rPr>
                <w:rFonts w:eastAsia="Arial" w:cs="Arial"/>
                <w:spacing w:val="-1"/>
                <w:szCs w:val="22"/>
                <w:lang w:val="en-US"/>
              </w:rPr>
              <w:t xml:space="preserve"> </w:t>
            </w:r>
            <w:r w:rsidRPr="00350A7B">
              <w:rPr>
                <w:rFonts w:eastAsia="Arial" w:cs="Arial"/>
                <w:szCs w:val="22"/>
                <w:lang w:val="en-US"/>
              </w:rPr>
              <w:t>relation to the indications—none</w:t>
            </w:r>
            <w:r w:rsidRPr="00350A7B">
              <w:rPr>
                <w:rFonts w:eastAsia="Arial" w:cs="Arial"/>
                <w:spacing w:val="-1"/>
                <w:szCs w:val="22"/>
                <w:lang w:val="en-US"/>
              </w:rPr>
              <w:t xml:space="preserve"> </w:t>
            </w:r>
            <w:r w:rsidRPr="00350A7B">
              <w:rPr>
                <w:rFonts w:eastAsia="Arial" w:cs="Arial"/>
                <w:szCs w:val="22"/>
                <w:lang w:val="en-US"/>
              </w:rPr>
              <w:t xml:space="preserve">of the requirements have been </w:t>
            </w:r>
            <w:r w:rsidRPr="00350A7B">
              <w:rPr>
                <w:rFonts w:eastAsia="Arial" w:cs="Arial"/>
                <w:spacing w:val="-2"/>
                <w:szCs w:val="22"/>
                <w:lang w:val="en-US"/>
              </w:rPr>
              <w:t>contravened</w:t>
            </w:r>
          </w:p>
        </w:tc>
      </w:tr>
    </w:tbl>
    <w:p w14:paraId="62A67DDE" w14:textId="77777777" w:rsidR="00D20E48" w:rsidRDefault="00D20E48" w:rsidP="00350A7B"/>
    <w:p w14:paraId="46EB90D5" w14:textId="0C4F8B7A" w:rsidR="00E37D50" w:rsidRDefault="00E37D50" w:rsidP="00350A7B">
      <w:r>
        <w:t>The TGA regulates therapeutic sunscreens by ensuring they are safe, efficacious and of appropriate quality. Before</w:t>
      </w:r>
      <w:r>
        <w:rPr>
          <w:spacing w:val="-2"/>
        </w:rPr>
        <w:t xml:space="preserve"> </w:t>
      </w:r>
      <w:r>
        <w:t>a</w:t>
      </w:r>
      <w:r>
        <w:rPr>
          <w:spacing w:val="-2"/>
        </w:rPr>
        <w:t xml:space="preserve"> </w:t>
      </w:r>
      <w:r>
        <w:t>sunscreen product</w:t>
      </w:r>
      <w:r>
        <w:rPr>
          <w:spacing w:val="-2"/>
        </w:rPr>
        <w:t xml:space="preserve"> </w:t>
      </w:r>
      <w:r>
        <w:t>can</w:t>
      </w:r>
      <w:r>
        <w:rPr>
          <w:spacing w:val="-2"/>
        </w:rPr>
        <w:t xml:space="preserve"> </w:t>
      </w:r>
      <w:r>
        <w:t>be</w:t>
      </w:r>
      <w:r>
        <w:rPr>
          <w:spacing w:val="-2"/>
        </w:rPr>
        <w:t xml:space="preserve"> </w:t>
      </w:r>
      <w:r>
        <w:t>marketed and</w:t>
      </w:r>
      <w:r>
        <w:rPr>
          <w:spacing w:val="-2"/>
        </w:rPr>
        <w:t xml:space="preserve"> </w:t>
      </w:r>
      <w:r>
        <w:t>supplied to</w:t>
      </w:r>
      <w:r>
        <w:rPr>
          <w:spacing w:val="-2"/>
        </w:rPr>
        <w:t xml:space="preserve"> </w:t>
      </w:r>
      <w:r>
        <w:t>consumers</w:t>
      </w:r>
      <w:r>
        <w:rPr>
          <w:spacing w:val="-1"/>
        </w:rPr>
        <w:t xml:space="preserve"> </w:t>
      </w:r>
      <w:r>
        <w:t>in</w:t>
      </w:r>
      <w:r>
        <w:rPr>
          <w:spacing w:val="-2"/>
        </w:rPr>
        <w:t xml:space="preserve"> </w:t>
      </w:r>
      <w:r>
        <w:t>Australia,</w:t>
      </w:r>
      <w:r>
        <w:rPr>
          <w:spacing w:val="-2"/>
        </w:rPr>
        <w:t xml:space="preserve"> </w:t>
      </w:r>
      <w:r>
        <w:t>the</w:t>
      </w:r>
      <w:r>
        <w:rPr>
          <w:spacing w:val="-2"/>
        </w:rPr>
        <w:t xml:space="preserve"> </w:t>
      </w:r>
      <w:r>
        <w:t>TGA must</w:t>
      </w:r>
      <w:r>
        <w:rPr>
          <w:spacing w:val="-4"/>
        </w:rPr>
        <w:t xml:space="preserve"> </w:t>
      </w:r>
      <w:r>
        <w:t>have</w:t>
      </w:r>
      <w:r>
        <w:rPr>
          <w:spacing w:val="-2"/>
        </w:rPr>
        <w:t xml:space="preserve"> </w:t>
      </w:r>
      <w:r>
        <w:t>approved</w:t>
      </w:r>
      <w:r>
        <w:rPr>
          <w:spacing w:val="-2"/>
        </w:rPr>
        <w:t xml:space="preserve"> </w:t>
      </w:r>
      <w:r>
        <w:t>its</w:t>
      </w:r>
      <w:r>
        <w:rPr>
          <w:spacing w:val="-3"/>
        </w:rPr>
        <w:t xml:space="preserve"> </w:t>
      </w:r>
      <w:r>
        <w:t>ingredients</w:t>
      </w:r>
      <w:r>
        <w:rPr>
          <w:spacing w:val="-3"/>
        </w:rPr>
        <w:t xml:space="preserve"> </w:t>
      </w:r>
      <w:r>
        <w:t>and</w:t>
      </w:r>
      <w:r>
        <w:rPr>
          <w:spacing w:val="-4"/>
        </w:rPr>
        <w:t xml:space="preserve"> </w:t>
      </w:r>
      <w:r>
        <w:t>their maximum</w:t>
      </w:r>
      <w:r>
        <w:rPr>
          <w:spacing w:val="-4"/>
        </w:rPr>
        <w:t xml:space="preserve"> </w:t>
      </w:r>
      <w:r>
        <w:t>safe</w:t>
      </w:r>
      <w:r>
        <w:rPr>
          <w:spacing w:val="-4"/>
        </w:rPr>
        <w:t xml:space="preserve"> </w:t>
      </w:r>
      <w:r>
        <w:t>concentration.</w:t>
      </w:r>
      <w:r>
        <w:rPr>
          <w:spacing w:val="-2"/>
        </w:rPr>
        <w:t xml:space="preserve"> </w:t>
      </w:r>
      <w:r>
        <w:t>Sponsors</w:t>
      </w:r>
      <w:r>
        <w:rPr>
          <w:spacing w:val="-3"/>
        </w:rPr>
        <w:t xml:space="preserve"> </w:t>
      </w:r>
      <w:r>
        <w:t>(who</w:t>
      </w:r>
      <w:r>
        <w:rPr>
          <w:spacing w:val="-4"/>
        </w:rPr>
        <w:t xml:space="preserve"> </w:t>
      </w:r>
      <w:r>
        <w:t>are</w:t>
      </w:r>
      <w:r>
        <w:rPr>
          <w:spacing w:val="-4"/>
        </w:rPr>
        <w:t xml:space="preserve"> </w:t>
      </w:r>
      <w:r>
        <w:t>product owners or manufacturers) are legally bound to adhere to these TGA-mandated concentration limits.</w:t>
      </w:r>
    </w:p>
    <w:p w14:paraId="4F8BFA20" w14:textId="18803950" w:rsidR="00E37D50" w:rsidRPr="00E37D50" w:rsidRDefault="00E37D50" w:rsidP="00350A7B">
      <w:pPr>
        <w:rPr>
          <w:lang w:val="en-US"/>
        </w:rPr>
      </w:pPr>
      <w:r w:rsidRPr="00E37D50">
        <w:rPr>
          <w:lang w:val="en-US"/>
        </w:rPr>
        <w:t>Listed</w:t>
      </w:r>
      <w:r w:rsidRPr="00E37D50">
        <w:rPr>
          <w:spacing w:val="-2"/>
          <w:lang w:val="en-US"/>
        </w:rPr>
        <w:t xml:space="preserve"> </w:t>
      </w:r>
      <w:r w:rsidRPr="00E37D50">
        <w:rPr>
          <w:lang w:val="en-US"/>
        </w:rPr>
        <w:t>therapeutic</w:t>
      </w:r>
      <w:r w:rsidRPr="00E37D50">
        <w:rPr>
          <w:spacing w:val="-3"/>
          <w:lang w:val="en-US"/>
        </w:rPr>
        <w:t xml:space="preserve"> </w:t>
      </w:r>
      <w:r w:rsidRPr="00E37D50">
        <w:rPr>
          <w:lang w:val="en-US"/>
        </w:rPr>
        <w:t>sunscreens</w:t>
      </w:r>
      <w:r w:rsidRPr="00E37D50">
        <w:rPr>
          <w:spacing w:val="-3"/>
          <w:lang w:val="en-US"/>
        </w:rPr>
        <w:t xml:space="preserve"> </w:t>
      </w:r>
      <w:r w:rsidRPr="00E37D50">
        <w:rPr>
          <w:lang w:val="en-US"/>
        </w:rPr>
        <w:t>are</w:t>
      </w:r>
      <w:r w:rsidRPr="00E37D50">
        <w:rPr>
          <w:spacing w:val="-4"/>
          <w:lang w:val="en-US"/>
        </w:rPr>
        <w:t xml:space="preserve"> </w:t>
      </w:r>
      <w:r w:rsidRPr="00E37D50">
        <w:rPr>
          <w:lang w:val="en-US"/>
        </w:rPr>
        <w:t>not</w:t>
      </w:r>
      <w:r w:rsidRPr="00E37D50">
        <w:rPr>
          <w:spacing w:val="-4"/>
          <w:lang w:val="en-US"/>
        </w:rPr>
        <w:t xml:space="preserve"> </w:t>
      </w:r>
      <w:r w:rsidRPr="00E37D50">
        <w:rPr>
          <w:lang w:val="en-US"/>
        </w:rPr>
        <w:t>pre-market</w:t>
      </w:r>
      <w:r w:rsidRPr="00E37D50">
        <w:rPr>
          <w:spacing w:val="-4"/>
          <w:lang w:val="en-US"/>
        </w:rPr>
        <w:t xml:space="preserve"> </w:t>
      </w:r>
      <w:r w:rsidRPr="00E37D50">
        <w:rPr>
          <w:lang w:val="en-US"/>
        </w:rPr>
        <w:t>evaluated</w:t>
      </w:r>
      <w:r w:rsidRPr="00E37D50">
        <w:rPr>
          <w:spacing w:val="-2"/>
          <w:lang w:val="en-US"/>
        </w:rPr>
        <w:t xml:space="preserve"> </w:t>
      </w:r>
      <w:r w:rsidRPr="00E37D50">
        <w:rPr>
          <w:lang w:val="en-US"/>
        </w:rPr>
        <w:t>by</w:t>
      </w:r>
      <w:r w:rsidRPr="00E37D50">
        <w:rPr>
          <w:spacing w:val="-3"/>
          <w:lang w:val="en-US"/>
        </w:rPr>
        <w:t xml:space="preserve"> </w:t>
      </w:r>
      <w:r w:rsidRPr="00E37D50">
        <w:rPr>
          <w:lang w:val="en-US"/>
        </w:rPr>
        <w:t>the</w:t>
      </w:r>
      <w:r w:rsidRPr="00E37D50">
        <w:rPr>
          <w:spacing w:val="-2"/>
          <w:lang w:val="en-US"/>
        </w:rPr>
        <w:t xml:space="preserve"> </w:t>
      </w:r>
      <w:r w:rsidRPr="00E37D50">
        <w:rPr>
          <w:lang w:val="en-US"/>
        </w:rPr>
        <w:t>TGA.</w:t>
      </w:r>
      <w:r w:rsidRPr="00E37D50">
        <w:rPr>
          <w:spacing w:val="-4"/>
          <w:lang w:val="en-US"/>
        </w:rPr>
        <w:t xml:space="preserve"> </w:t>
      </w:r>
      <w:r w:rsidRPr="00E37D50">
        <w:rPr>
          <w:lang w:val="en-US"/>
        </w:rPr>
        <w:t>Instead,</w:t>
      </w:r>
      <w:r w:rsidRPr="00E37D50">
        <w:rPr>
          <w:spacing w:val="-4"/>
          <w:lang w:val="en-US"/>
        </w:rPr>
        <w:t xml:space="preserve"> </w:t>
      </w:r>
      <w:r w:rsidRPr="00E37D50">
        <w:rPr>
          <w:lang w:val="en-US"/>
        </w:rPr>
        <w:t>they</w:t>
      </w:r>
      <w:r w:rsidRPr="00E37D50">
        <w:rPr>
          <w:spacing w:val="-3"/>
          <w:lang w:val="en-US"/>
        </w:rPr>
        <w:t xml:space="preserve"> </w:t>
      </w:r>
      <w:r w:rsidRPr="00E37D50">
        <w:rPr>
          <w:lang w:val="en-US"/>
        </w:rPr>
        <w:t>are</w:t>
      </w:r>
      <w:r w:rsidRPr="00E37D50">
        <w:rPr>
          <w:spacing w:val="-2"/>
          <w:lang w:val="en-US"/>
        </w:rPr>
        <w:t xml:space="preserve"> </w:t>
      </w:r>
      <w:r w:rsidRPr="00E37D50">
        <w:rPr>
          <w:lang w:val="en-US"/>
        </w:rPr>
        <w:t>included</w:t>
      </w:r>
      <w:r w:rsidRPr="00E37D50">
        <w:rPr>
          <w:spacing w:val="-4"/>
          <w:lang w:val="en-US"/>
        </w:rPr>
        <w:t xml:space="preserve"> </w:t>
      </w:r>
      <w:r w:rsidRPr="00E37D50">
        <w:rPr>
          <w:lang w:val="en-US"/>
        </w:rPr>
        <w:t xml:space="preserve">in the ARTG under section 26A of the Act, based on a number of sponsor certifications that their therapeutic good meets all legislative requirements, for example, they can only include TGA pre- approved ingredients and indications. Listed sunscreens must also comply with </w:t>
      </w:r>
      <w:r w:rsidR="0058625F">
        <w:rPr>
          <w:lang w:val="en-US"/>
        </w:rPr>
        <w:t>th</w:t>
      </w:r>
      <w:r w:rsidRPr="00E37D50">
        <w:rPr>
          <w:lang w:val="en-US"/>
        </w:rPr>
        <w:t>e</w:t>
      </w:r>
      <w:r w:rsidR="0058625F" w:rsidRPr="0058625F">
        <w:rPr>
          <w:lang w:val="en-US"/>
        </w:rPr>
        <w:t xml:space="preserve"> 2021 Sunscreen Standard</w:t>
      </w:r>
      <w:r w:rsidR="00332D78">
        <w:rPr>
          <w:lang w:val="en-US"/>
        </w:rPr>
        <w:t xml:space="preserve"> </w:t>
      </w:r>
      <w:r w:rsidR="00831273">
        <w:rPr>
          <w:lang w:val="en-US"/>
        </w:rPr>
        <w:t>(</w:t>
      </w:r>
      <w:r w:rsidR="0058625F">
        <w:rPr>
          <w:lang w:val="en-US"/>
        </w:rPr>
        <w:t>which</w:t>
      </w:r>
      <w:r w:rsidRPr="00E37D50">
        <w:rPr>
          <w:spacing w:val="-1"/>
          <w:lang w:val="en-US"/>
        </w:rPr>
        <w:t xml:space="preserve"> </w:t>
      </w:r>
      <w:r w:rsidRPr="00E37D50">
        <w:rPr>
          <w:lang w:val="en-US"/>
        </w:rPr>
        <w:t xml:space="preserve">is adopted by the TGA </w:t>
      </w:r>
      <w:r w:rsidR="00332D78">
        <w:rPr>
          <w:lang w:val="en-US"/>
        </w:rPr>
        <w:t>by reference</w:t>
      </w:r>
      <w:r w:rsidRPr="00E37D50">
        <w:rPr>
          <w:lang w:val="en-US"/>
        </w:rPr>
        <w:t xml:space="preserve"> in the Regulations and </w:t>
      </w:r>
      <w:r w:rsidR="00332D78">
        <w:rPr>
          <w:lang w:val="en-US"/>
        </w:rPr>
        <w:t xml:space="preserve">the </w:t>
      </w:r>
      <w:r w:rsidRPr="00E37D50">
        <w:rPr>
          <w:lang w:val="en-US"/>
        </w:rPr>
        <w:t>Excluded Goods Determination</w:t>
      </w:r>
      <w:r w:rsidR="00831273">
        <w:rPr>
          <w:lang w:val="en-US"/>
        </w:rPr>
        <w:t>)</w:t>
      </w:r>
      <w:r w:rsidRPr="00E37D50">
        <w:rPr>
          <w:lang w:val="en-US"/>
        </w:rPr>
        <w:t>.</w:t>
      </w:r>
    </w:p>
    <w:p w14:paraId="48076E79" w14:textId="48C44AEC" w:rsidR="00E37D50" w:rsidRPr="00E37D50" w:rsidRDefault="00E37D50" w:rsidP="00E37D50">
      <w:pPr>
        <w:widowControl w:val="0"/>
        <w:autoSpaceDE w:val="0"/>
        <w:autoSpaceDN w:val="0"/>
        <w:spacing w:before="120" w:after="0"/>
        <w:ind w:right="315"/>
        <w:rPr>
          <w:rFonts w:eastAsia="Arial" w:cs="Arial"/>
          <w:lang w:val="en-US"/>
        </w:rPr>
      </w:pPr>
      <w:r w:rsidRPr="00E37D50">
        <w:rPr>
          <w:rFonts w:eastAsia="Arial" w:cs="Arial"/>
          <w:lang w:val="en-US"/>
        </w:rPr>
        <w:t xml:space="preserve">It is the legal responsibility of each sponsor to ensure that their sunscreen is safe for the purposes for which it is to be used. Listed therapeutic sunscreens are also required to be manufactured under the principles of </w:t>
      </w:r>
      <w:hyperlink r:id="rId18">
        <w:r w:rsidRPr="00E37D50">
          <w:rPr>
            <w:rFonts w:eastAsia="Arial" w:cs="Arial"/>
            <w:color w:val="0000FF"/>
            <w:u w:val="single" w:color="0000FF"/>
            <w:lang w:val="en-US"/>
          </w:rPr>
          <w:t>Good Manufacturing Practice</w:t>
        </w:r>
        <w:r w:rsidRPr="00E37D50">
          <w:rPr>
            <w:rFonts w:eastAsia="Arial" w:cs="Arial"/>
            <w:lang w:val="en-US"/>
          </w:rPr>
          <w:t>,</w:t>
        </w:r>
      </w:hyperlink>
      <w:r w:rsidRPr="00E37D50">
        <w:rPr>
          <w:rFonts w:eastAsia="Arial" w:cs="Arial"/>
          <w:lang w:val="en-US"/>
        </w:rPr>
        <w:t xml:space="preserve"> and sponsors must have an appropriate</w:t>
      </w:r>
      <w:r w:rsidRPr="00E37D50">
        <w:rPr>
          <w:rFonts w:eastAsia="Arial" w:cs="Arial"/>
          <w:spacing w:val="-4"/>
          <w:lang w:val="en-US"/>
        </w:rPr>
        <w:t xml:space="preserve"> </w:t>
      </w:r>
      <w:r w:rsidRPr="00E37D50">
        <w:rPr>
          <w:rFonts w:eastAsia="Arial" w:cs="Arial"/>
          <w:lang w:val="en-US"/>
        </w:rPr>
        <w:t>system</w:t>
      </w:r>
      <w:r w:rsidRPr="00E37D50">
        <w:rPr>
          <w:rFonts w:eastAsia="Arial" w:cs="Arial"/>
          <w:spacing w:val="-4"/>
          <w:lang w:val="en-US"/>
        </w:rPr>
        <w:t xml:space="preserve"> </w:t>
      </w:r>
      <w:r w:rsidRPr="00E37D50">
        <w:rPr>
          <w:rFonts w:eastAsia="Arial" w:cs="Arial"/>
          <w:lang w:val="en-US"/>
        </w:rPr>
        <w:t>of</w:t>
      </w:r>
      <w:r w:rsidRPr="00E37D50">
        <w:rPr>
          <w:rFonts w:eastAsia="Arial" w:cs="Arial"/>
          <w:spacing w:val="-2"/>
          <w:lang w:val="en-US"/>
        </w:rPr>
        <w:t xml:space="preserve"> </w:t>
      </w:r>
      <w:hyperlink r:id="rId19">
        <w:r w:rsidRPr="00E37D50">
          <w:rPr>
            <w:rFonts w:eastAsia="Arial" w:cs="Arial"/>
            <w:color w:val="0000FF"/>
            <w:u w:val="single" w:color="0000FF"/>
            <w:lang w:val="en-US"/>
          </w:rPr>
          <w:t>pharmacovigilance</w:t>
        </w:r>
      </w:hyperlink>
      <w:r w:rsidRPr="00E37D50">
        <w:rPr>
          <w:rFonts w:eastAsia="Arial" w:cs="Arial"/>
          <w:color w:val="0000FF"/>
          <w:spacing w:val="-2"/>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report</w:t>
      </w:r>
      <w:r w:rsidRPr="00E37D50">
        <w:rPr>
          <w:rFonts w:eastAsia="Arial" w:cs="Arial"/>
          <w:spacing w:val="-4"/>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TGA</w:t>
      </w:r>
      <w:r w:rsidRPr="00E37D50">
        <w:rPr>
          <w:rFonts w:eastAsia="Arial" w:cs="Arial"/>
          <w:spacing w:val="-5"/>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reactions</w:t>
      </w:r>
      <w:r w:rsidRPr="00E37D50">
        <w:rPr>
          <w:rFonts w:eastAsia="Arial" w:cs="Arial"/>
          <w:spacing w:val="-3"/>
          <w:lang w:val="en-US"/>
        </w:rPr>
        <w:t xml:space="preserve"> </w:t>
      </w:r>
      <w:r w:rsidRPr="00E37D50">
        <w:rPr>
          <w:rFonts w:eastAsia="Arial" w:cs="Arial"/>
          <w:lang w:val="en-US"/>
        </w:rPr>
        <w:t>experienced</w:t>
      </w:r>
      <w:r w:rsidRPr="00E37D50">
        <w:rPr>
          <w:rFonts w:eastAsia="Arial" w:cs="Arial"/>
          <w:spacing w:val="-4"/>
          <w:lang w:val="en-US"/>
        </w:rPr>
        <w:t xml:space="preserve"> </w:t>
      </w:r>
      <w:r w:rsidRPr="00E37D50">
        <w:rPr>
          <w:rFonts w:eastAsia="Arial" w:cs="Arial"/>
          <w:lang w:val="en-US"/>
        </w:rPr>
        <w:t xml:space="preserve">by users. The requirements for therapeutic sunscreens are described in the </w:t>
      </w:r>
      <w:hyperlink r:id="rId20">
        <w:r w:rsidRPr="00E37D50">
          <w:rPr>
            <w:rFonts w:eastAsia="Arial" w:cs="Arial"/>
            <w:color w:val="0000FF"/>
            <w:u w:val="single" w:color="0000FF"/>
            <w:lang w:val="en-US"/>
          </w:rPr>
          <w:t>Australian Regulatory</w:t>
        </w:r>
      </w:hyperlink>
      <w:r w:rsidRPr="00E37D50">
        <w:rPr>
          <w:rFonts w:eastAsia="Arial" w:cs="Arial"/>
          <w:color w:val="0000FF"/>
          <w:lang w:val="en-US"/>
        </w:rPr>
        <w:t xml:space="preserve"> </w:t>
      </w:r>
      <w:hyperlink r:id="rId21">
        <w:r w:rsidRPr="00E37D50">
          <w:rPr>
            <w:rFonts w:eastAsia="Arial" w:cs="Arial"/>
            <w:color w:val="0000FF"/>
            <w:u w:val="single" w:color="0000FF"/>
            <w:lang w:val="en-US"/>
          </w:rPr>
          <w:t>Guid</w:t>
        </w:r>
        <w:r w:rsidR="009932EC">
          <w:rPr>
            <w:rFonts w:eastAsia="Arial" w:cs="Arial"/>
            <w:color w:val="0000FF"/>
            <w:u w:val="single" w:color="0000FF"/>
            <w:lang w:val="en-US"/>
          </w:rPr>
          <w:t>elines</w:t>
        </w:r>
        <w:r w:rsidRPr="00E37D50">
          <w:rPr>
            <w:rFonts w:eastAsia="Arial" w:cs="Arial"/>
            <w:color w:val="0000FF"/>
            <w:u w:val="single" w:color="0000FF"/>
            <w:lang w:val="en-US"/>
          </w:rPr>
          <w:t xml:space="preserve"> for Sunscreens</w:t>
        </w:r>
      </w:hyperlink>
      <w:r w:rsidRPr="00E37D50">
        <w:rPr>
          <w:rFonts w:eastAsia="Arial" w:cs="Arial"/>
          <w:color w:val="0000FF"/>
          <w:lang w:val="en-US"/>
        </w:rPr>
        <w:t xml:space="preserve"> </w:t>
      </w:r>
      <w:r w:rsidRPr="00E37D50">
        <w:rPr>
          <w:rFonts w:eastAsia="Arial" w:cs="Arial"/>
          <w:lang w:val="en-US"/>
        </w:rPr>
        <w:t>(ARGS).</w:t>
      </w:r>
    </w:p>
    <w:p w14:paraId="6025F16B" w14:textId="77777777" w:rsidR="00E37D50" w:rsidRPr="00E37D50" w:rsidRDefault="00E37D50" w:rsidP="00E37D50">
      <w:pPr>
        <w:widowControl w:val="0"/>
        <w:autoSpaceDE w:val="0"/>
        <w:autoSpaceDN w:val="0"/>
        <w:spacing w:before="117" w:after="0"/>
        <w:ind w:right="315"/>
        <w:rPr>
          <w:rFonts w:eastAsia="Arial" w:cs="Arial"/>
          <w:lang w:val="en-US"/>
        </w:rPr>
      </w:pPr>
      <w:r w:rsidRPr="00E37D50">
        <w:rPr>
          <w:rFonts w:eastAsia="Arial" w:cs="Arial"/>
          <w:lang w:val="en-US"/>
        </w:rPr>
        <w:t>If a sunscreen does not meet the eligibility criteria for listing in the ARTG provided by Schedule 4 to the</w:t>
      </w:r>
      <w:r w:rsidRPr="00E37D50">
        <w:rPr>
          <w:rFonts w:eastAsia="Arial" w:cs="Arial"/>
          <w:spacing w:val="-4"/>
          <w:lang w:val="en-US"/>
        </w:rPr>
        <w:t xml:space="preserve"> </w:t>
      </w:r>
      <w:r w:rsidRPr="00E37D50">
        <w:rPr>
          <w:rFonts w:eastAsia="Arial" w:cs="Arial"/>
          <w:lang w:val="en-US"/>
        </w:rPr>
        <w:t>Regulations</w:t>
      </w:r>
      <w:r w:rsidRPr="00E37D50">
        <w:rPr>
          <w:rFonts w:eastAsia="Arial" w:cs="Arial"/>
          <w:spacing w:val="-3"/>
          <w:lang w:val="en-US"/>
        </w:rPr>
        <w:t xml:space="preserve"> </w:t>
      </w:r>
      <w:r w:rsidRPr="00E37D50">
        <w:rPr>
          <w:rFonts w:eastAsia="Arial" w:cs="Arial"/>
          <w:lang w:val="en-US"/>
        </w:rPr>
        <w:t>(e.g.</w:t>
      </w:r>
      <w:r w:rsidRPr="00E37D50">
        <w:rPr>
          <w:rFonts w:eastAsia="Arial" w:cs="Arial"/>
          <w:spacing w:val="-2"/>
          <w:lang w:val="en-US"/>
        </w:rPr>
        <w:t xml:space="preserve"> </w:t>
      </w:r>
      <w:r w:rsidRPr="00E37D50">
        <w:rPr>
          <w:rFonts w:eastAsia="Arial" w:cs="Arial"/>
          <w:lang w:val="en-US"/>
        </w:rPr>
        <w:t>it</w:t>
      </w:r>
      <w:r w:rsidRPr="00E37D50">
        <w:rPr>
          <w:rFonts w:eastAsia="Arial" w:cs="Arial"/>
          <w:spacing w:val="-4"/>
          <w:lang w:val="en-US"/>
        </w:rPr>
        <w:t xml:space="preserve"> </w:t>
      </w:r>
      <w:r w:rsidRPr="00E37D50">
        <w:rPr>
          <w:rFonts w:eastAsia="Arial" w:cs="Arial"/>
          <w:lang w:val="en-US"/>
        </w:rPr>
        <w:t>contains ingredients</w:t>
      </w:r>
      <w:r w:rsidRPr="00E37D50">
        <w:rPr>
          <w:rFonts w:eastAsia="Arial" w:cs="Arial"/>
          <w:spacing w:val="-3"/>
          <w:lang w:val="en-US"/>
        </w:rPr>
        <w:t xml:space="preserve"> </w:t>
      </w:r>
      <w:r w:rsidRPr="00E37D50">
        <w:rPr>
          <w:rFonts w:eastAsia="Arial" w:cs="Arial"/>
          <w:lang w:val="en-US"/>
        </w:rPr>
        <w:t>that</w:t>
      </w:r>
      <w:r w:rsidRPr="00E37D50">
        <w:rPr>
          <w:rFonts w:eastAsia="Arial" w:cs="Arial"/>
          <w:spacing w:val="-4"/>
          <w:lang w:val="en-US"/>
        </w:rPr>
        <w:t xml:space="preserve"> </w:t>
      </w:r>
      <w:r w:rsidRPr="00E37D50">
        <w:rPr>
          <w:rFonts w:eastAsia="Arial" w:cs="Arial"/>
          <w:lang w:val="en-US"/>
        </w:rPr>
        <w:t>are</w:t>
      </w:r>
      <w:r w:rsidRPr="00E37D50">
        <w:rPr>
          <w:rFonts w:eastAsia="Arial" w:cs="Arial"/>
          <w:spacing w:val="-4"/>
          <w:lang w:val="en-US"/>
        </w:rPr>
        <w:t xml:space="preserve"> </w:t>
      </w:r>
      <w:r w:rsidRPr="00E37D50">
        <w:rPr>
          <w:rFonts w:eastAsia="Arial" w:cs="Arial"/>
          <w:lang w:val="en-US"/>
        </w:rPr>
        <w:t>not</w:t>
      </w:r>
      <w:r w:rsidRPr="00E37D50">
        <w:rPr>
          <w:rFonts w:eastAsia="Arial" w:cs="Arial"/>
          <w:spacing w:val="-4"/>
          <w:lang w:val="en-US"/>
        </w:rPr>
        <w:t xml:space="preserve"> </w:t>
      </w:r>
      <w:r w:rsidRPr="00E37D50">
        <w:rPr>
          <w:rFonts w:eastAsia="Arial" w:cs="Arial"/>
          <w:lang w:val="en-US"/>
        </w:rPr>
        <w:t>permitted</w:t>
      </w:r>
      <w:r w:rsidRPr="00E37D50">
        <w:rPr>
          <w:rFonts w:eastAsia="Arial" w:cs="Arial"/>
          <w:spacing w:val="-4"/>
          <w:lang w:val="en-US"/>
        </w:rPr>
        <w:t xml:space="preserve"> </w:t>
      </w:r>
      <w:r w:rsidRPr="00E37D50">
        <w:rPr>
          <w:rFonts w:eastAsia="Arial" w:cs="Arial"/>
          <w:lang w:val="en-US"/>
        </w:rPr>
        <w:t>for</w:t>
      </w:r>
      <w:r w:rsidRPr="00E37D50">
        <w:rPr>
          <w:rFonts w:eastAsia="Arial" w:cs="Arial"/>
          <w:spacing w:val="-1"/>
          <w:lang w:val="en-US"/>
        </w:rPr>
        <w:t xml:space="preserve"> </w:t>
      </w:r>
      <w:r w:rsidRPr="00E37D50">
        <w:rPr>
          <w:rFonts w:eastAsia="Arial" w:cs="Arial"/>
          <w:lang w:val="en-US"/>
        </w:rPr>
        <w:t>use</w:t>
      </w:r>
      <w:r w:rsidRPr="00E37D50">
        <w:rPr>
          <w:rFonts w:eastAsia="Arial" w:cs="Arial"/>
          <w:spacing w:val="-4"/>
          <w:lang w:val="en-US"/>
        </w:rPr>
        <w:t xml:space="preserve"> </w:t>
      </w:r>
      <w:r w:rsidRPr="00E37D50">
        <w:rPr>
          <w:rFonts w:eastAsia="Arial" w:cs="Arial"/>
          <w:lang w:val="en-US"/>
        </w:rPr>
        <w:t>in</w:t>
      </w:r>
      <w:r w:rsidRPr="00E37D50">
        <w:rPr>
          <w:rFonts w:eastAsia="Arial" w:cs="Arial"/>
          <w:spacing w:val="-4"/>
          <w:lang w:val="en-US"/>
        </w:rPr>
        <w:t xml:space="preserve"> </w:t>
      </w:r>
      <w:r w:rsidRPr="00E37D50">
        <w:rPr>
          <w:rFonts w:eastAsia="Arial" w:cs="Arial"/>
          <w:lang w:val="en-US"/>
        </w:rPr>
        <w:t>listed medicines),</w:t>
      </w:r>
      <w:r w:rsidRPr="00E37D50">
        <w:rPr>
          <w:rFonts w:eastAsia="Arial" w:cs="Arial"/>
          <w:spacing w:val="-4"/>
          <w:lang w:val="en-US"/>
        </w:rPr>
        <w:t xml:space="preserve"> </w:t>
      </w:r>
      <w:r w:rsidRPr="00E37D50">
        <w:rPr>
          <w:rFonts w:eastAsia="Arial" w:cs="Arial"/>
          <w:lang w:val="en-US"/>
        </w:rPr>
        <w:t>then</w:t>
      </w:r>
      <w:r w:rsidRPr="00E37D50">
        <w:rPr>
          <w:rFonts w:eastAsia="Arial" w:cs="Arial"/>
          <w:spacing w:val="-2"/>
          <w:lang w:val="en-US"/>
        </w:rPr>
        <w:t xml:space="preserve"> </w:t>
      </w:r>
      <w:r w:rsidRPr="00E37D50">
        <w:rPr>
          <w:rFonts w:eastAsia="Arial" w:cs="Arial"/>
          <w:lang w:val="en-US"/>
        </w:rPr>
        <w:t>it is required to be included in the ARTG as a registered good and undergo a full TGA pre-market evaluation of safety, quality, and efficacy.</w:t>
      </w:r>
    </w:p>
    <w:p w14:paraId="2AAB916E" w14:textId="77777777" w:rsidR="00E37D50" w:rsidRPr="00E37D50" w:rsidRDefault="00E37D50" w:rsidP="00E37D50">
      <w:pPr>
        <w:widowControl w:val="0"/>
        <w:autoSpaceDE w:val="0"/>
        <w:autoSpaceDN w:val="0"/>
        <w:spacing w:before="120" w:after="0"/>
        <w:ind w:right="315"/>
        <w:rPr>
          <w:rFonts w:eastAsia="Arial" w:cs="Arial"/>
          <w:lang w:val="en-US"/>
        </w:rPr>
      </w:pPr>
      <w:r w:rsidRPr="00E37D50">
        <w:rPr>
          <w:rFonts w:eastAsia="Arial" w:cs="Arial"/>
          <w:lang w:val="en-US"/>
        </w:rPr>
        <w:t>Many</w:t>
      </w:r>
      <w:r w:rsidRPr="00E37D50">
        <w:rPr>
          <w:rFonts w:eastAsia="Arial" w:cs="Arial"/>
          <w:spacing w:val="-4"/>
          <w:lang w:val="en-US"/>
        </w:rPr>
        <w:t xml:space="preserve"> </w:t>
      </w:r>
      <w:r w:rsidRPr="00E37D50">
        <w:rPr>
          <w:rFonts w:eastAsia="Arial" w:cs="Arial"/>
          <w:lang w:val="en-US"/>
        </w:rPr>
        <w:t>overseas</w:t>
      </w:r>
      <w:r w:rsidRPr="00E37D50">
        <w:rPr>
          <w:rFonts w:eastAsia="Arial" w:cs="Arial"/>
          <w:spacing w:val="-4"/>
          <w:lang w:val="en-US"/>
        </w:rPr>
        <w:t xml:space="preserve"> </w:t>
      </w:r>
      <w:r w:rsidRPr="00E37D50">
        <w:rPr>
          <w:rFonts w:eastAsia="Arial" w:cs="Arial"/>
          <w:lang w:val="en-US"/>
        </w:rPr>
        <w:t>jurisdictions</w:t>
      </w:r>
      <w:r w:rsidRPr="00E37D50">
        <w:rPr>
          <w:rFonts w:eastAsia="Arial" w:cs="Arial"/>
          <w:spacing w:val="-4"/>
          <w:lang w:val="en-US"/>
        </w:rPr>
        <w:t xml:space="preserve"> </w:t>
      </w:r>
      <w:r w:rsidRPr="00E37D50">
        <w:rPr>
          <w:rFonts w:eastAsia="Arial" w:cs="Arial"/>
          <w:lang w:val="en-US"/>
        </w:rPr>
        <w:t>(such</w:t>
      </w:r>
      <w:r w:rsidRPr="00E37D50">
        <w:rPr>
          <w:rFonts w:eastAsia="Arial" w:cs="Arial"/>
          <w:spacing w:val="-5"/>
          <w:lang w:val="en-US"/>
        </w:rPr>
        <w:t xml:space="preserve"> </w:t>
      </w:r>
      <w:r w:rsidRPr="00E37D50">
        <w:rPr>
          <w:rFonts w:eastAsia="Arial" w:cs="Arial"/>
          <w:lang w:val="en-US"/>
        </w:rPr>
        <w:t>as</w:t>
      </w:r>
      <w:r w:rsidRPr="00E37D50">
        <w:rPr>
          <w:rFonts w:eastAsia="Arial" w:cs="Arial"/>
          <w:spacing w:val="-4"/>
          <w:lang w:val="en-US"/>
        </w:rPr>
        <w:t xml:space="preserve"> </w:t>
      </w:r>
      <w:r w:rsidRPr="00E37D50">
        <w:rPr>
          <w:rFonts w:eastAsia="Arial" w:cs="Arial"/>
          <w:lang w:val="en-US"/>
        </w:rPr>
        <w:t>in</w:t>
      </w:r>
      <w:r w:rsidRPr="00E37D50">
        <w:rPr>
          <w:rFonts w:eastAsia="Arial" w:cs="Arial"/>
          <w:spacing w:val="-5"/>
          <w:lang w:val="en-US"/>
        </w:rPr>
        <w:t xml:space="preserve"> </w:t>
      </w:r>
      <w:r w:rsidRPr="00E37D50">
        <w:rPr>
          <w:rFonts w:eastAsia="Arial" w:cs="Arial"/>
          <w:lang w:val="en-US"/>
        </w:rPr>
        <w:t>the</w:t>
      </w:r>
      <w:r w:rsidRPr="00E37D50">
        <w:rPr>
          <w:rFonts w:eastAsia="Arial" w:cs="Arial"/>
          <w:spacing w:val="-3"/>
          <w:lang w:val="en-US"/>
        </w:rPr>
        <w:t xml:space="preserve"> </w:t>
      </w:r>
      <w:r w:rsidRPr="00E37D50">
        <w:rPr>
          <w:rFonts w:eastAsia="Arial" w:cs="Arial"/>
          <w:lang w:val="en-US"/>
        </w:rPr>
        <w:t>European Union)</w:t>
      </w:r>
      <w:r w:rsidRPr="00E37D50">
        <w:rPr>
          <w:rFonts w:eastAsia="Arial" w:cs="Arial"/>
          <w:spacing w:val="-4"/>
          <w:lang w:val="en-US"/>
        </w:rPr>
        <w:t xml:space="preserve"> </w:t>
      </w:r>
      <w:r w:rsidRPr="00E37D50">
        <w:rPr>
          <w:rFonts w:eastAsia="Arial" w:cs="Arial"/>
          <w:lang w:val="en-US"/>
        </w:rPr>
        <w:t>regulate</w:t>
      </w:r>
      <w:r w:rsidRPr="00E37D50">
        <w:rPr>
          <w:rFonts w:eastAsia="Arial" w:cs="Arial"/>
          <w:spacing w:val="-5"/>
          <w:lang w:val="en-US"/>
        </w:rPr>
        <w:t xml:space="preserve"> </w:t>
      </w:r>
      <w:r w:rsidRPr="00E37D50">
        <w:rPr>
          <w:rFonts w:eastAsia="Arial" w:cs="Arial"/>
          <w:lang w:val="en-US"/>
        </w:rPr>
        <w:t>sunscreens</w:t>
      </w:r>
      <w:r w:rsidRPr="00E37D50">
        <w:rPr>
          <w:rFonts w:eastAsia="Arial" w:cs="Arial"/>
          <w:spacing w:val="-1"/>
          <w:lang w:val="en-US"/>
        </w:rPr>
        <w:t xml:space="preserve"> </w:t>
      </w:r>
      <w:r w:rsidRPr="00E37D50">
        <w:rPr>
          <w:rFonts w:eastAsia="Arial" w:cs="Arial"/>
          <w:lang w:val="en-US"/>
        </w:rPr>
        <w:t>as</w:t>
      </w:r>
      <w:r w:rsidRPr="00E37D50">
        <w:rPr>
          <w:rFonts w:eastAsia="Arial" w:cs="Arial"/>
          <w:spacing w:val="-4"/>
          <w:lang w:val="en-US"/>
        </w:rPr>
        <w:t xml:space="preserve"> </w:t>
      </w:r>
      <w:r w:rsidRPr="00E37D50">
        <w:rPr>
          <w:rFonts w:eastAsia="Arial" w:cs="Arial"/>
          <w:lang w:val="en-US"/>
        </w:rPr>
        <w:t>cosmetics,</w:t>
      </w:r>
      <w:r w:rsidRPr="00E37D50">
        <w:rPr>
          <w:rFonts w:eastAsia="Arial" w:cs="Arial"/>
          <w:spacing w:val="-5"/>
          <w:lang w:val="en-US"/>
        </w:rPr>
        <w:t xml:space="preserve"> </w:t>
      </w:r>
      <w:r w:rsidRPr="00E37D50">
        <w:rPr>
          <w:rFonts w:eastAsia="Arial" w:cs="Arial"/>
          <w:lang w:val="en-US"/>
        </w:rPr>
        <w:t>and only permit them to make cosmetic claims. However, in Australia, therapeutic sunscreens providing SPF 30 or higher can make high-level therapeutic indications referring to the prevention of skin cancer, while cosmetic sunscreens cannot make such claims.</w:t>
      </w:r>
    </w:p>
    <w:p w14:paraId="2B91A466" w14:textId="4250E4E0" w:rsidR="00E37D50" w:rsidRPr="00E37D50" w:rsidRDefault="00E37D50" w:rsidP="00290E87">
      <w:pPr>
        <w:pStyle w:val="Heading3"/>
      </w:pPr>
      <w:bookmarkStart w:id="18" w:name="_Toc184730545"/>
      <w:r w:rsidRPr="00E37D50">
        <w:t xml:space="preserve">How ingredients in therapeutic sunscreens </w:t>
      </w:r>
      <w:r>
        <w:t xml:space="preserve">are </w:t>
      </w:r>
      <w:r w:rsidRPr="00E37D50">
        <w:t>regulated</w:t>
      </w:r>
      <w:bookmarkEnd w:id="18"/>
    </w:p>
    <w:p w14:paraId="0D5CAD9B" w14:textId="77777777" w:rsidR="00E37D50" w:rsidRPr="00E37D50" w:rsidRDefault="00E37D50" w:rsidP="00E37D50">
      <w:pPr>
        <w:widowControl w:val="0"/>
        <w:autoSpaceDE w:val="0"/>
        <w:autoSpaceDN w:val="0"/>
        <w:spacing w:before="118" w:after="0"/>
        <w:rPr>
          <w:rFonts w:eastAsia="Arial" w:cs="Arial"/>
          <w:lang w:val="en-US"/>
        </w:rPr>
      </w:pPr>
      <w:r w:rsidRPr="00E37D50">
        <w:rPr>
          <w:rFonts w:eastAsia="Arial" w:cs="Arial"/>
          <w:lang w:val="en-US"/>
        </w:rPr>
        <w:t xml:space="preserve">Sponsors of therapeutic sunscreens can only use pre-approved low risk ingredients included in the </w:t>
      </w:r>
      <w:hyperlink r:id="rId22" w:anchor="pi">
        <w:r w:rsidRPr="00E37D50">
          <w:rPr>
            <w:rFonts w:eastAsia="Arial" w:cs="Arial"/>
            <w:color w:val="0000FF"/>
            <w:u w:val="single" w:color="0000FF"/>
            <w:lang w:val="en-US"/>
          </w:rPr>
          <w:t>Therapeutic</w:t>
        </w:r>
        <w:r w:rsidRPr="00E37D50">
          <w:rPr>
            <w:rFonts w:eastAsia="Arial" w:cs="Arial"/>
            <w:color w:val="0000FF"/>
            <w:spacing w:val="-4"/>
            <w:u w:val="single" w:color="0000FF"/>
            <w:lang w:val="en-US"/>
          </w:rPr>
          <w:t xml:space="preserve"> </w:t>
        </w:r>
        <w:r w:rsidRPr="00E37D50">
          <w:rPr>
            <w:rFonts w:eastAsia="Arial" w:cs="Arial"/>
            <w:color w:val="0000FF"/>
            <w:u w:val="single" w:color="0000FF"/>
            <w:lang w:val="en-US"/>
          </w:rPr>
          <w:t>Goods</w:t>
        </w:r>
        <w:r w:rsidRPr="00E37D50">
          <w:rPr>
            <w:rFonts w:eastAsia="Arial" w:cs="Arial"/>
            <w:color w:val="0000FF"/>
            <w:spacing w:val="-4"/>
            <w:u w:val="single" w:color="0000FF"/>
            <w:lang w:val="en-US"/>
          </w:rPr>
          <w:t xml:space="preserve"> </w:t>
        </w:r>
        <w:r w:rsidRPr="00E37D50">
          <w:rPr>
            <w:rFonts w:eastAsia="Arial" w:cs="Arial"/>
            <w:color w:val="0000FF"/>
            <w:u w:val="single" w:color="0000FF"/>
            <w:lang w:val="en-US"/>
          </w:rPr>
          <w:t>(Permissible</w:t>
        </w:r>
        <w:r w:rsidRPr="00E37D50">
          <w:rPr>
            <w:rFonts w:eastAsia="Arial" w:cs="Arial"/>
            <w:color w:val="0000FF"/>
            <w:spacing w:val="-3"/>
            <w:u w:val="single" w:color="0000FF"/>
            <w:lang w:val="en-US"/>
          </w:rPr>
          <w:t xml:space="preserve"> </w:t>
        </w:r>
        <w:r w:rsidRPr="00E37D50">
          <w:rPr>
            <w:rFonts w:eastAsia="Arial" w:cs="Arial"/>
            <w:color w:val="0000FF"/>
            <w:u w:val="single" w:color="0000FF"/>
            <w:lang w:val="en-US"/>
          </w:rPr>
          <w:t>Ingredients)</w:t>
        </w:r>
        <w:r w:rsidRPr="00E37D50">
          <w:rPr>
            <w:rFonts w:eastAsia="Arial" w:cs="Arial"/>
            <w:color w:val="0000FF"/>
            <w:spacing w:val="-4"/>
            <w:u w:val="single" w:color="0000FF"/>
            <w:lang w:val="en-US"/>
          </w:rPr>
          <w:t xml:space="preserve"> </w:t>
        </w:r>
        <w:r w:rsidRPr="00E37D50">
          <w:rPr>
            <w:rFonts w:eastAsia="Arial" w:cs="Arial"/>
            <w:color w:val="0000FF"/>
            <w:u w:val="single" w:color="0000FF"/>
            <w:lang w:val="en-US"/>
          </w:rPr>
          <w:t>Determination</w:t>
        </w:r>
      </w:hyperlink>
      <w:r w:rsidRPr="00E37D50">
        <w:rPr>
          <w:rFonts w:eastAsia="Arial" w:cs="Arial"/>
          <w:color w:val="0000FF"/>
          <w:spacing w:val="-5"/>
          <w:lang w:val="en-US"/>
        </w:rPr>
        <w:t xml:space="preserve"> </w:t>
      </w:r>
      <w:r w:rsidRPr="00E37D50">
        <w:rPr>
          <w:rFonts w:eastAsia="Arial" w:cs="Arial"/>
          <w:lang w:val="en-US"/>
        </w:rPr>
        <w:t>for</w:t>
      </w:r>
      <w:r w:rsidRPr="00E37D50">
        <w:rPr>
          <w:rFonts w:eastAsia="Arial" w:cs="Arial"/>
          <w:spacing w:val="-2"/>
          <w:lang w:val="en-US"/>
        </w:rPr>
        <w:t xml:space="preserve"> </w:t>
      </w:r>
      <w:r w:rsidRPr="00E37D50">
        <w:rPr>
          <w:rFonts w:eastAsia="Arial" w:cs="Arial"/>
          <w:lang w:val="en-US"/>
        </w:rPr>
        <w:t>listed</w:t>
      </w:r>
      <w:r w:rsidRPr="00E37D50">
        <w:rPr>
          <w:rFonts w:eastAsia="Arial" w:cs="Arial"/>
          <w:spacing w:val="-5"/>
          <w:lang w:val="en-US"/>
        </w:rPr>
        <w:t xml:space="preserve"> </w:t>
      </w:r>
      <w:r w:rsidRPr="00E37D50">
        <w:rPr>
          <w:rFonts w:eastAsia="Arial" w:cs="Arial"/>
          <w:lang w:val="en-US"/>
        </w:rPr>
        <w:t>medicines.</w:t>
      </w:r>
      <w:r w:rsidRPr="00E37D50">
        <w:rPr>
          <w:rFonts w:eastAsia="Arial" w:cs="Arial"/>
          <w:spacing w:val="-5"/>
          <w:lang w:val="en-US"/>
        </w:rPr>
        <w:t xml:space="preserve"> </w:t>
      </w:r>
      <w:r w:rsidRPr="00E37D50">
        <w:rPr>
          <w:rFonts w:eastAsia="Arial" w:cs="Arial"/>
          <w:lang w:val="en-US"/>
        </w:rPr>
        <w:t>Any</w:t>
      </w:r>
      <w:r w:rsidRPr="00E37D50">
        <w:rPr>
          <w:rFonts w:eastAsia="Arial" w:cs="Arial"/>
          <w:spacing w:val="-4"/>
          <w:lang w:val="en-US"/>
        </w:rPr>
        <w:t xml:space="preserve"> </w:t>
      </w:r>
      <w:r w:rsidRPr="00E37D50">
        <w:rPr>
          <w:rFonts w:eastAsia="Arial" w:cs="Arial"/>
          <w:lang w:val="en-US"/>
        </w:rPr>
        <w:t>new</w:t>
      </w:r>
      <w:r w:rsidRPr="00E37D50">
        <w:rPr>
          <w:rFonts w:eastAsia="Arial" w:cs="Arial"/>
          <w:spacing w:val="-2"/>
          <w:lang w:val="en-US"/>
        </w:rPr>
        <w:t xml:space="preserve"> </w:t>
      </w:r>
      <w:r w:rsidRPr="00E37D50">
        <w:rPr>
          <w:rFonts w:eastAsia="Arial" w:cs="Arial"/>
          <w:lang w:val="en-US"/>
        </w:rPr>
        <w:t>ingredients must be evaluated for safety and quality and assessed as being low risk by the TGA before it can be added to this list.</w:t>
      </w:r>
    </w:p>
    <w:p w14:paraId="377CD0E7" w14:textId="49B15B64" w:rsidR="00E37D50" w:rsidRPr="00E37D50" w:rsidRDefault="00E37D50" w:rsidP="00E37D50">
      <w:pPr>
        <w:widowControl w:val="0"/>
        <w:autoSpaceDE w:val="0"/>
        <w:autoSpaceDN w:val="0"/>
        <w:spacing w:before="121" w:after="0" w:line="240" w:lineRule="auto"/>
        <w:ind w:right="372"/>
        <w:rPr>
          <w:rFonts w:eastAsia="Arial" w:cs="Arial"/>
          <w:lang w:val="en-US"/>
        </w:rPr>
      </w:pPr>
      <w:r w:rsidRPr="00E37D50">
        <w:rPr>
          <w:rFonts w:eastAsia="Arial" w:cs="Arial"/>
          <w:color w:val="232323"/>
          <w:lang w:val="en-US"/>
        </w:rPr>
        <w:t>The safety data for new ingredients must be comprehensive, covering both short-term (acute) and long-term (chronic) effects on human health and safety from exposure to the ingredients. The ARG</w:t>
      </w:r>
      <w:r w:rsidR="00332D78">
        <w:rPr>
          <w:rFonts w:eastAsia="Arial" w:cs="Arial"/>
          <w:color w:val="232323"/>
          <w:lang w:val="en-US"/>
        </w:rPr>
        <w:t>S</w:t>
      </w:r>
      <w:r w:rsidRPr="00E37D50">
        <w:rPr>
          <w:rFonts w:eastAsia="Arial" w:cs="Arial"/>
          <w:color w:val="232323"/>
          <w:lang w:val="en-US"/>
        </w:rPr>
        <w:t xml:space="preserve"> specify that sponsors must consider the safety</w:t>
      </w:r>
      <w:r w:rsidRPr="00E37D50">
        <w:rPr>
          <w:rFonts w:eastAsia="Arial" w:cs="Arial"/>
          <w:color w:val="232323"/>
          <w:spacing w:val="-3"/>
          <w:lang w:val="en-US"/>
        </w:rPr>
        <w:t xml:space="preserve"> </w:t>
      </w:r>
      <w:r w:rsidRPr="00E37D50">
        <w:rPr>
          <w:rFonts w:eastAsia="Arial" w:cs="Arial"/>
          <w:color w:val="232323"/>
          <w:lang w:val="en-US"/>
        </w:rPr>
        <w:t>of</w:t>
      </w:r>
      <w:r w:rsidRPr="00E37D50">
        <w:rPr>
          <w:rFonts w:eastAsia="Arial" w:cs="Arial"/>
          <w:color w:val="232323"/>
          <w:spacing w:val="-4"/>
          <w:lang w:val="en-US"/>
        </w:rPr>
        <w:t xml:space="preserve"> </w:t>
      </w:r>
      <w:r w:rsidRPr="00E37D50">
        <w:rPr>
          <w:rFonts w:eastAsia="Arial" w:cs="Arial"/>
          <w:color w:val="232323"/>
          <w:lang w:val="en-US"/>
        </w:rPr>
        <w:t>the</w:t>
      </w:r>
      <w:r w:rsidRPr="00E37D50">
        <w:rPr>
          <w:rFonts w:eastAsia="Arial" w:cs="Arial"/>
          <w:color w:val="232323"/>
          <w:spacing w:val="-4"/>
          <w:lang w:val="en-US"/>
        </w:rPr>
        <w:t xml:space="preserve"> </w:t>
      </w:r>
      <w:r w:rsidRPr="00E37D50">
        <w:rPr>
          <w:rFonts w:eastAsia="Arial" w:cs="Arial"/>
          <w:color w:val="232323"/>
          <w:lang w:val="en-US"/>
        </w:rPr>
        <w:t>substance</w:t>
      </w:r>
      <w:r w:rsidRPr="00E37D50">
        <w:rPr>
          <w:rFonts w:eastAsia="Arial" w:cs="Arial"/>
          <w:color w:val="232323"/>
          <w:spacing w:val="-2"/>
          <w:lang w:val="en-US"/>
        </w:rPr>
        <w:t xml:space="preserve"> </w:t>
      </w:r>
      <w:r w:rsidRPr="00E37D50">
        <w:rPr>
          <w:rFonts w:eastAsia="Arial" w:cs="Arial"/>
          <w:color w:val="232323"/>
          <w:lang w:val="en-US"/>
        </w:rPr>
        <w:t>across</w:t>
      </w:r>
      <w:r w:rsidRPr="00E37D50">
        <w:rPr>
          <w:rFonts w:eastAsia="Arial" w:cs="Arial"/>
          <w:color w:val="232323"/>
          <w:spacing w:val="-3"/>
          <w:lang w:val="en-US"/>
        </w:rPr>
        <w:t xml:space="preserve"> </w:t>
      </w:r>
      <w:r w:rsidRPr="00E37D50">
        <w:rPr>
          <w:rFonts w:eastAsia="Arial" w:cs="Arial"/>
          <w:color w:val="232323"/>
          <w:lang w:val="en-US"/>
        </w:rPr>
        <w:t>different</w:t>
      </w:r>
      <w:r w:rsidRPr="00E37D50">
        <w:rPr>
          <w:rFonts w:eastAsia="Arial" w:cs="Arial"/>
          <w:color w:val="232323"/>
          <w:spacing w:val="-4"/>
          <w:lang w:val="en-US"/>
        </w:rPr>
        <w:t xml:space="preserve"> </w:t>
      </w:r>
      <w:r w:rsidRPr="00E37D50">
        <w:rPr>
          <w:rFonts w:eastAsia="Arial" w:cs="Arial"/>
          <w:color w:val="232323"/>
          <w:lang w:val="en-US"/>
        </w:rPr>
        <w:t>population</w:t>
      </w:r>
      <w:r w:rsidRPr="00E37D50">
        <w:rPr>
          <w:rFonts w:eastAsia="Arial" w:cs="Arial"/>
          <w:color w:val="232323"/>
          <w:spacing w:val="-4"/>
          <w:lang w:val="en-US"/>
        </w:rPr>
        <w:t xml:space="preserve"> </w:t>
      </w:r>
      <w:r w:rsidRPr="00E37D50">
        <w:rPr>
          <w:rFonts w:eastAsia="Arial" w:cs="Arial"/>
          <w:color w:val="232323"/>
          <w:lang w:val="en-US"/>
        </w:rPr>
        <w:t>groups,</w:t>
      </w:r>
      <w:r w:rsidRPr="00E37D50">
        <w:rPr>
          <w:rFonts w:eastAsia="Arial" w:cs="Arial"/>
          <w:color w:val="232323"/>
          <w:spacing w:val="-4"/>
          <w:lang w:val="en-US"/>
        </w:rPr>
        <w:t xml:space="preserve"> </w:t>
      </w:r>
      <w:r w:rsidRPr="00E37D50">
        <w:rPr>
          <w:rFonts w:eastAsia="Arial" w:cs="Arial"/>
          <w:color w:val="232323"/>
          <w:lang w:val="en-US"/>
        </w:rPr>
        <w:t>as</w:t>
      </w:r>
      <w:r w:rsidRPr="00E37D50">
        <w:rPr>
          <w:rFonts w:eastAsia="Arial" w:cs="Arial"/>
          <w:color w:val="232323"/>
          <w:spacing w:val="-3"/>
          <w:lang w:val="en-US"/>
        </w:rPr>
        <w:t xml:space="preserve"> </w:t>
      </w:r>
      <w:r w:rsidRPr="00E37D50">
        <w:rPr>
          <w:rFonts w:eastAsia="Arial" w:cs="Arial"/>
          <w:color w:val="232323"/>
          <w:lang w:val="en-US"/>
        </w:rPr>
        <w:t>sunscreens are</w:t>
      </w:r>
      <w:r w:rsidRPr="00E37D50">
        <w:rPr>
          <w:rFonts w:eastAsia="Arial" w:cs="Arial"/>
          <w:color w:val="232323"/>
          <w:spacing w:val="-4"/>
          <w:lang w:val="en-US"/>
        </w:rPr>
        <w:t xml:space="preserve"> </w:t>
      </w:r>
      <w:r w:rsidRPr="00E37D50">
        <w:rPr>
          <w:rFonts w:eastAsia="Arial" w:cs="Arial"/>
          <w:color w:val="232323"/>
          <w:lang w:val="en-US"/>
        </w:rPr>
        <w:t>used</w:t>
      </w:r>
      <w:r w:rsidRPr="00E37D50">
        <w:rPr>
          <w:rFonts w:eastAsia="Arial" w:cs="Arial"/>
          <w:color w:val="232323"/>
          <w:spacing w:val="-4"/>
          <w:lang w:val="en-US"/>
        </w:rPr>
        <w:t xml:space="preserve"> </w:t>
      </w:r>
      <w:r w:rsidRPr="00E37D50">
        <w:rPr>
          <w:rFonts w:eastAsia="Arial" w:cs="Arial"/>
          <w:color w:val="232323"/>
          <w:lang w:val="en-US"/>
        </w:rPr>
        <w:t>by</w:t>
      </w:r>
      <w:r w:rsidRPr="00E37D50">
        <w:rPr>
          <w:rFonts w:eastAsia="Arial" w:cs="Arial"/>
          <w:color w:val="232323"/>
          <w:spacing w:val="-3"/>
          <w:lang w:val="en-US"/>
        </w:rPr>
        <w:t xml:space="preserve"> </w:t>
      </w:r>
      <w:r w:rsidRPr="00E37D50">
        <w:rPr>
          <w:rFonts w:eastAsia="Arial" w:cs="Arial"/>
          <w:color w:val="232323"/>
          <w:lang w:val="en-US"/>
        </w:rPr>
        <w:t>individuals</w:t>
      </w:r>
      <w:r w:rsidRPr="00E37D50">
        <w:rPr>
          <w:rFonts w:eastAsia="Arial" w:cs="Arial"/>
          <w:color w:val="232323"/>
          <w:spacing w:val="-3"/>
          <w:lang w:val="en-US"/>
        </w:rPr>
        <w:t xml:space="preserve"> </w:t>
      </w:r>
      <w:r w:rsidRPr="00E37D50">
        <w:rPr>
          <w:rFonts w:eastAsia="Arial" w:cs="Arial"/>
          <w:color w:val="232323"/>
          <w:lang w:val="en-US"/>
        </w:rPr>
        <w:t>of all ages, genders, and could be used frequently (daily) for extended periods.</w:t>
      </w:r>
    </w:p>
    <w:p w14:paraId="67D370E6" w14:textId="45C7F799" w:rsidR="00E37D50" w:rsidRPr="00831273" w:rsidRDefault="00E37D50" w:rsidP="00E37D50">
      <w:pPr>
        <w:widowControl w:val="0"/>
        <w:autoSpaceDE w:val="0"/>
        <w:autoSpaceDN w:val="0"/>
        <w:spacing w:before="118" w:after="0"/>
        <w:rPr>
          <w:rFonts w:eastAsia="Arial" w:cs="Arial"/>
          <w:lang w:val="en-US"/>
        </w:rPr>
      </w:pPr>
      <w:r w:rsidRPr="00E37D50">
        <w:rPr>
          <w:rFonts w:eastAsia="Arial" w:cs="Arial"/>
          <w:color w:val="232323"/>
          <w:lang w:val="en-US"/>
        </w:rPr>
        <w:t xml:space="preserve">The ARGS also refer to the </w:t>
      </w:r>
      <w:hyperlink r:id="rId23">
        <w:r w:rsidRPr="00E37D50">
          <w:rPr>
            <w:rFonts w:eastAsia="Arial" w:cs="Arial"/>
            <w:color w:val="0000FF"/>
            <w:u w:val="single" w:color="0000FF"/>
            <w:lang w:val="en-US"/>
          </w:rPr>
          <w:t>Application requirements for new substances in listed medicines</w:t>
        </w:r>
      </w:hyperlink>
      <w:r w:rsidRPr="00E37D50">
        <w:rPr>
          <w:rFonts w:eastAsia="Arial" w:cs="Arial"/>
          <w:color w:val="0000FF"/>
          <w:lang w:val="en-US"/>
        </w:rPr>
        <w:t xml:space="preserve"> </w:t>
      </w:r>
      <w:r w:rsidRPr="00E37D50">
        <w:rPr>
          <w:rFonts w:eastAsia="Arial" w:cs="Arial"/>
          <w:color w:val="232323"/>
          <w:lang w:val="en-US"/>
        </w:rPr>
        <w:t>(ARNS) for more detailed guidance. The ARNS provides guidance for assessing toxicological data for substances</w:t>
      </w:r>
      <w:r w:rsidRPr="00E37D50">
        <w:rPr>
          <w:rFonts w:eastAsia="Arial" w:cs="Arial"/>
          <w:color w:val="232323"/>
          <w:spacing w:val="-3"/>
          <w:lang w:val="en-US"/>
        </w:rPr>
        <w:t xml:space="preserve"> </w:t>
      </w:r>
      <w:r w:rsidRPr="00E37D50">
        <w:rPr>
          <w:rFonts w:eastAsia="Arial" w:cs="Arial"/>
          <w:color w:val="232323"/>
          <w:lang w:val="en-US"/>
        </w:rPr>
        <w:t>for</w:t>
      </w:r>
      <w:r w:rsidRPr="00E37D50">
        <w:rPr>
          <w:rFonts w:eastAsia="Arial" w:cs="Arial"/>
          <w:color w:val="232323"/>
          <w:spacing w:val="-3"/>
          <w:lang w:val="en-US"/>
        </w:rPr>
        <w:t xml:space="preserve"> </w:t>
      </w:r>
      <w:r w:rsidRPr="00E37D50">
        <w:rPr>
          <w:rFonts w:eastAsia="Arial" w:cs="Arial"/>
          <w:color w:val="232323"/>
          <w:lang w:val="en-US"/>
        </w:rPr>
        <w:t>dermal</w:t>
      </w:r>
      <w:r w:rsidRPr="00E37D50">
        <w:rPr>
          <w:rFonts w:eastAsia="Arial" w:cs="Arial"/>
          <w:color w:val="232323"/>
          <w:spacing w:val="-5"/>
          <w:lang w:val="en-US"/>
        </w:rPr>
        <w:t xml:space="preserve"> </w:t>
      </w:r>
      <w:r w:rsidRPr="00E37D50">
        <w:rPr>
          <w:rFonts w:eastAsia="Arial" w:cs="Arial"/>
          <w:color w:val="232323"/>
          <w:lang w:val="en-US"/>
        </w:rPr>
        <w:t>use,</w:t>
      </w:r>
      <w:r w:rsidRPr="00E37D50">
        <w:rPr>
          <w:rFonts w:eastAsia="Arial" w:cs="Arial"/>
          <w:color w:val="232323"/>
          <w:spacing w:val="-2"/>
          <w:lang w:val="en-US"/>
        </w:rPr>
        <w:t xml:space="preserve"> </w:t>
      </w:r>
      <w:r w:rsidRPr="00E37D50">
        <w:rPr>
          <w:rFonts w:eastAsia="Arial" w:cs="Arial"/>
          <w:color w:val="232323"/>
          <w:lang w:val="en-US"/>
        </w:rPr>
        <w:t>such</w:t>
      </w:r>
      <w:r w:rsidRPr="00E37D50">
        <w:rPr>
          <w:rFonts w:eastAsia="Arial" w:cs="Arial"/>
          <w:color w:val="232323"/>
          <w:spacing w:val="-4"/>
          <w:lang w:val="en-US"/>
        </w:rPr>
        <w:t xml:space="preserve"> </w:t>
      </w:r>
      <w:r w:rsidRPr="00E37D50">
        <w:rPr>
          <w:rFonts w:eastAsia="Arial" w:cs="Arial"/>
          <w:color w:val="232323"/>
          <w:lang w:val="en-US"/>
        </w:rPr>
        <w:t>as</w:t>
      </w:r>
      <w:r w:rsidRPr="00E37D50">
        <w:rPr>
          <w:rFonts w:eastAsia="Arial" w:cs="Arial"/>
          <w:color w:val="232323"/>
          <w:spacing w:val="-3"/>
          <w:lang w:val="en-US"/>
        </w:rPr>
        <w:t xml:space="preserve"> </w:t>
      </w:r>
      <w:r w:rsidRPr="00E37D50">
        <w:rPr>
          <w:rFonts w:eastAsia="Arial" w:cs="Arial"/>
          <w:color w:val="232323"/>
          <w:lang w:val="en-US"/>
        </w:rPr>
        <w:t>sunscreens,</w:t>
      </w:r>
      <w:r w:rsidRPr="00E37D50">
        <w:rPr>
          <w:rFonts w:eastAsia="Arial" w:cs="Arial"/>
          <w:color w:val="232323"/>
          <w:spacing w:val="-4"/>
          <w:lang w:val="en-US"/>
        </w:rPr>
        <w:t xml:space="preserve"> </w:t>
      </w:r>
      <w:r w:rsidRPr="00E37D50">
        <w:rPr>
          <w:rFonts w:eastAsia="Arial" w:cs="Arial"/>
          <w:color w:val="232323"/>
          <w:lang w:val="en-US"/>
        </w:rPr>
        <w:t>and</w:t>
      </w:r>
      <w:r w:rsidRPr="00E37D50">
        <w:rPr>
          <w:rFonts w:eastAsia="Arial" w:cs="Arial"/>
          <w:color w:val="232323"/>
          <w:spacing w:val="-4"/>
          <w:lang w:val="en-US"/>
        </w:rPr>
        <w:t xml:space="preserve"> </w:t>
      </w:r>
      <w:r w:rsidRPr="00E37D50">
        <w:rPr>
          <w:rFonts w:eastAsia="Arial" w:cs="Arial"/>
          <w:color w:val="232323"/>
          <w:lang w:val="en-US"/>
        </w:rPr>
        <w:t>references methods</w:t>
      </w:r>
      <w:r w:rsidRPr="00E37D50">
        <w:rPr>
          <w:rFonts w:eastAsia="Arial" w:cs="Arial"/>
          <w:color w:val="232323"/>
          <w:spacing w:val="-3"/>
          <w:lang w:val="en-US"/>
        </w:rPr>
        <w:t xml:space="preserve"> </w:t>
      </w:r>
      <w:r w:rsidRPr="00E37D50">
        <w:rPr>
          <w:rFonts w:eastAsia="Arial" w:cs="Arial"/>
          <w:color w:val="232323"/>
          <w:lang w:val="en-US"/>
        </w:rPr>
        <w:t>in</w:t>
      </w:r>
      <w:r w:rsidRPr="00E37D50">
        <w:rPr>
          <w:rFonts w:eastAsia="Arial" w:cs="Arial"/>
          <w:color w:val="232323"/>
          <w:spacing w:val="-4"/>
          <w:lang w:val="en-US"/>
        </w:rPr>
        <w:t xml:space="preserve"> </w:t>
      </w:r>
      <w:r w:rsidRPr="00E37D50">
        <w:rPr>
          <w:rFonts w:eastAsia="Arial" w:cs="Arial"/>
          <w:color w:val="232323"/>
          <w:lang w:val="en-US"/>
        </w:rPr>
        <w:t>the</w:t>
      </w:r>
      <w:r w:rsidRPr="00E37D50">
        <w:rPr>
          <w:rFonts w:eastAsia="Arial" w:cs="Arial"/>
          <w:color w:val="232323"/>
          <w:spacing w:val="-4"/>
          <w:lang w:val="en-US"/>
        </w:rPr>
        <w:t xml:space="preserve"> </w:t>
      </w:r>
      <w:r w:rsidRPr="00E37D50">
        <w:rPr>
          <w:rFonts w:eastAsia="Arial" w:cs="Arial"/>
          <w:color w:val="232323"/>
          <w:lang w:val="en-US"/>
        </w:rPr>
        <w:t>Notes</w:t>
      </w:r>
      <w:r w:rsidRPr="00E37D50">
        <w:rPr>
          <w:rFonts w:eastAsia="Arial" w:cs="Arial"/>
          <w:color w:val="232323"/>
          <w:spacing w:val="-3"/>
          <w:lang w:val="en-US"/>
        </w:rPr>
        <w:t xml:space="preserve"> </w:t>
      </w:r>
      <w:r w:rsidRPr="00E37D50">
        <w:rPr>
          <w:rFonts w:eastAsia="Arial" w:cs="Arial"/>
          <w:color w:val="232323"/>
          <w:lang w:val="en-US"/>
        </w:rPr>
        <w:t>of</w:t>
      </w:r>
      <w:r w:rsidRPr="00E37D50">
        <w:rPr>
          <w:rFonts w:eastAsia="Arial" w:cs="Arial"/>
          <w:color w:val="232323"/>
          <w:spacing w:val="-2"/>
          <w:lang w:val="en-US"/>
        </w:rPr>
        <w:t xml:space="preserve"> </w:t>
      </w:r>
      <w:r w:rsidRPr="00E37D50">
        <w:rPr>
          <w:rFonts w:eastAsia="Arial" w:cs="Arial"/>
          <w:color w:val="232323"/>
          <w:lang w:val="en-US"/>
        </w:rPr>
        <w:t>guidance</w:t>
      </w:r>
      <w:r w:rsidRPr="00E37D50">
        <w:rPr>
          <w:rFonts w:eastAsia="Arial" w:cs="Arial"/>
          <w:color w:val="232323"/>
          <w:spacing w:val="-4"/>
          <w:lang w:val="en-US"/>
        </w:rPr>
        <w:t xml:space="preserve"> </w:t>
      </w:r>
      <w:r w:rsidRPr="00E37D50">
        <w:rPr>
          <w:rFonts w:eastAsia="Arial" w:cs="Arial"/>
          <w:color w:val="232323"/>
          <w:lang w:val="en-US"/>
        </w:rPr>
        <w:t>for the testing of cosmetic ingredients and their risk assessment, 11th revision (</w:t>
      </w:r>
      <w:r w:rsidRPr="00E37D50">
        <w:rPr>
          <w:rFonts w:eastAsia="Arial" w:cs="Arial"/>
          <w:lang w:val="en-US"/>
        </w:rPr>
        <w:t>SCCS 2021</w:t>
      </w:r>
      <w:r w:rsidRPr="00E37D50">
        <w:rPr>
          <w:rFonts w:eastAsia="Arial" w:cs="Arial"/>
          <w:color w:val="232323"/>
          <w:lang w:val="en-US"/>
        </w:rPr>
        <w:t>)</w:t>
      </w:r>
      <w:r w:rsidR="00332D78">
        <w:rPr>
          <w:rFonts w:eastAsia="Arial" w:cs="Arial"/>
          <w:color w:val="232323"/>
          <w:lang w:val="en-US"/>
        </w:rPr>
        <w:t xml:space="preserve">. </w:t>
      </w:r>
      <w:r w:rsidRPr="00E37D50">
        <w:rPr>
          <w:rFonts w:eastAsia="Arial" w:cs="Arial"/>
          <w:color w:val="232323"/>
          <w:lang w:val="en-US"/>
        </w:rPr>
        <w:t xml:space="preserve">It also states that substances not restricted to adult use must discuss the relevance of Margin of Safety (MoS) calculations for children, considering the difference in skin surface area to </w:t>
      </w:r>
      <w:r w:rsidRPr="00E37D50">
        <w:rPr>
          <w:rFonts w:eastAsia="Arial" w:cs="Arial"/>
          <w:lang w:val="en-US"/>
        </w:rPr>
        <w:t>body weight ratio.</w:t>
      </w:r>
      <w:r w:rsidR="009932EC">
        <w:rPr>
          <w:rFonts w:eastAsia="Arial" w:cs="Arial"/>
          <w:lang w:val="en-US"/>
        </w:rPr>
        <w:t xml:space="preserve"> </w:t>
      </w:r>
      <w:r w:rsidRPr="00290E87">
        <w:rPr>
          <w:rFonts w:eastAsia="Arial" w:cs="Arial"/>
          <w:color w:val="232323"/>
          <w:lang w:val="en-US"/>
        </w:rPr>
        <w:t>Additionally, the ARNS mentions that limited safety data is required if a substance is not absorbed beyond</w:t>
      </w:r>
      <w:r w:rsidRPr="00E37D50">
        <w:rPr>
          <w:rFonts w:eastAsia="Arial" w:cs="Arial"/>
          <w:color w:val="232323"/>
          <w:lang w:val="en-US"/>
        </w:rPr>
        <w:t xml:space="preserve"> the stratum corneum and does not react with the skin in a hazardous way.</w:t>
      </w:r>
    </w:p>
    <w:p w14:paraId="3166E175" w14:textId="77777777" w:rsidR="00E37D50" w:rsidRPr="00E37D50" w:rsidRDefault="00E37D50" w:rsidP="00290E87">
      <w:pPr>
        <w:widowControl w:val="0"/>
        <w:autoSpaceDE w:val="0"/>
        <w:autoSpaceDN w:val="0"/>
        <w:spacing w:before="118" w:after="0"/>
        <w:rPr>
          <w:rFonts w:eastAsia="Arial" w:cs="Arial"/>
          <w:color w:val="232323"/>
          <w:lang w:val="en-US"/>
        </w:rPr>
      </w:pPr>
      <w:r w:rsidRPr="00E37D50">
        <w:rPr>
          <w:rFonts w:eastAsia="Arial" w:cs="Arial"/>
          <w:color w:val="232323"/>
          <w:lang w:val="en-US"/>
        </w:rPr>
        <w:t>This</w:t>
      </w:r>
      <w:r w:rsidRPr="00290E87">
        <w:rPr>
          <w:rFonts w:eastAsia="Arial" w:cs="Arial"/>
          <w:color w:val="232323"/>
          <w:lang w:val="en-US"/>
        </w:rPr>
        <w:t xml:space="preserve"> </w:t>
      </w:r>
      <w:r w:rsidRPr="00E37D50">
        <w:rPr>
          <w:rFonts w:eastAsia="Arial" w:cs="Arial"/>
          <w:color w:val="232323"/>
          <w:lang w:val="en-US"/>
        </w:rPr>
        <w:t>process</w:t>
      </w:r>
      <w:r w:rsidRPr="00290E87">
        <w:rPr>
          <w:rFonts w:eastAsia="Arial" w:cs="Arial"/>
          <w:color w:val="232323"/>
          <w:lang w:val="en-US"/>
        </w:rPr>
        <w:t xml:space="preserve"> </w:t>
      </w:r>
      <w:r w:rsidRPr="00E37D50">
        <w:rPr>
          <w:rFonts w:eastAsia="Arial" w:cs="Arial"/>
          <w:color w:val="232323"/>
          <w:lang w:val="en-US"/>
        </w:rPr>
        <w:t>allows</w:t>
      </w:r>
      <w:r w:rsidRPr="00290E87">
        <w:rPr>
          <w:rFonts w:eastAsia="Arial" w:cs="Arial"/>
          <w:color w:val="232323"/>
          <w:lang w:val="en-US"/>
        </w:rPr>
        <w:t xml:space="preserve"> </w:t>
      </w:r>
      <w:r w:rsidRPr="00E37D50">
        <w:rPr>
          <w:rFonts w:eastAsia="Arial" w:cs="Arial"/>
          <w:color w:val="232323"/>
          <w:lang w:val="en-US"/>
        </w:rPr>
        <w:t>the</w:t>
      </w:r>
      <w:r w:rsidRPr="00290E87">
        <w:rPr>
          <w:rFonts w:eastAsia="Arial" w:cs="Arial"/>
          <w:color w:val="232323"/>
          <w:lang w:val="en-US"/>
        </w:rPr>
        <w:t xml:space="preserve"> </w:t>
      </w:r>
      <w:r w:rsidRPr="00E37D50">
        <w:rPr>
          <w:rFonts w:eastAsia="Arial" w:cs="Arial"/>
          <w:color w:val="232323"/>
          <w:lang w:val="en-US"/>
        </w:rPr>
        <w:t>TGA</w:t>
      </w:r>
      <w:r w:rsidRPr="00290E87">
        <w:rPr>
          <w:rFonts w:eastAsia="Arial" w:cs="Arial"/>
          <w:color w:val="232323"/>
          <w:lang w:val="en-US"/>
        </w:rPr>
        <w:t xml:space="preserve"> </w:t>
      </w:r>
      <w:r w:rsidRPr="00E37D50">
        <w:rPr>
          <w:rFonts w:eastAsia="Arial" w:cs="Arial"/>
          <w:color w:val="232323"/>
          <w:lang w:val="en-US"/>
        </w:rPr>
        <w:t>to</w:t>
      </w:r>
      <w:r w:rsidRPr="00290E87">
        <w:rPr>
          <w:rFonts w:eastAsia="Arial" w:cs="Arial"/>
          <w:color w:val="232323"/>
          <w:lang w:val="en-US"/>
        </w:rPr>
        <w:t xml:space="preserve"> </w:t>
      </w:r>
      <w:r w:rsidRPr="00E37D50">
        <w:rPr>
          <w:rFonts w:eastAsia="Arial" w:cs="Arial"/>
          <w:color w:val="232323"/>
          <w:lang w:val="en-US"/>
        </w:rPr>
        <w:t>ascertain</w:t>
      </w:r>
      <w:r w:rsidRPr="00290E87">
        <w:rPr>
          <w:rFonts w:eastAsia="Arial" w:cs="Arial"/>
          <w:color w:val="232323"/>
          <w:lang w:val="en-US"/>
        </w:rPr>
        <w:t xml:space="preserve"> </w:t>
      </w:r>
      <w:r w:rsidRPr="00E37D50">
        <w:rPr>
          <w:rFonts w:eastAsia="Arial" w:cs="Arial"/>
          <w:color w:val="232323"/>
          <w:lang w:val="en-US"/>
        </w:rPr>
        <w:t>whether</w:t>
      </w:r>
      <w:r w:rsidRPr="00290E87">
        <w:rPr>
          <w:rFonts w:eastAsia="Arial" w:cs="Arial"/>
          <w:color w:val="232323"/>
          <w:lang w:val="en-US"/>
        </w:rPr>
        <w:t xml:space="preserve"> </w:t>
      </w:r>
      <w:r w:rsidRPr="00E37D50">
        <w:rPr>
          <w:rFonts w:eastAsia="Arial" w:cs="Arial"/>
          <w:color w:val="232323"/>
          <w:lang w:val="en-US"/>
        </w:rPr>
        <w:t>a</w:t>
      </w:r>
      <w:r w:rsidRPr="00290E87">
        <w:rPr>
          <w:rFonts w:eastAsia="Arial" w:cs="Arial"/>
          <w:color w:val="232323"/>
          <w:lang w:val="en-US"/>
        </w:rPr>
        <w:t xml:space="preserve"> </w:t>
      </w:r>
      <w:r w:rsidRPr="00E37D50">
        <w:rPr>
          <w:rFonts w:eastAsia="Arial" w:cs="Arial"/>
          <w:color w:val="232323"/>
          <w:lang w:val="en-US"/>
        </w:rPr>
        <w:t>substance</w:t>
      </w:r>
      <w:r w:rsidRPr="00290E87">
        <w:rPr>
          <w:rFonts w:eastAsia="Arial" w:cs="Arial"/>
          <w:color w:val="232323"/>
          <w:lang w:val="en-US"/>
        </w:rPr>
        <w:t xml:space="preserve"> </w:t>
      </w:r>
      <w:r w:rsidRPr="00E37D50">
        <w:rPr>
          <w:rFonts w:eastAsia="Arial" w:cs="Arial"/>
          <w:color w:val="232323"/>
          <w:lang w:val="en-US"/>
        </w:rPr>
        <w:t>presents</w:t>
      </w:r>
      <w:r w:rsidRPr="00290E87">
        <w:rPr>
          <w:rFonts w:eastAsia="Arial" w:cs="Arial"/>
          <w:color w:val="232323"/>
          <w:lang w:val="en-US"/>
        </w:rPr>
        <w:t xml:space="preserve"> </w:t>
      </w:r>
      <w:r w:rsidRPr="00E37D50">
        <w:rPr>
          <w:rFonts w:eastAsia="Arial" w:cs="Arial"/>
          <w:color w:val="232323"/>
          <w:lang w:val="en-US"/>
        </w:rPr>
        <w:t>a</w:t>
      </w:r>
      <w:r w:rsidRPr="00290E87">
        <w:rPr>
          <w:rFonts w:eastAsia="Arial" w:cs="Arial"/>
          <w:color w:val="232323"/>
          <w:lang w:val="en-US"/>
        </w:rPr>
        <w:t xml:space="preserve"> </w:t>
      </w:r>
      <w:r w:rsidRPr="00E37D50">
        <w:rPr>
          <w:rFonts w:eastAsia="Arial" w:cs="Arial"/>
          <w:color w:val="232323"/>
          <w:lang w:val="en-US"/>
        </w:rPr>
        <w:t>sufficiently</w:t>
      </w:r>
      <w:r w:rsidRPr="00290E87">
        <w:rPr>
          <w:rFonts w:eastAsia="Arial" w:cs="Arial"/>
          <w:color w:val="232323"/>
          <w:lang w:val="en-US"/>
        </w:rPr>
        <w:t xml:space="preserve"> </w:t>
      </w:r>
      <w:r w:rsidRPr="00E37D50">
        <w:rPr>
          <w:rFonts w:eastAsia="Arial" w:cs="Arial"/>
          <w:color w:val="232323"/>
          <w:lang w:val="en-US"/>
        </w:rPr>
        <w:t>low</w:t>
      </w:r>
      <w:r w:rsidRPr="00290E87">
        <w:rPr>
          <w:rFonts w:eastAsia="Arial" w:cs="Arial"/>
          <w:color w:val="232323"/>
          <w:lang w:val="en-US"/>
        </w:rPr>
        <w:t xml:space="preserve"> </w:t>
      </w:r>
      <w:r w:rsidRPr="00E37D50">
        <w:rPr>
          <w:rFonts w:eastAsia="Arial" w:cs="Arial"/>
          <w:color w:val="232323"/>
          <w:lang w:val="en-US"/>
        </w:rPr>
        <w:t>risk</w:t>
      </w:r>
      <w:r w:rsidRPr="00290E87">
        <w:rPr>
          <w:rFonts w:eastAsia="Arial" w:cs="Arial"/>
          <w:color w:val="232323"/>
          <w:lang w:val="en-US"/>
        </w:rPr>
        <w:t xml:space="preserve"> </w:t>
      </w:r>
      <w:r w:rsidRPr="00E37D50">
        <w:rPr>
          <w:rFonts w:eastAsia="Arial" w:cs="Arial"/>
          <w:color w:val="232323"/>
          <w:lang w:val="en-US"/>
        </w:rPr>
        <w:t>to</w:t>
      </w:r>
      <w:r w:rsidRPr="00290E87">
        <w:rPr>
          <w:rFonts w:eastAsia="Arial" w:cs="Arial"/>
          <w:color w:val="232323"/>
          <w:lang w:val="en-US"/>
        </w:rPr>
        <w:t xml:space="preserve"> </w:t>
      </w:r>
      <w:r w:rsidRPr="00E37D50">
        <w:rPr>
          <w:rFonts w:eastAsia="Arial" w:cs="Arial"/>
          <w:color w:val="232323"/>
          <w:lang w:val="en-US"/>
        </w:rPr>
        <w:t>be permissible for use in listed medicines.</w:t>
      </w:r>
    </w:p>
    <w:p w14:paraId="52E416BA" w14:textId="6AF8F714" w:rsidR="00E37D50" w:rsidRPr="00E37D50" w:rsidRDefault="00E37D50" w:rsidP="00F47305">
      <w:pPr>
        <w:pStyle w:val="Heading4"/>
      </w:pPr>
      <w:bookmarkStart w:id="19" w:name="_How_risk_for"/>
      <w:bookmarkStart w:id="20" w:name="_Toc184730546"/>
      <w:bookmarkEnd w:id="19"/>
      <w:r w:rsidRPr="00E37D50">
        <w:t xml:space="preserve">How risk </w:t>
      </w:r>
      <w:r w:rsidR="00B437A4">
        <w:t xml:space="preserve">for ingredients </w:t>
      </w:r>
      <w:r w:rsidR="00BA2E21">
        <w:t xml:space="preserve">is </w:t>
      </w:r>
      <w:r w:rsidRPr="00E37D50">
        <w:t>evaluated</w:t>
      </w:r>
      <w:bookmarkEnd w:id="20"/>
    </w:p>
    <w:p w14:paraId="7F46952A" w14:textId="0964C4A6" w:rsidR="00E37D50" w:rsidRDefault="00E37D50" w:rsidP="00E37D50">
      <w:pPr>
        <w:pStyle w:val="BodyText"/>
        <w:spacing w:before="140" w:line="259" w:lineRule="auto"/>
        <w:ind w:right="205"/>
      </w:pPr>
      <w:r>
        <w:t xml:space="preserve">Risk </w:t>
      </w:r>
      <w:r w:rsidRPr="00584706">
        <w:rPr>
          <w:lang w:val="en-AU"/>
        </w:rPr>
        <w:t>assessments</w:t>
      </w:r>
      <w:r>
        <w:t xml:space="preserve"> for sunscreen ingredients typically focus on long-term exposure to the ingredient, but</w:t>
      </w:r>
      <w:r>
        <w:rPr>
          <w:spacing w:val="-4"/>
        </w:rPr>
        <w:t xml:space="preserve"> </w:t>
      </w:r>
      <w:r>
        <w:t>they</w:t>
      </w:r>
      <w:r>
        <w:rPr>
          <w:spacing w:val="-3"/>
        </w:rPr>
        <w:t xml:space="preserve"> </w:t>
      </w:r>
      <w:r>
        <w:t>also</w:t>
      </w:r>
      <w:r>
        <w:rPr>
          <w:spacing w:val="-4"/>
        </w:rPr>
        <w:t xml:space="preserve"> </w:t>
      </w:r>
      <w:r w:rsidRPr="007816BA">
        <w:rPr>
          <w:lang w:val="en-AU"/>
        </w:rPr>
        <w:t>address</w:t>
      </w:r>
      <w:r>
        <w:rPr>
          <w:spacing w:val="-3"/>
        </w:rPr>
        <w:t xml:space="preserve"> </w:t>
      </w:r>
      <w:r>
        <w:t>acute</w:t>
      </w:r>
      <w:r>
        <w:rPr>
          <w:spacing w:val="-2"/>
        </w:rPr>
        <w:t xml:space="preserve"> </w:t>
      </w:r>
      <w:r>
        <w:t>safety</w:t>
      </w:r>
      <w:r>
        <w:rPr>
          <w:spacing w:val="-3"/>
        </w:rPr>
        <w:t xml:space="preserve"> </w:t>
      </w:r>
      <w:r>
        <w:t>concerns</w:t>
      </w:r>
      <w:r>
        <w:rPr>
          <w:spacing w:val="-3"/>
        </w:rPr>
        <w:t xml:space="preserve"> </w:t>
      </w:r>
      <w:r>
        <w:t>like</w:t>
      </w:r>
      <w:r>
        <w:rPr>
          <w:spacing w:val="-2"/>
        </w:rPr>
        <w:t xml:space="preserve"> </w:t>
      </w:r>
      <w:r>
        <w:t>potential</w:t>
      </w:r>
      <w:r>
        <w:rPr>
          <w:spacing w:val="-3"/>
        </w:rPr>
        <w:t xml:space="preserve"> </w:t>
      </w:r>
      <w:r>
        <w:t>skin</w:t>
      </w:r>
      <w:r>
        <w:rPr>
          <w:spacing w:val="-4"/>
        </w:rPr>
        <w:t xml:space="preserve"> </w:t>
      </w:r>
      <w:r>
        <w:t>irritation.</w:t>
      </w:r>
      <w:r>
        <w:rPr>
          <w:spacing w:val="-1"/>
        </w:rPr>
        <w:t xml:space="preserve"> </w:t>
      </w:r>
      <w:r>
        <w:t>The</w:t>
      </w:r>
      <w:r>
        <w:rPr>
          <w:spacing w:val="-4"/>
        </w:rPr>
        <w:t xml:space="preserve"> </w:t>
      </w:r>
      <w:r>
        <w:t>risks</w:t>
      </w:r>
      <w:r>
        <w:rPr>
          <w:spacing w:val="-3"/>
        </w:rPr>
        <w:t xml:space="preserve"> </w:t>
      </w:r>
      <w:r>
        <w:t>associated</w:t>
      </w:r>
      <w:r>
        <w:rPr>
          <w:spacing w:val="-2"/>
        </w:rPr>
        <w:t xml:space="preserve"> </w:t>
      </w:r>
      <w:r>
        <w:t>with</w:t>
      </w:r>
      <w:r>
        <w:rPr>
          <w:spacing w:val="-4"/>
        </w:rPr>
        <w:t xml:space="preserve"> </w:t>
      </w:r>
      <w:r>
        <w:t xml:space="preserve">use of ingredients are </w:t>
      </w:r>
      <w:r w:rsidRPr="009932EC">
        <w:rPr>
          <w:lang w:val="en-AU"/>
        </w:rPr>
        <w:t>characterised</w:t>
      </w:r>
      <w:r>
        <w:t xml:space="preserve"> by calculating the </w:t>
      </w:r>
      <w:hyperlink w:anchor="MoS" w:history="1">
        <w:r w:rsidRPr="00245C80">
          <w:rPr>
            <w:rStyle w:val="Hyperlink"/>
          </w:rPr>
          <w:t>Margin of Safety</w:t>
        </w:r>
      </w:hyperlink>
      <w:r>
        <w:rPr>
          <w:color w:val="0000FF"/>
        </w:rPr>
        <w:t xml:space="preserve"> </w:t>
      </w:r>
      <w:r>
        <w:t xml:space="preserve">(MoS), which compares the associated (health) hazards to the expected systemic (or internal) exposure of the ingredient. The MoS calculation helps ascertain the maximum safe concentration of an ingredient. The internal exposure dose is referred to as the </w:t>
      </w:r>
      <w:hyperlink w:anchor="SED" w:history="1">
        <w:r w:rsidRPr="00245C80">
          <w:rPr>
            <w:rStyle w:val="Hyperlink"/>
          </w:rPr>
          <w:t>Systemic Exposure Dose</w:t>
        </w:r>
      </w:hyperlink>
      <w:r>
        <w:rPr>
          <w:color w:val="0000FF"/>
        </w:rPr>
        <w:t xml:space="preserve"> </w:t>
      </w:r>
      <w:r>
        <w:t>or ‘SED’, which is the amount of an ingredient absorbed through the skin into the systemic circulation.</w:t>
      </w:r>
    </w:p>
    <w:p w14:paraId="7E7A39F4" w14:textId="0216547E" w:rsidR="00831273" w:rsidRPr="00E37D50" w:rsidRDefault="00831273" w:rsidP="00831273">
      <w:pPr>
        <w:widowControl w:val="0"/>
        <w:autoSpaceDE w:val="0"/>
        <w:autoSpaceDN w:val="0"/>
        <w:spacing w:before="120" w:after="0"/>
        <w:ind w:right="259"/>
        <w:rPr>
          <w:rFonts w:eastAsia="Arial" w:cs="Arial"/>
          <w:lang w:val="en-US"/>
        </w:rPr>
      </w:pPr>
      <w:r w:rsidRPr="00E37D50">
        <w:rPr>
          <w:rFonts w:eastAsia="Arial" w:cs="Arial"/>
          <w:lang w:val="en-US"/>
        </w:rPr>
        <w:t>When</w:t>
      </w:r>
      <w:r w:rsidRPr="00E37D50">
        <w:rPr>
          <w:rFonts w:eastAsia="Arial" w:cs="Arial"/>
          <w:spacing w:val="-3"/>
          <w:lang w:val="en-US"/>
        </w:rPr>
        <w:t xml:space="preserve"> </w:t>
      </w:r>
      <w:r w:rsidRPr="00E37D50">
        <w:rPr>
          <w:rFonts w:eastAsia="Arial" w:cs="Arial"/>
          <w:lang w:val="en-US"/>
        </w:rPr>
        <w:t>considering</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3"/>
          <w:lang w:val="en-US"/>
        </w:rPr>
        <w:t xml:space="preserve"> </w:t>
      </w:r>
      <w:r w:rsidRPr="00E37D50">
        <w:rPr>
          <w:rFonts w:eastAsia="Arial" w:cs="Arial"/>
          <w:lang w:val="en-US"/>
        </w:rPr>
        <w:t>risks</w:t>
      </w:r>
      <w:r w:rsidRPr="00E37D50">
        <w:rPr>
          <w:rFonts w:eastAsia="Arial" w:cs="Arial"/>
          <w:spacing w:val="-2"/>
          <w:lang w:val="en-US"/>
        </w:rPr>
        <w:t xml:space="preserve"> </w:t>
      </w:r>
      <w:r w:rsidRPr="00E37D50">
        <w:rPr>
          <w:rFonts w:eastAsia="Arial" w:cs="Arial"/>
          <w:lang w:val="en-US"/>
        </w:rPr>
        <w:t>to</w:t>
      </w:r>
      <w:r w:rsidRPr="00E37D50">
        <w:rPr>
          <w:rFonts w:eastAsia="Arial" w:cs="Arial"/>
          <w:spacing w:val="-3"/>
          <w:lang w:val="en-US"/>
        </w:rPr>
        <w:t xml:space="preserve"> </w:t>
      </w:r>
      <w:r w:rsidRPr="00E37D50">
        <w:rPr>
          <w:rFonts w:eastAsia="Arial" w:cs="Arial"/>
          <w:lang w:val="en-US"/>
        </w:rPr>
        <w:t>human</w:t>
      </w:r>
      <w:r w:rsidRPr="00E37D50">
        <w:rPr>
          <w:rFonts w:eastAsia="Arial" w:cs="Arial"/>
          <w:spacing w:val="-3"/>
          <w:lang w:val="en-US"/>
        </w:rPr>
        <w:t xml:space="preserve"> </w:t>
      </w:r>
      <w:r w:rsidRPr="00E37D50">
        <w:rPr>
          <w:rFonts w:eastAsia="Arial" w:cs="Arial"/>
          <w:lang w:val="en-US"/>
        </w:rPr>
        <w:t>health</w:t>
      </w:r>
      <w:r w:rsidRPr="00E37D50">
        <w:rPr>
          <w:rFonts w:eastAsia="Arial" w:cs="Arial"/>
          <w:spacing w:val="-3"/>
          <w:lang w:val="en-US"/>
        </w:rPr>
        <w:t xml:space="preserve"> </w:t>
      </w:r>
      <w:r w:rsidRPr="00E37D50">
        <w:rPr>
          <w:rFonts w:eastAsia="Arial" w:cs="Arial"/>
          <w:lang w:val="en-US"/>
        </w:rPr>
        <w:t>and</w:t>
      </w:r>
      <w:r w:rsidRPr="00E37D50">
        <w:rPr>
          <w:rFonts w:eastAsia="Arial" w:cs="Arial"/>
          <w:spacing w:val="-3"/>
          <w:lang w:val="en-US"/>
        </w:rPr>
        <w:t xml:space="preserve"> </w:t>
      </w:r>
      <w:r w:rsidRPr="00E37D50">
        <w:rPr>
          <w:rFonts w:eastAsia="Arial" w:cs="Arial"/>
          <w:lang w:val="en-US"/>
        </w:rPr>
        <w:t>safety</w:t>
      </w:r>
      <w:r w:rsidRPr="00E37D50">
        <w:rPr>
          <w:rFonts w:eastAsia="Arial" w:cs="Arial"/>
          <w:spacing w:val="-2"/>
          <w:lang w:val="en-US"/>
        </w:rPr>
        <w:t xml:space="preserve"> </w:t>
      </w:r>
      <w:r w:rsidRPr="00E37D50">
        <w:rPr>
          <w:rFonts w:eastAsia="Arial" w:cs="Arial"/>
          <w:lang w:val="en-US"/>
        </w:rPr>
        <w:t>from</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3"/>
          <w:lang w:val="en-US"/>
        </w:rPr>
        <w:t xml:space="preserve"> </w:t>
      </w:r>
      <w:r w:rsidRPr="00E37D50">
        <w:rPr>
          <w:rFonts w:eastAsia="Arial" w:cs="Arial"/>
          <w:lang w:val="en-US"/>
        </w:rPr>
        <w:t>use</w:t>
      </w:r>
      <w:r w:rsidRPr="00E37D50">
        <w:rPr>
          <w:rFonts w:eastAsia="Arial" w:cs="Arial"/>
          <w:spacing w:val="-1"/>
          <w:lang w:val="en-US"/>
        </w:rPr>
        <w:t xml:space="preserve"> </w:t>
      </w:r>
      <w:r w:rsidRPr="00E37D50">
        <w:rPr>
          <w:rFonts w:eastAsia="Arial" w:cs="Arial"/>
          <w:lang w:val="en-US"/>
        </w:rPr>
        <w:t>of</w:t>
      </w:r>
      <w:r w:rsidRPr="00E37D50">
        <w:rPr>
          <w:rFonts w:eastAsia="Arial" w:cs="Arial"/>
          <w:spacing w:val="-3"/>
          <w:lang w:val="en-US"/>
        </w:rPr>
        <w:t xml:space="preserve"> </w:t>
      </w:r>
      <w:r w:rsidRPr="00E37D50">
        <w:rPr>
          <w:rFonts w:eastAsia="Arial" w:cs="Arial"/>
          <w:lang w:val="en-US"/>
        </w:rPr>
        <w:t>substances</w:t>
      </w:r>
      <w:r w:rsidRPr="00E37D50">
        <w:rPr>
          <w:rFonts w:eastAsia="Arial" w:cs="Arial"/>
          <w:spacing w:val="-2"/>
          <w:lang w:val="en-US"/>
        </w:rPr>
        <w:t xml:space="preserve"> </w:t>
      </w:r>
      <w:r w:rsidRPr="00E37D50">
        <w:rPr>
          <w:rFonts w:eastAsia="Arial" w:cs="Arial"/>
          <w:lang w:val="en-US"/>
        </w:rPr>
        <w:t>in</w:t>
      </w:r>
      <w:r w:rsidRPr="00E37D50">
        <w:rPr>
          <w:rFonts w:eastAsia="Arial" w:cs="Arial"/>
          <w:spacing w:val="-3"/>
          <w:lang w:val="en-US"/>
        </w:rPr>
        <w:t xml:space="preserve"> </w:t>
      </w:r>
      <w:r w:rsidRPr="00E37D50">
        <w:rPr>
          <w:rFonts w:eastAsia="Arial" w:cs="Arial"/>
          <w:lang w:val="en-US"/>
        </w:rPr>
        <w:t xml:space="preserve">therapeutic goods, including sunscreens, it is essential to consider their use in the context of hazard and </w:t>
      </w:r>
      <w:r w:rsidRPr="00E37D50">
        <w:rPr>
          <w:rFonts w:eastAsia="Arial" w:cs="Arial"/>
          <w:spacing w:val="-2"/>
          <w:lang w:val="en-US"/>
        </w:rPr>
        <w:t>exposure.</w:t>
      </w:r>
      <w:r>
        <w:rPr>
          <w:rFonts w:eastAsia="Arial" w:cs="Arial"/>
          <w:spacing w:val="-2"/>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hazard</w:t>
      </w:r>
      <w:r w:rsidRPr="00E37D50">
        <w:rPr>
          <w:rFonts w:eastAsia="Arial" w:cs="Arial"/>
          <w:spacing w:val="-4"/>
          <w:lang w:val="en-US"/>
        </w:rPr>
        <w:t xml:space="preserve"> </w:t>
      </w:r>
      <w:r w:rsidRPr="00E37D50">
        <w:rPr>
          <w:rFonts w:eastAsia="Arial" w:cs="Arial"/>
          <w:lang w:val="en-US"/>
        </w:rPr>
        <w:t>of</w:t>
      </w:r>
      <w:r w:rsidRPr="00E37D50">
        <w:rPr>
          <w:rFonts w:eastAsia="Arial" w:cs="Arial"/>
          <w:spacing w:val="-2"/>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substance</w:t>
      </w:r>
      <w:r w:rsidRPr="00E37D50">
        <w:rPr>
          <w:rFonts w:eastAsia="Arial" w:cs="Arial"/>
          <w:spacing w:val="-2"/>
          <w:lang w:val="en-US"/>
        </w:rPr>
        <w:t xml:space="preserve"> </w:t>
      </w:r>
      <w:r w:rsidRPr="00E37D50">
        <w:rPr>
          <w:rFonts w:eastAsia="Arial" w:cs="Arial"/>
          <w:lang w:val="en-US"/>
        </w:rPr>
        <w:t>is</w:t>
      </w:r>
      <w:r w:rsidRPr="00E37D50">
        <w:rPr>
          <w:rFonts w:eastAsia="Arial" w:cs="Arial"/>
          <w:spacing w:val="-3"/>
          <w:lang w:val="en-US"/>
        </w:rPr>
        <w:t xml:space="preserve"> </w:t>
      </w:r>
      <w:r w:rsidRPr="00E37D50">
        <w:rPr>
          <w:rFonts w:eastAsia="Arial" w:cs="Arial"/>
          <w:lang w:val="en-US"/>
        </w:rPr>
        <w:t>defined</w:t>
      </w:r>
      <w:r w:rsidRPr="00E37D50">
        <w:rPr>
          <w:rFonts w:eastAsia="Arial" w:cs="Arial"/>
          <w:spacing w:val="-4"/>
          <w:lang w:val="en-US"/>
        </w:rPr>
        <w:t xml:space="preserve"> </w:t>
      </w:r>
      <w:r w:rsidRPr="00E37D50">
        <w:rPr>
          <w:rFonts w:eastAsia="Arial" w:cs="Arial"/>
          <w:lang w:val="en-US"/>
        </w:rPr>
        <w:t>by its</w:t>
      </w:r>
      <w:r w:rsidRPr="00E37D50">
        <w:rPr>
          <w:rFonts w:eastAsia="Arial" w:cs="Arial"/>
          <w:spacing w:val="-3"/>
          <w:lang w:val="en-US"/>
        </w:rPr>
        <w:t xml:space="preserve"> </w:t>
      </w:r>
      <w:r w:rsidRPr="00E37D50">
        <w:rPr>
          <w:rFonts w:eastAsia="Arial" w:cs="Arial"/>
          <w:lang w:val="en-US"/>
        </w:rPr>
        <w:t>intrinsic</w:t>
      </w:r>
      <w:r w:rsidRPr="00E37D50">
        <w:rPr>
          <w:rFonts w:eastAsia="Arial" w:cs="Arial"/>
          <w:spacing w:val="-3"/>
          <w:lang w:val="en-US"/>
        </w:rPr>
        <w:t xml:space="preserve"> </w:t>
      </w:r>
      <w:r w:rsidRPr="00E37D50">
        <w:rPr>
          <w:rFonts w:eastAsia="Arial" w:cs="Arial"/>
          <w:lang w:val="en-US"/>
        </w:rPr>
        <w:t>toxicity,</w:t>
      </w:r>
      <w:r w:rsidRPr="00E37D50">
        <w:rPr>
          <w:rFonts w:eastAsia="Arial" w:cs="Arial"/>
          <w:spacing w:val="-4"/>
          <w:lang w:val="en-US"/>
        </w:rPr>
        <w:t xml:space="preserve"> </w:t>
      </w:r>
      <w:r w:rsidR="00E33FA9">
        <w:rPr>
          <w:rFonts w:eastAsia="Arial" w:cs="Arial"/>
          <w:spacing w:val="-2"/>
          <w:lang w:val="en-US"/>
        </w:rPr>
        <w:t>ch</w:t>
      </w:r>
      <w:r w:rsidR="00115218">
        <w:rPr>
          <w:rFonts w:eastAsia="Arial" w:cs="Arial"/>
          <w:spacing w:val="-2"/>
          <w:lang w:val="en-US"/>
        </w:rPr>
        <w:t>a</w:t>
      </w:r>
      <w:r w:rsidR="00E33FA9">
        <w:rPr>
          <w:rFonts w:eastAsia="Arial" w:cs="Arial"/>
          <w:spacing w:val="-2"/>
          <w:lang w:val="en-US"/>
        </w:rPr>
        <w:t>r</w:t>
      </w:r>
      <w:r w:rsidR="00115218">
        <w:rPr>
          <w:rFonts w:eastAsia="Arial" w:cs="Arial"/>
          <w:spacing w:val="-2"/>
          <w:lang w:val="en-US"/>
        </w:rPr>
        <w:t>a</w:t>
      </w:r>
      <w:r w:rsidR="00E33FA9">
        <w:rPr>
          <w:rFonts w:eastAsia="Arial" w:cs="Arial"/>
          <w:spacing w:val="-2"/>
          <w:lang w:val="en-US"/>
        </w:rPr>
        <w:t xml:space="preserve">cterised </w:t>
      </w:r>
      <w:r w:rsidRPr="00E37D50">
        <w:rPr>
          <w:rFonts w:eastAsia="Arial" w:cs="Arial"/>
          <w:lang w:val="en-US"/>
        </w:rPr>
        <w:t>by</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dosage</w:t>
      </w:r>
      <w:r w:rsidRPr="00E37D50">
        <w:rPr>
          <w:rFonts w:eastAsia="Arial" w:cs="Arial"/>
          <w:spacing w:val="-2"/>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its</w:t>
      </w:r>
      <w:r w:rsidRPr="00E37D50">
        <w:rPr>
          <w:rFonts w:eastAsia="Arial" w:cs="Arial"/>
          <w:spacing w:val="-3"/>
          <w:lang w:val="en-US"/>
        </w:rPr>
        <w:t xml:space="preserve"> </w:t>
      </w:r>
      <w:r w:rsidRPr="00E37D50">
        <w:rPr>
          <w:rFonts w:eastAsia="Arial" w:cs="Arial"/>
          <w:lang w:val="en-US"/>
        </w:rPr>
        <w:t>short-term or long-term adverse effects on biological</w:t>
      </w:r>
      <w:r w:rsidRPr="00E37D50">
        <w:rPr>
          <w:rFonts w:eastAsia="Arial" w:cs="Arial"/>
          <w:spacing w:val="-1"/>
          <w:lang w:val="en-US"/>
        </w:rPr>
        <w:t xml:space="preserve"> </w:t>
      </w:r>
      <w:r w:rsidRPr="00E37D50">
        <w:rPr>
          <w:rFonts w:eastAsia="Arial" w:cs="Arial"/>
          <w:lang w:val="en-US"/>
        </w:rPr>
        <w:t>systems, with a critical</w:t>
      </w:r>
      <w:r w:rsidRPr="00E37D50">
        <w:rPr>
          <w:rFonts w:eastAsia="Arial" w:cs="Arial"/>
          <w:spacing w:val="-1"/>
          <w:lang w:val="en-US"/>
        </w:rPr>
        <w:t xml:space="preserve"> </w:t>
      </w:r>
      <w:r w:rsidRPr="00E37D50">
        <w:rPr>
          <w:rFonts w:eastAsia="Arial" w:cs="Arial"/>
          <w:lang w:val="en-US"/>
        </w:rPr>
        <w:t>factor being the identification of a toxicological threshold known as the 'No Observed Adverse Effect Level' (NOAEL) where no</w:t>
      </w:r>
      <w:r w:rsidRPr="00E37D50">
        <w:rPr>
          <w:rFonts w:eastAsia="Arial" w:cs="Arial"/>
          <w:spacing w:val="40"/>
          <w:lang w:val="en-US"/>
        </w:rPr>
        <w:t xml:space="preserve"> </w:t>
      </w:r>
      <w:r w:rsidRPr="00E37D50">
        <w:rPr>
          <w:rFonts w:eastAsia="Arial" w:cs="Arial"/>
          <w:lang w:val="en-US"/>
        </w:rPr>
        <w:t>adverse effects are observed.</w:t>
      </w:r>
    </w:p>
    <w:p w14:paraId="4C23B2D5" w14:textId="77777777" w:rsidR="00945DDC" w:rsidRPr="00E37D50" w:rsidRDefault="00945DDC" w:rsidP="00DA0AEC">
      <w:pPr>
        <w:pStyle w:val="Heading5"/>
      </w:pPr>
      <w:bookmarkStart w:id="21" w:name="MoS"/>
      <w:r w:rsidRPr="00E37D50">
        <w:t>Margin of safety</w:t>
      </w:r>
    </w:p>
    <w:bookmarkEnd w:id="21"/>
    <w:p w14:paraId="10907CEF" w14:textId="1F1A7D1D" w:rsidR="00945DDC" w:rsidRPr="0028739E" w:rsidRDefault="00945DDC" w:rsidP="00945DDC">
      <w:pPr>
        <w:widowControl w:val="0"/>
        <w:autoSpaceDE w:val="0"/>
        <w:autoSpaceDN w:val="0"/>
        <w:spacing w:before="118" w:after="0"/>
        <w:ind w:right="200"/>
        <w:rPr>
          <w:rFonts w:eastAsia="Arial" w:cs="Arial"/>
        </w:rPr>
      </w:pPr>
      <w:r w:rsidRPr="00E37D50">
        <w:rPr>
          <w:rFonts w:eastAsia="Arial" w:cs="Arial"/>
          <w:lang w:val="en-US"/>
        </w:rPr>
        <w:t>When considering the risks to human health and safety from a wide range of substances, a MoS approach is used by many regulators. The MoS compares the expected SED of a substance within the human population to a toxicological</w:t>
      </w:r>
      <w:r w:rsidRPr="00E37D50">
        <w:rPr>
          <w:rFonts w:eastAsia="Arial" w:cs="Arial"/>
          <w:spacing w:val="-1"/>
          <w:lang w:val="en-US"/>
        </w:rPr>
        <w:t xml:space="preserve"> </w:t>
      </w:r>
      <w:r w:rsidRPr="00E37D50">
        <w:rPr>
          <w:rFonts w:eastAsia="Arial" w:cs="Arial"/>
          <w:lang w:val="en-US"/>
        </w:rPr>
        <w:t>threshold, known as the 'No Observed Adverse Effect Level' (NOAEL). The NOAEL is the level at which no specific 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were</w:t>
      </w:r>
      <w:r w:rsidRPr="00E37D50">
        <w:rPr>
          <w:rFonts w:eastAsia="Arial" w:cs="Arial"/>
          <w:spacing w:val="-4"/>
          <w:lang w:val="en-US"/>
        </w:rPr>
        <w:t xml:space="preserve"> </w:t>
      </w:r>
      <w:r w:rsidRPr="00E37D50">
        <w:rPr>
          <w:rFonts w:eastAsia="Arial" w:cs="Arial"/>
          <w:lang w:val="en-US"/>
        </w:rPr>
        <w:t>observed</w:t>
      </w:r>
      <w:r w:rsidRPr="00E37D50">
        <w:rPr>
          <w:rFonts w:eastAsia="Arial" w:cs="Arial"/>
          <w:spacing w:val="-4"/>
          <w:lang w:val="en-US"/>
        </w:rPr>
        <w:t xml:space="preserve"> </w:t>
      </w:r>
      <w:r w:rsidRPr="00E37D50">
        <w:rPr>
          <w:rFonts w:eastAsia="Arial" w:cs="Arial"/>
          <w:lang w:val="en-US"/>
        </w:rPr>
        <w:t>in</w:t>
      </w:r>
      <w:r w:rsidRPr="00E37D50">
        <w:rPr>
          <w:rFonts w:eastAsia="Arial" w:cs="Arial"/>
          <w:spacing w:val="-2"/>
          <w:lang w:val="en-US"/>
        </w:rPr>
        <w:t xml:space="preserve"> </w:t>
      </w:r>
      <w:r w:rsidRPr="00E37D50">
        <w:rPr>
          <w:rFonts w:eastAsia="Arial" w:cs="Arial"/>
          <w:lang w:val="en-US"/>
        </w:rPr>
        <w:t>humans or</w:t>
      </w:r>
      <w:r w:rsidRPr="00E37D50">
        <w:rPr>
          <w:rFonts w:eastAsia="Arial" w:cs="Arial"/>
          <w:spacing w:val="-3"/>
          <w:lang w:val="en-US"/>
        </w:rPr>
        <w:t xml:space="preserve"> </w:t>
      </w:r>
      <w:r w:rsidRPr="00E37D50">
        <w:rPr>
          <w:rFonts w:eastAsia="Arial" w:cs="Arial"/>
          <w:lang w:val="en-US"/>
        </w:rPr>
        <w:t>animals,</w:t>
      </w:r>
      <w:r w:rsidRPr="00E37D50">
        <w:rPr>
          <w:rFonts w:eastAsia="Arial" w:cs="Arial"/>
          <w:spacing w:val="-2"/>
          <w:lang w:val="en-US"/>
        </w:rPr>
        <w:t xml:space="preserve"> </w:t>
      </w:r>
      <w:r w:rsidRPr="00E37D50">
        <w:rPr>
          <w:rFonts w:eastAsia="Arial" w:cs="Arial"/>
          <w:lang w:val="en-US"/>
        </w:rPr>
        <w:t>adjusted</w:t>
      </w:r>
      <w:r w:rsidRPr="00E37D50">
        <w:rPr>
          <w:rFonts w:eastAsia="Arial" w:cs="Arial"/>
          <w:spacing w:val="-4"/>
          <w:lang w:val="en-US"/>
        </w:rPr>
        <w:t xml:space="preserve"> </w:t>
      </w:r>
      <w:r w:rsidRPr="00E37D50">
        <w:rPr>
          <w:rFonts w:eastAsia="Arial" w:cs="Arial"/>
          <w:lang w:val="en-US"/>
        </w:rPr>
        <w:t>for</w:t>
      </w:r>
      <w:r w:rsidRPr="00E37D50">
        <w:rPr>
          <w:rFonts w:eastAsia="Arial" w:cs="Arial"/>
          <w:spacing w:val="-3"/>
          <w:lang w:val="en-US"/>
        </w:rPr>
        <w:t xml:space="preserve"> </w:t>
      </w:r>
      <w:r w:rsidRPr="00E37D50">
        <w:rPr>
          <w:rFonts w:eastAsia="Arial" w:cs="Arial"/>
          <w:lang w:val="en-US"/>
        </w:rPr>
        <w:t>body</w:t>
      </w:r>
      <w:r w:rsidRPr="00E37D50">
        <w:rPr>
          <w:rFonts w:eastAsia="Arial" w:cs="Arial"/>
          <w:spacing w:val="-3"/>
          <w:lang w:val="en-US"/>
        </w:rPr>
        <w:t xml:space="preserve"> </w:t>
      </w:r>
      <w:r w:rsidRPr="00E37D50">
        <w:rPr>
          <w:rFonts w:eastAsia="Arial" w:cs="Arial"/>
          <w:lang w:val="en-US"/>
        </w:rPr>
        <w:t>weight.</w:t>
      </w:r>
      <w:r w:rsidRPr="00E37D50">
        <w:rPr>
          <w:rFonts w:eastAsia="Arial" w:cs="Arial"/>
          <w:spacing w:val="-4"/>
          <w:lang w:val="en-US"/>
        </w:rPr>
        <w:t xml:space="preserve"> </w:t>
      </w:r>
      <w:r w:rsidRPr="00E37D50">
        <w:rPr>
          <w:rFonts w:eastAsia="Arial" w:cs="Arial"/>
          <w:lang w:val="en-US"/>
        </w:rPr>
        <w:t>Typically,</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NOAEL is derived from long-term, repeat-dose toxicity studies in animals. As such, the MoS value indicates the likelihood of an adverse health effect occurring under specific exposure conditions.</w:t>
      </w:r>
      <w:r w:rsidR="0028739E">
        <w:rPr>
          <w:rFonts w:eastAsia="Arial" w:cs="Arial"/>
          <w:lang w:val="en-US"/>
        </w:rPr>
        <w:t xml:space="preserve"> </w:t>
      </w:r>
    </w:p>
    <w:p w14:paraId="1215915A" w14:textId="77777777" w:rsidR="00945DDC" w:rsidRPr="00E37D50" w:rsidRDefault="00945DDC" w:rsidP="00945DDC">
      <w:pPr>
        <w:widowControl w:val="0"/>
        <w:autoSpaceDE w:val="0"/>
        <w:autoSpaceDN w:val="0"/>
        <w:spacing w:before="118" w:after="0"/>
        <w:rPr>
          <w:rFonts w:eastAsia="Arial" w:cs="Arial"/>
          <w:lang w:val="en-US"/>
        </w:rPr>
      </w:pP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correct</w:t>
      </w:r>
      <w:r w:rsidRPr="00E37D50">
        <w:rPr>
          <w:rFonts w:eastAsia="Arial" w:cs="Arial"/>
          <w:spacing w:val="-4"/>
          <w:lang w:val="en-US"/>
        </w:rPr>
        <w:t xml:space="preserve"> </w:t>
      </w:r>
      <w:r w:rsidRPr="00E37D50">
        <w:rPr>
          <w:rFonts w:eastAsia="Arial" w:cs="Arial"/>
          <w:lang w:val="en-US"/>
        </w:rPr>
        <w:t>for</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uncertainty</w:t>
      </w:r>
      <w:r w:rsidRPr="00E37D50">
        <w:rPr>
          <w:rFonts w:eastAsia="Arial" w:cs="Arial"/>
          <w:spacing w:val="-3"/>
          <w:lang w:val="en-US"/>
        </w:rPr>
        <w:t xml:space="preserve"> </w:t>
      </w:r>
      <w:r w:rsidRPr="00E37D50">
        <w:rPr>
          <w:rFonts w:eastAsia="Arial" w:cs="Arial"/>
          <w:lang w:val="en-US"/>
        </w:rPr>
        <w:t>in</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data,</w:t>
      </w:r>
      <w:r w:rsidRPr="00E37D50">
        <w:rPr>
          <w:rFonts w:eastAsia="Arial" w:cs="Arial"/>
          <w:spacing w:val="-2"/>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internationally</w:t>
      </w:r>
      <w:r w:rsidRPr="00E37D50">
        <w:rPr>
          <w:rFonts w:eastAsia="Arial" w:cs="Arial"/>
          <w:spacing w:val="-3"/>
          <w:lang w:val="en-US"/>
        </w:rPr>
        <w:t xml:space="preserve"> </w:t>
      </w:r>
      <w:r w:rsidRPr="00E37D50">
        <w:rPr>
          <w:rFonts w:eastAsia="Arial" w:cs="Arial"/>
          <w:lang w:val="en-US"/>
        </w:rPr>
        <w:t>accepted</w:t>
      </w:r>
      <w:r w:rsidRPr="00E37D50">
        <w:rPr>
          <w:rFonts w:eastAsia="Arial" w:cs="Arial"/>
          <w:spacing w:val="-4"/>
          <w:lang w:val="en-US"/>
        </w:rPr>
        <w:t xml:space="preserve"> </w:t>
      </w:r>
      <w:r w:rsidRPr="00E37D50">
        <w:rPr>
          <w:rFonts w:eastAsia="Arial" w:cs="Arial"/>
          <w:lang w:val="en-US"/>
        </w:rPr>
        <w:t>methodology</w:t>
      </w:r>
      <w:r w:rsidRPr="00E37D50">
        <w:rPr>
          <w:rFonts w:eastAsia="Arial" w:cs="Arial"/>
          <w:spacing w:val="-3"/>
          <w:lang w:val="en-US"/>
        </w:rPr>
        <w:t xml:space="preserve"> </w:t>
      </w:r>
      <w:r w:rsidRPr="00E37D50">
        <w:rPr>
          <w:rFonts w:eastAsia="Arial" w:cs="Arial"/>
          <w:lang w:val="en-US"/>
        </w:rPr>
        <w:t>utilises</w:t>
      </w:r>
      <w:r w:rsidRPr="00E37D50">
        <w:rPr>
          <w:rFonts w:eastAsia="Arial" w:cs="Arial"/>
          <w:spacing w:val="-3"/>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 xml:space="preserve">correction factor of 10 to </w:t>
      </w:r>
      <w:r w:rsidRPr="00196FC5">
        <w:rPr>
          <w:rFonts w:eastAsia="Arial" w:cs="Arial"/>
        </w:rPr>
        <w:t>account</w:t>
      </w:r>
      <w:r w:rsidRPr="00E37D50">
        <w:rPr>
          <w:rFonts w:eastAsia="Arial" w:cs="Arial"/>
          <w:lang w:val="en-US"/>
        </w:rPr>
        <w:t xml:space="preserve"> for interspecies differences between animals and humans, and a further correction factor of 10 for intraspecies differences to account for variations in the human population.</w:t>
      </w:r>
    </w:p>
    <w:p w14:paraId="6075E9D5" w14:textId="59347354" w:rsidR="00945DDC" w:rsidRPr="00E37D50" w:rsidRDefault="00945DDC" w:rsidP="00945DDC">
      <w:pPr>
        <w:widowControl w:val="0"/>
        <w:autoSpaceDE w:val="0"/>
        <w:autoSpaceDN w:val="0"/>
        <w:spacing w:after="0" w:line="261" w:lineRule="auto"/>
        <w:ind w:right="183" w:hanging="1"/>
        <w:rPr>
          <w:rFonts w:eastAsia="Arial" w:cs="Arial"/>
          <w:lang w:val="en-US"/>
        </w:rPr>
      </w:pPr>
      <w:r w:rsidRPr="00E37D50">
        <w:rPr>
          <w:rFonts w:eastAsia="Arial" w:cs="Arial"/>
          <w:lang w:val="en-US"/>
        </w:rPr>
        <w:t>These factors are multiplied together to arrive at a value of 100. Margins of Safety below 100 are generally</w:t>
      </w:r>
      <w:r w:rsidRPr="00E37D50">
        <w:rPr>
          <w:rFonts w:eastAsia="Arial" w:cs="Arial"/>
          <w:spacing w:val="-3"/>
          <w:lang w:val="en-US"/>
        </w:rPr>
        <w:t xml:space="preserve"> </w:t>
      </w:r>
      <w:r w:rsidRPr="00E37D50">
        <w:rPr>
          <w:rFonts w:eastAsia="Arial" w:cs="Arial"/>
          <w:lang w:val="en-US"/>
        </w:rPr>
        <w:t>considered</w:t>
      </w:r>
      <w:r w:rsidRPr="00E37D50">
        <w:rPr>
          <w:rFonts w:eastAsia="Arial" w:cs="Arial"/>
          <w:spacing w:val="-2"/>
          <w:lang w:val="en-US"/>
        </w:rPr>
        <w:t xml:space="preserve"> </w:t>
      </w:r>
      <w:r w:rsidRPr="00E37D50">
        <w:rPr>
          <w:rFonts w:eastAsia="Arial" w:cs="Arial"/>
          <w:lang w:val="en-US"/>
        </w:rPr>
        <w:t>unacceptable</w:t>
      </w:r>
      <w:r>
        <w:rPr>
          <w:rStyle w:val="FootnoteReference"/>
          <w:rFonts w:eastAsia="Arial" w:cs="Arial"/>
          <w:lang w:val="en-US"/>
        </w:rPr>
        <w:footnoteReference w:id="10"/>
      </w:r>
      <w:r w:rsidR="00CE7BFB">
        <w:rPr>
          <w:rFonts w:eastAsia="Arial" w:cs="Arial"/>
          <w:lang w:val="en-US"/>
        </w:rPr>
        <w:t xml:space="preserve">. In </w:t>
      </w:r>
      <w:r w:rsidR="00B437A4">
        <w:rPr>
          <w:rFonts w:eastAsia="Arial" w:cs="Arial"/>
          <w:lang w:val="en-US"/>
        </w:rPr>
        <w:t>addition</w:t>
      </w:r>
      <w:r w:rsidRPr="00E37D50">
        <w:rPr>
          <w:rFonts w:eastAsia="Arial" w:cs="Arial"/>
          <w:lang w:val="en-US"/>
        </w:rPr>
        <w:t>,</w:t>
      </w:r>
      <w:r w:rsidRPr="00E37D50">
        <w:rPr>
          <w:rFonts w:eastAsia="Arial" w:cs="Arial"/>
          <w:spacing w:val="-2"/>
          <w:lang w:val="en-US"/>
        </w:rPr>
        <w:t xml:space="preserve"> </w:t>
      </w:r>
      <w:r w:rsidRPr="00E37D50">
        <w:rPr>
          <w:rFonts w:eastAsia="Arial" w:cs="Arial"/>
          <w:lang w:val="en-US"/>
        </w:rPr>
        <w:t>as</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MoS</w:t>
      </w:r>
      <w:r w:rsidRPr="00E37D50">
        <w:rPr>
          <w:rFonts w:eastAsia="Arial" w:cs="Arial"/>
          <w:spacing w:val="-2"/>
          <w:lang w:val="en-US"/>
        </w:rPr>
        <w:t xml:space="preserve"> </w:t>
      </w:r>
      <w:r w:rsidRPr="00E37D50">
        <w:rPr>
          <w:rFonts w:eastAsia="Arial" w:cs="Arial"/>
          <w:lang w:val="en-US"/>
        </w:rPr>
        <w:t>increases,</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potential</w:t>
      </w:r>
      <w:r w:rsidRPr="00E37D50">
        <w:rPr>
          <w:rFonts w:eastAsia="Arial" w:cs="Arial"/>
          <w:spacing w:val="-5"/>
          <w:lang w:val="en-US"/>
        </w:rPr>
        <w:t xml:space="preserve"> </w:t>
      </w:r>
      <w:r w:rsidRPr="00E37D50">
        <w:rPr>
          <w:rFonts w:eastAsia="Arial" w:cs="Arial"/>
          <w:lang w:val="en-US"/>
        </w:rPr>
        <w:t>risk</w:t>
      </w:r>
      <w:r w:rsidRPr="00E37D50">
        <w:rPr>
          <w:rFonts w:eastAsia="Arial" w:cs="Arial"/>
          <w:spacing w:val="-3"/>
          <w:lang w:val="en-US"/>
        </w:rPr>
        <w:t xml:space="preserve"> </w:t>
      </w:r>
      <w:r w:rsidRPr="00E37D50">
        <w:rPr>
          <w:rFonts w:eastAsia="Arial" w:cs="Arial"/>
          <w:lang w:val="en-US"/>
        </w:rPr>
        <w:t>decreases.</w:t>
      </w:r>
    </w:p>
    <w:p w14:paraId="26987CCD" w14:textId="77777777" w:rsidR="00945DDC" w:rsidRPr="00E37D50" w:rsidRDefault="00945DDC" w:rsidP="00945DDC">
      <w:pPr>
        <w:widowControl w:val="0"/>
        <w:autoSpaceDE w:val="0"/>
        <w:autoSpaceDN w:val="0"/>
        <w:spacing w:before="115" w:after="0"/>
        <w:ind w:right="315"/>
        <w:rPr>
          <w:rFonts w:eastAsia="Arial" w:cs="Arial"/>
          <w:lang w:val="en-US"/>
        </w:rPr>
      </w:pPr>
      <w:r w:rsidRPr="00E37D50">
        <w:rPr>
          <w:rFonts w:eastAsia="Arial" w:cs="Arial"/>
          <w:lang w:val="en-US"/>
        </w:rPr>
        <w:t>Determining the adequacy of the MoS requires expert judgment, which is typically exercised on a case-by-case basis. This judgment should account for uncertainties in the risk assessment process, such</w:t>
      </w:r>
      <w:r w:rsidRPr="00E37D50">
        <w:rPr>
          <w:rFonts w:eastAsia="Arial" w:cs="Arial"/>
          <w:spacing w:val="-4"/>
          <w:lang w:val="en-US"/>
        </w:rPr>
        <w:t xml:space="preserve"> </w:t>
      </w:r>
      <w:r w:rsidRPr="00E37D50">
        <w:rPr>
          <w:rFonts w:eastAsia="Arial" w:cs="Arial"/>
          <w:lang w:val="en-US"/>
        </w:rPr>
        <w:t>as</w:t>
      </w:r>
      <w:r w:rsidRPr="00E37D50">
        <w:rPr>
          <w:rFonts w:eastAsia="Arial" w:cs="Arial"/>
          <w:spacing w:val="-3"/>
          <w:lang w:val="en-US"/>
        </w:rPr>
        <w:t xml:space="preserve"> </w:t>
      </w:r>
      <w:r w:rsidRPr="00E37D50">
        <w:rPr>
          <w:rFonts w:eastAsia="Arial" w:cs="Arial"/>
          <w:lang w:val="en-US"/>
        </w:rPr>
        <w:t>data</w:t>
      </w:r>
      <w:r w:rsidRPr="00E37D50">
        <w:rPr>
          <w:rFonts w:eastAsia="Arial" w:cs="Arial"/>
          <w:spacing w:val="-4"/>
          <w:lang w:val="en-US"/>
        </w:rPr>
        <w:t xml:space="preserve"> </w:t>
      </w:r>
      <w:r w:rsidRPr="00E37D50">
        <w:rPr>
          <w:rFonts w:eastAsia="Arial" w:cs="Arial"/>
          <w:lang w:val="en-US"/>
        </w:rPr>
        <w:t>completeness</w:t>
      </w:r>
      <w:r w:rsidRPr="00E37D50">
        <w:rPr>
          <w:rFonts w:eastAsia="Arial" w:cs="Arial"/>
          <w:spacing w:val="-3"/>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quality,</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nature</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severity</w:t>
      </w:r>
      <w:r w:rsidRPr="00E37D50">
        <w:rPr>
          <w:rFonts w:eastAsia="Arial" w:cs="Arial"/>
          <w:spacing w:val="-3"/>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intra/inter species variability.</w:t>
      </w:r>
    </w:p>
    <w:p w14:paraId="42F897F1" w14:textId="13EE7C5E" w:rsidR="00945DDC" w:rsidRDefault="00945DDC" w:rsidP="00350A7B">
      <w:pPr>
        <w:keepNext/>
        <w:widowControl w:val="0"/>
        <w:autoSpaceDE w:val="0"/>
        <w:autoSpaceDN w:val="0"/>
        <w:spacing w:before="120" w:after="0" w:line="240" w:lineRule="auto"/>
        <w:rPr>
          <w:rFonts w:eastAsia="Arial" w:cs="Arial"/>
          <w:spacing w:val="-4"/>
          <w:lang w:val="en-US"/>
        </w:rPr>
      </w:pPr>
      <w:r w:rsidRPr="00E37D50">
        <w:rPr>
          <w:rFonts w:eastAsia="Arial" w:cs="Arial"/>
          <w:lang w:val="en-US"/>
        </w:rPr>
        <w:t>The</w:t>
      </w:r>
      <w:r w:rsidRPr="00E37D50">
        <w:rPr>
          <w:rFonts w:eastAsia="Arial" w:cs="Arial"/>
          <w:spacing w:val="-7"/>
          <w:lang w:val="en-US"/>
        </w:rPr>
        <w:t xml:space="preserve"> </w:t>
      </w:r>
      <w:r w:rsidRPr="00E37D50">
        <w:rPr>
          <w:rFonts w:eastAsia="Arial" w:cs="Arial"/>
          <w:lang w:val="en-US"/>
        </w:rPr>
        <w:t>following</w:t>
      </w:r>
      <w:r w:rsidRPr="00E37D50">
        <w:rPr>
          <w:rFonts w:eastAsia="Arial" w:cs="Arial"/>
          <w:spacing w:val="-7"/>
          <w:lang w:val="en-US"/>
        </w:rPr>
        <w:t xml:space="preserve"> </w:t>
      </w:r>
      <w:r w:rsidRPr="00E37D50">
        <w:rPr>
          <w:rFonts w:eastAsia="Arial" w:cs="Arial"/>
          <w:lang w:val="en-US"/>
        </w:rPr>
        <w:t>formula</w:t>
      </w:r>
      <w:r w:rsidRPr="00E37D50">
        <w:rPr>
          <w:rFonts w:eastAsia="Arial" w:cs="Arial"/>
          <w:spacing w:val="-4"/>
          <w:lang w:val="en-US"/>
        </w:rPr>
        <w:t xml:space="preserve"> </w:t>
      </w:r>
      <w:r w:rsidRPr="00E37D50">
        <w:rPr>
          <w:rFonts w:eastAsia="Arial" w:cs="Arial"/>
          <w:lang w:val="en-US"/>
        </w:rPr>
        <w:t>is</w:t>
      </w:r>
      <w:r w:rsidRPr="00E37D50">
        <w:rPr>
          <w:rFonts w:eastAsia="Arial" w:cs="Arial"/>
          <w:spacing w:val="-6"/>
          <w:lang w:val="en-US"/>
        </w:rPr>
        <w:t xml:space="preserve"> </w:t>
      </w:r>
      <w:r w:rsidRPr="00E37D50">
        <w:rPr>
          <w:rFonts w:eastAsia="Arial" w:cs="Arial"/>
          <w:lang w:val="en-US"/>
        </w:rPr>
        <w:t>used</w:t>
      </w:r>
      <w:r w:rsidRPr="00E37D50">
        <w:rPr>
          <w:rFonts w:eastAsia="Arial" w:cs="Arial"/>
          <w:spacing w:val="-6"/>
          <w:lang w:val="en-US"/>
        </w:rPr>
        <w:t xml:space="preserve"> </w:t>
      </w:r>
      <w:r w:rsidRPr="00E37D50">
        <w:rPr>
          <w:rFonts w:eastAsia="Arial" w:cs="Arial"/>
          <w:lang w:val="en-US"/>
        </w:rPr>
        <w:t>to</w:t>
      </w:r>
      <w:r w:rsidRPr="00E37D50">
        <w:rPr>
          <w:rFonts w:eastAsia="Arial" w:cs="Arial"/>
          <w:spacing w:val="-5"/>
          <w:lang w:val="en-US"/>
        </w:rPr>
        <w:t xml:space="preserve"> </w:t>
      </w:r>
      <w:r w:rsidRPr="00E37D50">
        <w:rPr>
          <w:rFonts w:eastAsia="Arial" w:cs="Arial"/>
          <w:lang w:val="en-US"/>
        </w:rPr>
        <w:t>calculate</w:t>
      </w:r>
      <w:r w:rsidRPr="00E37D50">
        <w:rPr>
          <w:rFonts w:eastAsia="Arial" w:cs="Arial"/>
          <w:spacing w:val="-5"/>
          <w:lang w:val="en-US"/>
        </w:rPr>
        <w:t xml:space="preserve"> </w:t>
      </w:r>
      <w:r w:rsidRPr="00E37D50">
        <w:rPr>
          <w:rFonts w:eastAsia="Arial" w:cs="Arial"/>
          <w:lang w:val="en-US"/>
        </w:rPr>
        <w:t>the</w:t>
      </w:r>
      <w:r w:rsidRPr="00E37D50">
        <w:rPr>
          <w:rFonts w:eastAsia="Arial" w:cs="Arial"/>
          <w:spacing w:val="-5"/>
          <w:lang w:val="en-US"/>
        </w:rPr>
        <w:t xml:space="preserve"> </w:t>
      </w:r>
      <w:r w:rsidRPr="00E37D50">
        <w:rPr>
          <w:rFonts w:eastAsia="Arial" w:cs="Arial"/>
          <w:spacing w:val="-4"/>
          <w:lang w:val="en-US"/>
        </w:rPr>
        <w:t>MoS:</w:t>
      </w:r>
    </w:p>
    <w:p w14:paraId="2A5E82D7" w14:textId="77777777" w:rsidR="00350A7B" w:rsidRDefault="00350A7B" w:rsidP="00350A7B">
      <w:pPr>
        <w:keepNext/>
        <w:widowControl w:val="0"/>
        <w:autoSpaceDE w:val="0"/>
        <w:autoSpaceDN w:val="0"/>
        <w:spacing w:before="120" w:after="0" w:line="240" w:lineRule="auto"/>
        <w:rPr>
          <w:rFonts w:eastAsia="Arial" w:cs="Arial"/>
          <w:spacing w:val="-4"/>
          <w:lang w:val="en-US"/>
        </w:rPr>
      </w:pPr>
    </w:p>
    <w:p w14:paraId="67697F0A" w14:textId="77777777" w:rsidR="00DB5FA8" w:rsidRPr="008B7E4C" w:rsidRDefault="00DB5FA8" w:rsidP="00350A7B">
      <w:pPr>
        <w:keepNext/>
        <w:jc w:val="center"/>
        <w:rPr>
          <w:rFonts w:cs="Arial"/>
          <w:sz w:val="28"/>
          <w:szCs w:val="28"/>
        </w:rPr>
      </w:pPr>
      <m:oMathPara>
        <m:oMath>
          <m:r>
            <w:rPr>
              <w:rFonts w:ascii="Cambria Math" w:hAnsi="Cambria Math" w:cs="Arial"/>
              <w:sz w:val="28"/>
              <w:szCs w:val="28"/>
            </w:rPr>
            <m:t>MoS=</m:t>
          </m:r>
          <m:f>
            <m:fPr>
              <m:ctrlPr>
                <w:rPr>
                  <w:rFonts w:ascii="Cambria Math" w:hAnsi="Cambria Math" w:cs="Arial"/>
                  <w:i/>
                  <w:sz w:val="28"/>
                  <w:szCs w:val="28"/>
                </w:rPr>
              </m:ctrlPr>
            </m:fPr>
            <m:num>
              <m:r>
                <w:rPr>
                  <w:rFonts w:ascii="Cambria Math" w:hAnsi="Cambria Math" w:cs="Arial"/>
                  <w:sz w:val="28"/>
                  <w:szCs w:val="28"/>
                </w:rPr>
                <m:t>NOAEL (mg/kg bw/day)</m:t>
              </m:r>
            </m:num>
            <m:den>
              <m:r>
                <w:rPr>
                  <w:rFonts w:ascii="Cambria Math" w:hAnsi="Cambria Math" w:cs="Arial"/>
                  <w:sz w:val="28"/>
                  <w:szCs w:val="28"/>
                </w:rPr>
                <m:t>SED (mg/kg bw/day)</m:t>
              </m:r>
            </m:den>
          </m:f>
        </m:oMath>
      </m:oMathPara>
    </w:p>
    <w:p w14:paraId="45ED0ACF" w14:textId="0AF62212" w:rsidR="00945DDC" w:rsidRPr="00A01BB1" w:rsidRDefault="00945DDC" w:rsidP="00DA0AEC">
      <w:pPr>
        <w:pStyle w:val="Heading5"/>
      </w:pPr>
      <w:bookmarkStart w:id="22" w:name="SED"/>
      <w:r w:rsidRPr="00A01BB1">
        <w:t>Systematic Exposure Dose</w:t>
      </w:r>
    </w:p>
    <w:bookmarkEnd w:id="22"/>
    <w:p w14:paraId="05CB244E" w14:textId="6F7599D3" w:rsidR="00E37D50" w:rsidRDefault="00E37D50" w:rsidP="00E37D50">
      <w:pPr>
        <w:pStyle w:val="BodyText"/>
        <w:spacing w:before="137" w:line="259" w:lineRule="auto"/>
      </w:pPr>
      <w:r>
        <w:t xml:space="preserve">Determining the SED is based on how much sunscreen is applied to the skin daily (i.e. the external exposure dose), which is difficult to estimate as sunscreen usage varies greatly among individuals. </w:t>
      </w:r>
      <w:hyperlink w:anchor="Figure1" w:history="1">
        <w:r w:rsidRPr="002A3768">
          <w:rPr>
            <w:rStyle w:val="Hyperlink"/>
          </w:rPr>
          <w:t>Figure 1</w:t>
        </w:r>
      </w:hyperlink>
      <w:r w:rsidRPr="001E20C0">
        <w:t xml:space="preserve"> </w:t>
      </w:r>
      <w:r>
        <w:t>describes the relationship between the external exposure and systemic exposure.</w:t>
      </w:r>
    </w:p>
    <w:p w14:paraId="441382FE" w14:textId="6391CE81" w:rsidR="00332D78" w:rsidRDefault="00406CF7" w:rsidP="00332D78">
      <w:pPr>
        <w:pStyle w:val="Tabletitle"/>
      </w:pPr>
      <w:bookmarkStart w:id="23" w:name="Figure1"/>
      <w:r>
        <w:rPr>
          <w:noProof/>
          <w:lang w:eastAsia="en-AU"/>
        </w:rPr>
        <w:drawing>
          <wp:anchor distT="0" distB="0" distL="0" distR="0" simplePos="0" relativeHeight="251691008" behindDoc="1" locked="0" layoutInCell="1" allowOverlap="1" wp14:anchorId="3B9534E6" wp14:editId="2FC1A0B6">
            <wp:simplePos x="0" y="0"/>
            <wp:positionH relativeFrom="margin">
              <wp:posOffset>867410</wp:posOffset>
            </wp:positionH>
            <wp:positionV relativeFrom="paragraph">
              <wp:posOffset>298450</wp:posOffset>
            </wp:positionV>
            <wp:extent cx="3640455" cy="2089150"/>
            <wp:effectExtent l="0" t="0" r="0" b="6350"/>
            <wp:wrapTopAndBottom/>
            <wp:docPr id="17" name="Image 17" descr="A diagram of a person's bod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person's body  Description automatically generated "/>
                    <pic:cNvPicPr/>
                  </pic:nvPicPr>
                  <pic:blipFill>
                    <a:blip r:embed="rId24" cstate="print"/>
                    <a:stretch>
                      <a:fillRect/>
                    </a:stretch>
                  </pic:blipFill>
                  <pic:spPr>
                    <a:xfrm>
                      <a:off x="0" y="0"/>
                      <a:ext cx="3640455" cy="2089150"/>
                    </a:xfrm>
                    <a:prstGeom prst="rect">
                      <a:avLst/>
                    </a:prstGeom>
                  </pic:spPr>
                </pic:pic>
              </a:graphicData>
            </a:graphic>
            <wp14:sizeRelH relativeFrom="margin">
              <wp14:pctWidth>0</wp14:pctWidth>
            </wp14:sizeRelH>
            <wp14:sizeRelV relativeFrom="margin">
              <wp14:pctHeight>0</wp14:pctHeight>
            </wp14:sizeRelV>
          </wp:anchor>
        </w:drawing>
      </w:r>
      <w:r w:rsidR="00332D78">
        <w:t>Figure 1</w:t>
      </w:r>
      <w:bookmarkEnd w:id="23"/>
      <w:r w:rsidR="00332D78">
        <w:t>: Relationship between sunscreen applied externally to skin and systemic exposure</w:t>
      </w:r>
    </w:p>
    <w:p w14:paraId="5C701E4F" w14:textId="7721B7B7" w:rsidR="00332D78" w:rsidRDefault="00332D78" w:rsidP="00E37D50">
      <w:pPr>
        <w:pStyle w:val="BodyText"/>
        <w:spacing w:before="137" w:line="259" w:lineRule="auto"/>
      </w:pPr>
    </w:p>
    <w:p w14:paraId="275E9101" w14:textId="7D648064" w:rsidR="00E37D50" w:rsidRPr="00E37D50" w:rsidRDefault="00E37D50" w:rsidP="00E37D50">
      <w:pPr>
        <w:widowControl w:val="0"/>
        <w:autoSpaceDE w:val="0"/>
        <w:autoSpaceDN w:val="0"/>
        <w:spacing w:before="120" w:after="0"/>
        <w:ind w:right="247"/>
        <w:jc w:val="both"/>
        <w:rPr>
          <w:rFonts w:eastAsia="Arial" w:cs="Arial"/>
          <w:lang w:val="en-US"/>
        </w:rPr>
      </w:pPr>
      <w:r w:rsidRPr="00E37D50">
        <w:rPr>
          <w:rFonts w:eastAsia="Arial" w:cs="Arial"/>
          <w:lang w:val="en-US"/>
        </w:rPr>
        <w:t>Exposure</w:t>
      </w:r>
      <w:r w:rsidRPr="00E37D50">
        <w:rPr>
          <w:rFonts w:eastAsia="Arial" w:cs="Arial"/>
          <w:spacing w:val="-1"/>
          <w:lang w:val="en-US"/>
        </w:rPr>
        <w:t xml:space="preserve"> </w:t>
      </w:r>
      <w:r w:rsidRPr="00E37D50">
        <w:rPr>
          <w:rFonts w:eastAsia="Arial" w:cs="Arial"/>
          <w:lang w:val="en-US"/>
        </w:rPr>
        <w:t>is</w:t>
      </w:r>
      <w:r w:rsidRPr="00E37D50">
        <w:rPr>
          <w:rFonts w:eastAsia="Arial" w:cs="Arial"/>
          <w:spacing w:val="-2"/>
          <w:lang w:val="en-US"/>
        </w:rPr>
        <w:t xml:space="preserve"> </w:t>
      </w:r>
      <w:r w:rsidRPr="00E37D50">
        <w:rPr>
          <w:rFonts w:eastAsia="Arial" w:cs="Arial"/>
          <w:lang w:val="en-US"/>
        </w:rPr>
        <w:t>the</w:t>
      </w:r>
      <w:r w:rsidRPr="00E37D50">
        <w:rPr>
          <w:rFonts w:eastAsia="Arial" w:cs="Arial"/>
          <w:spacing w:val="-1"/>
          <w:lang w:val="en-US"/>
        </w:rPr>
        <w:t xml:space="preserve"> </w:t>
      </w:r>
      <w:r w:rsidRPr="00E37D50">
        <w:rPr>
          <w:rFonts w:eastAsia="Arial" w:cs="Arial"/>
          <w:lang w:val="en-US"/>
        </w:rPr>
        <w:t>identification</w:t>
      </w:r>
      <w:r w:rsidRPr="00E37D50">
        <w:rPr>
          <w:rFonts w:eastAsia="Arial" w:cs="Arial"/>
          <w:spacing w:val="-3"/>
          <w:lang w:val="en-US"/>
        </w:rPr>
        <w:t xml:space="preserve"> </w:t>
      </w:r>
      <w:r w:rsidRPr="00E37D50">
        <w:rPr>
          <w:rFonts w:eastAsia="Arial" w:cs="Arial"/>
          <w:lang w:val="en-US"/>
        </w:rPr>
        <w:t>and</w:t>
      </w:r>
      <w:r w:rsidRPr="00E37D50">
        <w:rPr>
          <w:rFonts w:eastAsia="Arial" w:cs="Arial"/>
          <w:spacing w:val="-3"/>
          <w:lang w:val="en-US"/>
        </w:rPr>
        <w:t xml:space="preserve"> </w:t>
      </w:r>
      <w:r w:rsidRPr="00E37D50">
        <w:rPr>
          <w:rFonts w:eastAsia="Arial" w:cs="Arial"/>
          <w:lang w:val="en-US"/>
        </w:rPr>
        <w:t>characterisation</w:t>
      </w:r>
      <w:r w:rsidRPr="00E37D50">
        <w:rPr>
          <w:rFonts w:eastAsia="Arial" w:cs="Arial"/>
          <w:spacing w:val="-1"/>
          <w:lang w:val="en-US"/>
        </w:rPr>
        <w:t xml:space="preserve"> </w:t>
      </w:r>
      <w:r w:rsidRPr="00E37D50">
        <w:rPr>
          <w:rFonts w:eastAsia="Arial" w:cs="Arial"/>
          <w:lang w:val="en-US"/>
        </w:rPr>
        <w:t>of</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3"/>
          <w:lang w:val="en-US"/>
        </w:rPr>
        <w:t xml:space="preserve"> </w:t>
      </w:r>
      <w:r w:rsidRPr="00E37D50">
        <w:rPr>
          <w:rFonts w:eastAsia="Arial" w:cs="Arial"/>
          <w:lang w:val="en-US"/>
        </w:rPr>
        <w:t>contact</w:t>
      </w:r>
      <w:r w:rsidRPr="00E37D50">
        <w:rPr>
          <w:rFonts w:eastAsia="Arial" w:cs="Arial"/>
          <w:spacing w:val="-1"/>
          <w:lang w:val="en-US"/>
        </w:rPr>
        <w:t xml:space="preserve"> </w:t>
      </w:r>
      <w:r w:rsidRPr="00E37D50">
        <w:rPr>
          <w:rFonts w:eastAsia="Arial" w:cs="Arial"/>
          <w:lang w:val="en-US"/>
        </w:rPr>
        <w:t>between</w:t>
      </w:r>
      <w:r w:rsidRPr="00E37D50">
        <w:rPr>
          <w:rFonts w:eastAsia="Arial" w:cs="Arial"/>
          <w:spacing w:val="-1"/>
          <w:lang w:val="en-US"/>
        </w:rPr>
        <w:t xml:space="preserve"> </w:t>
      </w:r>
      <w:r w:rsidRPr="00E37D50">
        <w:rPr>
          <w:rFonts w:eastAsia="Arial" w:cs="Arial"/>
          <w:lang w:val="en-US"/>
        </w:rPr>
        <w:t>a</w:t>
      </w:r>
      <w:r w:rsidRPr="00E37D50">
        <w:rPr>
          <w:rFonts w:eastAsia="Arial" w:cs="Arial"/>
          <w:spacing w:val="-3"/>
          <w:lang w:val="en-US"/>
        </w:rPr>
        <w:t xml:space="preserve"> </w:t>
      </w:r>
      <w:r w:rsidRPr="00E37D50">
        <w:rPr>
          <w:rFonts w:eastAsia="Arial" w:cs="Arial"/>
          <w:lang w:val="en-US"/>
        </w:rPr>
        <w:t>product</w:t>
      </w:r>
      <w:r w:rsidRPr="00E37D50">
        <w:rPr>
          <w:rFonts w:eastAsia="Arial" w:cs="Arial"/>
          <w:spacing w:val="-3"/>
          <w:lang w:val="en-US"/>
        </w:rPr>
        <w:t xml:space="preserve"> </w:t>
      </w:r>
      <w:r w:rsidRPr="00E37D50">
        <w:rPr>
          <w:rFonts w:eastAsia="Arial" w:cs="Arial"/>
          <w:lang w:val="en-US"/>
        </w:rPr>
        <w:t>or</w:t>
      </w:r>
      <w:r w:rsidRPr="00E37D50">
        <w:rPr>
          <w:rFonts w:eastAsia="Arial" w:cs="Arial"/>
          <w:spacing w:val="-2"/>
          <w:lang w:val="en-US"/>
        </w:rPr>
        <w:t xml:space="preserve"> </w:t>
      </w:r>
      <w:r w:rsidRPr="00E37D50">
        <w:rPr>
          <w:rFonts w:eastAsia="Arial" w:cs="Arial"/>
          <w:lang w:val="en-US"/>
        </w:rPr>
        <w:t>substance</w:t>
      </w:r>
      <w:r w:rsidRPr="00E37D50">
        <w:rPr>
          <w:rFonts w:eastAsia="Arial" w:cs="Arial"/>
          <w:spacing w:val="-1"/>
          <w:lang w:val="en-US"/>
        </w:rPr>
        <w:t xml:space="preserve"> </w:t>
      </w:r>
      <w:r w:rsidRPr="00E37D50">
        <w:rPr>
          <w:rFonts w:eastAsia="Arial" w:cs="Arial"/>
          <w:lang w:val="en-US"/>
        </w:rPr>
        <w:t>and the</w:t>
      </w:r>
      <w:r w:rsidRPr="00E37D50">
        <w:rPr>
          <w:rFonts w:eastAsia="Arial" w:cs="Arial"/>
          <w:spacing w:val="-3"/>
          <w:lang w:val="en-US"/>
        </w:rPr>
        <w:t xml:space="preserve"> </w:t>
      </w:r>
      <w:r w:rsidRPr="00E37D50">
        <w:rPr>
          <w:rFonts w:eastAsia="Arial" w:cs="Arial"/>
          <w:lang w:val="en-US"/>
        </w:rPr>
        <w:t>host,</w:t>
      </w:r>
      <w:r w:rsidRPr="00E37D50">
        <w:rPr>
          <w:rFonts w:eastAsia="Arial" w:cs="Arial"/>
          <w:spacing w:val="-3"/>
          <w:lang w:val="en-US"/>
        </w:rPr>
        <w:t xml:space="preserve"> </w:t>
      </w:r>
      <w:r w:rsidRPr="00E37D50">
        <w:rPr>
          <w:rFonts w:eastAsia="Arial" w:cs="Arial"/>
          <w:lang w:val="en-US"/>
        </w:rPr>
        <w:t>in</w:t>
      </w:r>
      <w:r w:rsidRPr="00E37D50">
        <w:rPr>
          <w:rFonts w:eastAsia="Arial" w:cs="Arial"/>
          <w:spacing w:val="-3"/>
          <w:lang w:val="en-US"/>
        </w:rPr>
        <w:t xml:space="preserve"> </w:t>
      </w:r>
      <w:r w:rsidRPr="00E37D50">
        <w:rPr>
          <w:rFonts w:eastAsia="Arial" w:cs="Arial"/>
          <w:lang w:val="en-US"/>
        </w:rPr>
        <w:t>this</w:t>
      </w:r>
      <w:r w:rsidRPr="00E37D50">
        <w:rPr>
          <w:rFonts w:eastAsia="Arial" w:cs="Arial"/>
          <w:spacing w:val="-2"/>
          <w:lang w:val="en-US"/>
        </w:rPr>
        <w:t xml:space="preserve"> </w:t>
      </w:r>
      <w:r w:rsidRPr="00E37D50">
        <w:rPr>
          <w:rFonts w:eastAsia="Arial" w:cs="Arial"/>
          <w:lang w:val="en-US"/>
        </w:rPr>
        <w:t>case</w:t>
      </w:r>
      <w:r w:rsidRPr="00E37D50">
        <w:rPr>
          <w:rFonts w:eastAsia="Arial" w:cs="Arial"/>
          <w:spacing w:val="-3"/>
          <w:lang w:val="en-US"/>
        </w:rPr>
        <w:t xml:space="preserve"> </w:t>
      </w:r>
      <w:r w:rsidRPr="00E37D50">
        <w:rPr>
          <w:rFonts w:eastAsia="Arial" w:cs="Arial"/>
          <w:lang w:val="en-US"/>
        </w:rPr>
        <w:t>humans.</w:t>
      </w:r>
      <w:r w:rsidRPr="00E37D50">
        <w:rPr>
          <w:rFonts w:eastAsia="Arial" w:cs="Arial"/>
          <w:spacing w:val="-3"/>
          <w:lang w:val="en-US"/>
        </w:rPr>
        <w:t xml:space="preserve"> </w:t>
      </w:r>
      <w:r w:rsidRPr="00E37D50">
        <w:rPr>
          <w:rFonts w:eastAsia="Arial" w:cs="Arial"/>
          <w:lang w:val="en-US"/>
        </w:rPr>
        <w:t>For</w:t>
      </w:r>
      <w:r w:rsidRPr="00E37D50">
        <w:rPr>
          <w:rFonts w:eastAsia="Arial" w:cs="Arial"/>
          <w:spacing w:val="-2"/>
          <w:lang w:val="en-US"/>
        </w:rPr>
        <w:t xml:space="preserve"> </w:t>
      </w:r>
      <w:r w:rsidRPr="00E37D50">
        <w:rPr>
          <w:rFonts w:eastAsia="Arial" w:cs="Arial"/>
          <w:lang w:val="en-US"/>
        </w:rPr>
        <w:t>dermally</w:t>
      </w:r>
      <w:r w:rsidRPr="00E37D50">
        <w:rPr>
          <w:rFonts w:eastAsia="Arial" w:cs="Arial"/>
          <w:spacing w:val="-2"/>
          <w:lang w:val="en-US"/>
        </w:rPr>
        <w:t xml:space="preserve"> </w:t>
      </w:r>
      <w:r w:rsidRPr="00E37D50">
        <w:rPr>
          <w:rFonts w:eastAsia="Arial" w:cs="Arial"/>
          <w:lang w:val="en-US"/>
        </w:rPr>
        <w:t>applied</w:t>
      </w:r>
      <w:r w:rsidRPr="00E37D50">
        <w:rPr>
          <w:rFonts w:eastAsia="Arial" w:cs="Arial"/>
          <w:spacing w:val="-1"/>
          <w:lang w:val="en-US"/>
        </w:rPr>
        <w:t xml:space="preserve"> </w:t>
      </w:r>
      <w:r w:rsidRPr="00E37D50">
        <w:rPr>
          <w:rFonts w:eastAsia="Arial" w:cs="Arial"/>
          <w:lang w:val="en-US"/>
        </w:rPr>
        <w:t>products,</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3"/>
          <w:lang w:val="en-US"/>
        </w:rPr>
        <w:t xml:space="preserve"> </w:t>
      </w:r>
      <w:r w:rsidRPr="00E37D50">
        <w:rPr>
          <w:rFonts w:eastAsia="Arial" w:cs="Arial"/>
          <w:lang w:val="en-US"/>
        </w:rPr>
        <w:t>exposure</w:t>
      </w:r>
      <w:r w:rsidRPr="00E37D50">
        <w:rPr>
          <w:rFonts w:eastAsia="Arial" w:cs="Arial"/>
          <w:spacing w:val="-3"/>
          <w:lang w:val="en-US"/>
        </w:rPr>
        <w:t xml:space="preserve"> </w:t>
      </w:r>
      <w:r w:rsidRPr="00E37D50">
        <w:rPr>
          <w:rFonts w:eastAsia="Arial" w:cs="Arial"/>
          <w:lang w:val="en-US"/>
        </w:rPr>
        <w:t>can</w:t>
      </w:r>
      <w:r w:rsidRPr="00E37D50">
        <w:rPr>
          <w:rFonts w:eastAsia="Arial" w:cs="Arial"/>
          <w:spacing w:val="-1"/>
          <w:lang w:val="en-US"/>
        </w:rPr>
        <w:t xml:space="preserve"> </w:t>
      </w:r>
      <w:r w:rsidRPr="00E37D50">
        <w:rPr>
          <w:rFonts w:eastAsia="Arial" w:cs="Arial"/>
          <w:lang w:val="en-US"/>
        </w:rPr>
        <w:t>be</w:t>
      </w:r>
      <w:r w:rsidRPr="00E37D50">
        <w:rPr>
          <w:rFonts w:eastAsia="Arial" w:cs="Arial"/>
          <w:spacing w:val="-3"/>
          <w:lang w:val="en-US"/>
        </w:rPr>
        <w:t xml:space="preserve"> </w:t>
      </w:r>
      <w:r w:rsidRPr="00E37D50">
        <w:rPr>
          <w:rFonts w:eastAsia="Arial" w:cs="Arial"/>
          <w:lang w:val="en-US"/>
        </w:rPr>
        <w:t>either local</w:t>
      </w:r>
      <w:r w:rsidRPr="00E37D50">
        <w:rPr>
          <w:rFonts w:eastAsia="Arial" w:cs="Arial"/>
          <w:spacing w:val="-4"/>
          <w:lang w:val="en-US"/>
        </w:rPr>
        <w:t xml:space="preserve"> </w:t>
      </w:r>
      <w:r w:rsidRPr="00E37D50">
        <w:rPr>
          <w:rFonts w:eastAsia="Arial" w:cs="Arial"/>
          <w:lang w:val="en-US"/>
        </w:rPr>
        <w:t>or</w:t>
      </w:r>
      <w:r w:rsidRPr="00E37D50">
        <w:rPr>
          <w:rFonts w:eastAsia="Arial" w:cs="Arial"/>
          <w:spacing w:val="-2"/>
          <w:lang w:val="en-US"/>
        </w:rPr>
        <w:t xml:space="preserve"> </w:t>
      </w:r>
      <w:r w:rsidRPr="00E37D50">
        <w:rPr>
          <w:rFonts w:eastAsia="Arial" w:cs="Arial"/>
          <w:lang w:val="en-US"/>
        </w:rPr>
        <w:t>both local and systemic.</w:t>
      </w:r>
    </w:p>
    <w:p w14:paraId="71ED8E1B" w14:textId="77777777" w:rsidR="00E37D50" w:rsidRPr="00E37D50" w:rsidRDefault="00E37D50" w:rsidP="00E37D50">
      <w:pPr>
        <w:widowControl w:val="0"/>
        <w:autoSpaceDE w:val="0"/>
        <w:autoSpaceDN w:val="0"/>
        <w:spacing w:before="118" w:after="0" w:line="240" w:lineRule="auto"/>
        <w:jc w:val="both"/>
        <w:rPr>
          <w:rFonts w:eastAsia="Arial" w:cs="Arial"/>
          <w:lang w:val="en-US"/>
        </w:rPr>
      </w:pPr>
      <w:r w:rsidRPr="00E37D50">
        <w:rPr>
          <w:rFonts w:eastAsia="Arial" w:cs="Arial"/>
          <w:lang w:val="en-US"/>
        </w:rPr>
        <w:t>There</w:t>
      </w:r>
      <w:r w:rsidRPr="00E37D50">
        <w:rPr>
          <w:rFonts w:eastAsia="Arial" w:cs="Arial"/>
          <w:spacing w:val="-8"/>
          <w:lang w:val="en-US"/>
        </w:rPr>
        <w:t xml:space="preserve"> </w:t>
      </w:r>
      <w:r w:rsidRPr="00E37D50">
        <w:rPr>
          <w:rFonts w:eastAsia="Arial" w:cs="Arial"/>
          <w:lang w:val="en-US"/>
        </w:rPr>
        <w:t>are</w:t>
      </w:r>
      <w:r w:rsidRPr="00E37D50">
        <w:rPr>
          <w:rFonts w:eastAsia="Arial" w:cs="Arial"/>
          <w:spacing w:val="-5"/>
          <w:lang w:val="en-US"/>
        </w:rPr>
        <w:t xml:space="preserve"> </w:t>
      </w:r>
      <w:r w:rsidRPr="00E37D50">
        <w:rPr>
          <w:rFonts w:eastAsia="Arial" w:cs="Arial"/>
          <w:lang w:val="en-US"/>
        </w:rPr>
        <w:t>2</w:t>
      </w:r>
      <w:r w:rsidRPr="00E37D50">
        <w:rPr>
          <w:rFonts w:eastAsia="Arial" w:cs="Arial"/>
          <w:spacing w:val="-7"/>
          <w:lang w:val="en-US"/>
        </w:rPr>
        <w:t xml:space="preserve"> </w:t>
      </w:r>
      <w:r w:rsidRPr="00E37D50">
        <w:rPr>
          <w:rFonts w:eastAsia="Arial" w:cs="Arial"/>
          <w:lang w:val="en-US"/>
        </w:rPr>
        <w:t>broad</w:t>
      </w:r>
      <w:r w:rsidRPr="00E37D50">
        <w:rPr>
          <w:rFonts w:eastAsia="Arial" w:cs="Arial"/>
          <w:spacing w:val="-5"/>
          <w:lang w:val="en-US"/>
        </w:rPr>
        <w:t xml:space="preserve"> </w:t>
      </w:r>
      <w:r w:rsidRPr="00E37D50">
        <w:rPr>
          <w:rFonts w:eastAsia="Arial" w:cs="Arial"/>
          <w:lang w:val="en-US"/>
        </w:rPr>
        <w:t>areas</w:t>
      </w:r>
      <w:r w:rsidRPr="00E37D50">
        <w:rPr>
          <w:rFonts w:eastAsia="Arial" w:cs="Arial"/>
          <w:spacing w:val="-6"/>
          <w:lang w:val="en-US"/>
        </w:rPr>
        <w:t xml:space="preserve"> </w:t>
      </w:r>
      <w:r w:rsidRPr="00E37D50">
        <w:rPr>
          <w:rFonts w:eastAsia="Arial" w:cs="Arial"/>
          <w:lang w:val="en-US"/>
        </w:rPr>
        <w:t>of</w:t>
      </w:r>
      <w:r w:rsidRPr="00E37D50">
        <w:rPr>
          <w:rFonts w:eastAsia="Arial" w:cs="Arial"/>
          <w:spacing w:val="-3"/>
          <w:lang w:val="en-US"/>
        </w:rPr>
        <w:t xml:space="preserve"> </w:t>
      </w:r>
      <w:r w:rsidRPr="00E37D50">
        <w:rPr>
          <w:rFonts w:eastAsia="Arial" w:cs="Arial"/>
          <w:lang w:val="en-US"/>
        </w:rPr>
        <w:t>risk</w:t>
      </w:r>
      <w:r w:rsidRPr="00E37D50">
        <w:rPr>
          <w:rFonts w:eastAsia="Arial" w:cs="Arial"/>
          <w:spacing w:val="-6"/>
          <w:lang w:val="en-US"/>
        </w:rPr>
        <w:t xml:space="preserve"> </w:t>
      </w:r>
      <w:r w:rsidRPr="00E37D50">
        <w:rPr>
          <w:rFonts w:eastAsia="Arial" w:cs="Arial"/>
          <w:lang w:val="en-US"/>
        </w:rPr>
        <w:t>associated</w:t>
      </w:r>
      <w:r w:rsidRPr="00E37D50">
        <w:rPr>
          <w:rFonts w:eastAsia="Arial" w:cs="Arial"/>
          <w:spacing w:val="-5"/>
          <w:lang w:val="en-US"/>
        </w:rPr>
        <w:t xml:space="preserve"> </w:t>
      </w:r>
      <w:r w:rsidRPr="00E37D50">
        <w:rPr>
          <w:rFonts w:eastAsia="Arial" w:cs="Arial"/>
          <w:lang w:val="en-US"/>
        </w:rPr>
        <w:t>with</w:t>
      </w:r>
      <w:r w:rsidRPr="00E37D50">
        <w:rPr>
          <w:rFonts w:eastAsia="Arial" w:cs="Arial"/>
          <w:spacing w:val="-7"/>
          <w:lang w:val="en-US"/>
        </w:rPr>
        <w:t xml:space="preserve"> </w:t>
      </w:r>
      <w:r w:rsidRPr="00E37D50">
        <w:rPr>
          <w:rFonts w:eastAsia="Arial" w:cs="Arial"/>
          <w:lang w:val="en-US"/>
        </w:rPr>
        <w:t>dermally</w:t>
      </w:r>
      <w:r w:rsidRPr="00E37D50">
        <w:rPr>
          <w:rFonts w:eastAsia="Arial" w:cs="Arial"/>
          <w:spacing w:val="-7"/>
          <w:lang w:val="en-US"/>
        </w:rPr>
        <w:t xml:space="preserve"> </w:t>
      </w:r>
      <w:r w:rsidRPr="00E37D50">
        <w:rPr>
          <w:rFonts w:eastAsia="Arial" w:cs="Arial"/>
          <w:lang w:val="en-US"/>
        </w:rPr>
        <w:t>applied</w:t>
      </w:r>
      <w:r w:rsidRPr="00E37D50">
        <w:rPr>
          <w:rFonts w:eastAsia="Arial" w:cs="Arial"/>
          <w:spacing w:val="-7"/>
          <w:lang w:val="en-US"/>
        </w:rPr>
        <w:t xml:space="preserve"> </w:t>
      </w:r>
      <w:r w:rsidRPr="00E37D50">
        <w:rPr>
          <w:rFonts w:eastAsia="Arial" w:cs="Arial"/>
          <w:lang w:val="en-US"/>
        </w:rPr>
        <w:t>products,</w:t>
      </w:r>
      <w:r w:rsidRPr="00E37D50">
        <w:rPr>
          <w:rFonts w:eastAsia="Arial" w:cs="Arial"/>
          <w:spacing w:val="-7"/>
          <w:lang w:val="en-US"/>
        </w:rPr>
        <w:t xml:space="preserve"> </w:t>
      </w:r>
      <w:r w:rsidRPr="00E37D50">
        <w:rPr>
          <w:rFonts w:eastAsia="Arial" w:cs="Arial"/>
          <w:lang w:val="en-US"/>
        </w:rPr>
        <w:t>including</w:t>
      </w:r>
      <w:r w:rsidRPr="00E37D50">
        <w:rPr>
          <w:rFonts w:eastAsia="Arial" w:cs="Arial"/>
          <w:spacing w:val="-7"/>
          <w:lang w:val="en-US"/>
        </w:rPr>
        <w:t xml:space="preserve"> </w:t>
      </w:r>
      <w:r w:rsidRPr="00E37D50">
        <w:rPr>
          <w:rFonts w:eastAsia="Arial" w:cs="Arial"/>
          <w:spacing w:val="-2"/>
          <w:lang w:val="en-US"/>
        </w:rPr>
        <w:t>sunscreens:</w:t>
      </w:r>
    </w:p>
    <w:p w14:paraId="41718B3C" w14:textId="683EE9C8" w:rsidR="00E37D50" w:rsidRPr="00E37D50" w:rsidRDefault="00945DDC">
      <w:pPr>
        <w:numPr>
          <w:ilvl w:val="0"/>
          <w:numId w:val="15"/>
        </w:numPr>
        <w:spacing w:before="120" w:after="180" w:line="240" w:lineRule="atLeast"/>
        <w:rPr>
          <w:rFonts w:eastAsia="Cambria" w:cs="Times New Roman"/>
        </w:rPr>
      </w:pPr>
      <w:r>
        <w:rPr>
          <w:rFonts w:eastAsia="Cambria" w:cs="Times New Roman"/>
        </w:rPr>
        <w:t>A</w:t>
      </w:r>
      <w:r w:rsidR="00E37D50" w:rsidRPr="00E37D50">
        <w:rPr>
          <w:rFonts w:eastAsia="Cambria" w:cs="Times New Roman"/>
        </w:rPr>
        <w:t>dverse</w:t>
      </w:r>
      <w:r w:rsidR="00E37D50" w:rsidRPr="00E37D50">
        <w:rPr>
          <w:rFonts w:eastAsia="Cambria" w:cs="Times New Roman"/>
          <w:spacing w:val="-5"/>
        </w:rPr>
        <w:t xml:space="preserve"> </w:t>
      </w:r>
      <w:r w:rsidR="00E37D50" w:rsidRPr="00E37D50">
        <w:rPr>
          <w:rFonts w:eastAsia="Cambria" w:cs="Times New Roman"/>
        </w:rPr>
        <w:t>effects</w:t>
      </w:r>
      <w:r w:rsidR="00E37D50" w:rsidRPr="00E37D50">
        <w:rPr>
          <w:rFonts w:eastAsia="Cambria" w:cs="Times New Roman"/>
          <w:spacing w:val="-4"/>
        </w:rPr>
        <w:t xml:space="preserve"> </w:t>
      </w:r>
      <w:r w:rsidR="00E37D50" w:rsidRPr="00E37D50">
        <w:rPr>
          <w:rFonts w:eastAsia="Cambria" w:cs="Times New Roman"/>
        </w:rPr>
        <w:t>at</w:t>
      </w:r>
      <w:r w:rsidR="00E37D50" w:rsidRPr="00E37D50">
        <w:rPr>
          <w:rFonts w:eastAsia="Cambria" w:cs="Times New Roman"/>
          <w:spacing w:val="-5"/>
        </w:rPr>
        <w:t xml:space="preserve"> </w:t>
      </w:r>
      <w:r w:rsidR="00E37D50" w:rsidRPr="00E37D50">
        <w:rPr>
          <w:rFonts w:eastAsia="Cambria" w:cs="Times New Roman"/>
        </w:rPr>
        <w:t>or</w:t>
      </w:r>
      <w:r w:rsidR="00E37D50" w:rsidRPr="00E37D50">
        <w:rPr>
          <w:rFonts w:eastAsia="Cambria" w:cs="Times New Roman"/>
          <w:spacing w:val="-2"/>
        </w:rPr>
        <w:t xml:space="preserve"> </w:t>
      </w:r>
      <w:r w:rsidR="00E37D50" w:rsidRPr="00E37D50">
        <w:rPr>
          <w:rFonts w:eastAsia="Cambria" w:cs="Times New Roman"/>
        </w:rPr>
        <w:t>around</w:t>
      </w:r>
      <w:r w:rsidR="00E37D50" w:rsidRPr="00E37D50">
        <w:rPr>
          <w:rFonts w:eastAsia="Cambria" w:cs="Times New Roman"/>
          <w:spacing w:val="-5"/>
        </w:rPr>
        <w:t xml:space="preserve"> </w:t>
      </w:r>
      <w:r w:rsidR="00E37D50" w:rsidRPr="00E37D50">
        <w:rPr>
          <w:rFonts w:eastAsia="Cambria" w:cs="Times New Roman"/>
        </w:rPr>
        <w:t>the</w:t>
      </w:r>
      <w:r w:rsidR="00E37D50" w:rsidRPr="00E37D50">
        <w:rPr>
          <w:rFonts w:eastAsia="Cambria" w:cs="Times New Roman"/>
          <w:spacing w:val="-3"/>
        </w:rPr>
        <w:t xml:space="preserve"> </w:t>
      </w:r>
      <w:r w:rsidR="00E37D50" w:rsidRPr="00E37D50">
        <w:rPr>
          <w:rFonts w:eastAsia="Cambria" w:cs="Times New Roman"/>
        </w:rPr>
        <w:t>site</w:t>
      </w:r>
      <w:r w:rsidR="00E37D50" w:rsidRPr="00E37D50">
        <w:rPr>
          <w:rFonts w:eastAsia="Cambria" w:cs="Times New Roman"/>
          <w:spacing w:val="-3"/>
        </w:rPr>
        <w:t xml:space="preserve"> </w:t>
      </w:r>
      <w:r w:rsidR="00E37D50" w:rsidRPr="00E37D50">
        <w:rPr>
          <w:rFonts w:eastAsia="Cambria" w:cs="Times New Roman"/>
        </w:rPr>
        <w:t>of</w:t>
      </w:r>
      <w:r w:rsidR="00E37D50" w:rsidRPr="00E37D50">
        <w:rPr>
          <w:rFonts w:eastAsia="Cambria" w:cs="Times New Roman"/>
          <w:spacing w:val="-5"/>
        </w:rPr>
        <w:t xml:space="preserve"> </w:t>
      </w:r>
      <w:r w:rsidR="00E37D50" w:rsidRPr="00E37D50">
        <w:rPr>
          <w:rFonts w:eastAsia="Cambria" w:cs="Times New Roman"/>
        </w:rPr>
        <w:t>application/administration</w:t>
      </w:r>
      <w:r w:rsidR="00E37D50" w:rsidRPr="00E37D50">
        <w:rPr>
          <w:rFonts w:eastAsia="Cambria" w:cs="Times New Roman"/>
          <w:spacing w:val="-3"/>
        </w:rPr>
        <w:t xml:space="preserve"> </w:t>
      </w:r>
      <w:r w:rsidR="00E37D50" w:rsidRPr="00E37D50">
        <w:rPr>
          <w:rFonts w:eastAsia="Cambria" w:cs="Times New Roman"/>
        </w:rPr>
        <w:t>e.g.</w:t>
      </w:r>
      <w:r w:rsidR="00E37D50" w:rsidRPr="00E37D50">
        <w:rPr>
          <w:rFonts w:eastAsia="Cambria" w:cs="Times New Roman"/>
          <w:spacing w:val="-3"/>
        </w:rPr>
        <w:t xml:space="preserve"> </w:t>
      </w:r>
      <w:r w:rsidR="00E37D50" w:rsidRPr="00E37D50">
        <w:rPr>
          <w:rFonts w:eastAsia="Cambria" w:cs="Times New Roman"/>
        </w:rPr>
        <w:t>irritation</w:t>
      </w:r>
      <w:r w:rsidR="00E37D50" w:rsidRPr="00E37D50">
        <w:rPr>
          <w:rFonts w:eastAsia="Cambria" w:cs="Times New Roman"/>
          <w:spacing w:val="-5"/>
        </w:rPr>
        <w:t xml:space="preserve"> </w:t>
      </w:r>
      <w:r w:rsidR="00E37D50" w:rsidRPr="00E37D50">
        <w:rPr>
          <w:rFonts w:eastAsia="Cambria" w:cs="Times New Roman"/>
        </w:rPr>
        <w:t xml:space="preserve">and </w:t>
      </w:r>
      <w:r w:rsidR="00E37D50" w:rsidRPr="00E37D50">
        <w:rPr>
          <w:rFonts w:eastAsia="Cambria" w:cs="Times New Roman"/>
          <w:spacing w:val="-2"/>
        </w:rPr>
        <w:t>inflammation.</w:t>
      </w:r>
    </w:p>
    <w:p w14:paraId="3BF74627" w14:textId="7CD014EB" w:rsidR="00E37D50" w:rsidRPr="00E37D50" w:rsidRDefault="00945DDC">
      <w:pPr>
        <w:numPr>
          <w:ilvl w:val="0"/>
          <w:numId w:val="7"/>
        </w:numPr>
        <w:spacing w:before="120" w:after="180" w:line="240" w:lineRule="atLeast"/>
        <w:rPr>
          <w:rFonts w:eastAsia="Cambria" w:cs="Times New Roman"/>
        </w:rPr>
      </w:pPr>
      <w:r>
        <w:rPr>
          <w:rFonts w:eastAsia="Cambria" w:cs="Times New Roman"/>
        </w:rPr>
        <w:t>A</w:t>
      </w:r>
      <w:r w:rsidR="00E37D50" w:rsidRPr="00E37D50">
        <w:rPr>
          <w:rFonts w:eastAsia="Cambria" w:cs="Times New Roman"/>
        </w:rPr>
        <w:t>dverse effects related to systemic effects following distribution of substances internally via ingestion,</w:t>
      </w:r>
      <w:r w:rsidR="00E37D50" w:rsidRPr="00E37D50">
        <w:rPr>
          <w:rFonts w:eastAsia="Cambria" w:cs="Times New Roman"/>
          <w:spacing w:val="-4"/>
        </w:rPr>
        <w:t xml:space="preserve"> </w:t>
      </w:r>
      <w:r w:rsidR="00E37D50" w:rsidRPr="00E37D50">
        <w:rPr>
          <w:rFonts w:eastAsia="Cambria" w:cs="Times New Roman"/>
        </w:rPr>
        <w:t>inhalation,</w:t>
      </w:r>
      <w:r w:rsidR="00E37D50" w:rsidRPr="00E37D50">
        <w:rPr>
          <w:rFonts w:eastAsia="Cambria" w:cs="Times New Roman"/>
          <w:spacing w:val="-4"/>
        </w:rPr>
        <w:t xml:space="preserve"> </w:t>
      </w:r>
      <w:r w:rsidR="00E37D50" w:rsidRPr="00E37D50">
        <w:rPr>
          <w:rFonts w:eastAsia="Cambria" w:cs="Times New Roman"/>
        </w:rPr>
        <w:t>or</w:t>
      </w:r>
      <w:r w:rsidR="00E37D50" w:rsidRPr="00E37D50">
        <w:rPr>
          <w:rFonts w:eastAsia="Cambria" w:cs="Times New Roman"/>
          <w:spacing w:val="-1"/>
        </w:rPr>
        <w:t xml:space="preserve"> </w:t>
      </w:r>
      <w:r w:rsidR="00E37D50" w:rsidRPr="00E37D50">
        <w:rPr>
          <w:rFonts w:eastAsia="Cambria" w:cs="Times New Roman"/>
        </w:rPr>
        <w:t>penetration/absorption</w:t>
      </w:r>
      <w:r w:rsidR="00E37D50" w:rsidRPr="00E37D50">
        <w:rPr>
          <w:rFonts w:eastAsia="Cambria" w:cs="Times New Roman"/>
          <w:spacing w:val="-2"/>
        </w:rPr>
        <w:t xml:space="preserve"> </w:t>
      </w:r>
      <w:r w:rsidR="00E37D50" w:rsidRPr="00E37D50">
        <w:rPr>
          <w:rFonts w:eastAsia="Cambria" w:cs="Times New Roman"/>
        </w:rPr>
        <w:t>though</w:t>
      </w:r>
      <w:r w:rsidR="00E37D50" w:rsidRPr="00E37D50">
        <w:rPr>
          <w:rFonts w:eastAsia="Cambria" w:cs="Times New Roman"/>
          <w:spacing w:val="-2"/>
        </w:rPr>
        <w:t xml:space="preserve"> </w:t>
      </w:r>
      <w:r w:rsidR="00E37D50" w:rsidRPr="00E37D50">
        <w:rPr>
          <w:rFonts w:eastAsia="Cambria" w:cs="Times New Roman"/>
        </w:rPr>
        <w:t>the</w:t>
      </w:r>
      <w:r w:rsidR="00E37D50" w:rsidRPr="00E37D50">
        <w:rPr>
          <w:rFonts w:eastAsia="Cambria" w:cs="Times New Roman"/>
          <w:spacing w:val="-4"/>
        </w:rPr>
        <w:t xml:space="preserve"> </w:t>
      </w:r>
      <w:r w:rsidR="00E37D50" w:rsidRPr="00E37D50">
        <w:rPr>
          <w:rFonts w:eastAsia="Cambria" w:cs="Times New Roman"/>
        </w:rPr>
        <w:t>skin,</w:t>
      </w:r>
      <w:r w:rsidR="00E37D50" w:rsidRPr="00E37D50">
        <w:rPr>
          <w:rFonts w:eastAsia="Cambria" w:cs="Times New Roman"/>
          <w:spacing w:val="-2"/>
        </w:rPr>
        <w:t xml:space="preserve"> </w:t>
      </w:r>
      <w:r w:rsidR="00E37D50" w:rsidRPr="00E37D50">
        <w:rPr>
          <w:rFonts w:eastAsia="Cambria" w:cs="Times New Roman"/>
        </w:rPr>
        <w:t>eyes,</w:t>
      </w:r>
      <w:r w:rsidR="00E37D50" w:rsidRPr="00E37D50">
        <w:rPr>
          <w:rFonts w:eastAsia="Cambria" w:cs="Times New Roman"/>
          <w:spacing w:val="-4"/>
        </w:rPr>
        <w:t xml:space="preserve"> </w:t>
      </w:r>
      <w:r w:rsidR="00E37D50" w:rsidRPr="00E37D50">
        <w:rPr>
          <w:rFonts w:eastAsia="Cambria" w:cs="Times New Roman"/>
        </w:rPr>
        <w:t>and</w:t>
      </w:r>
      <w:r w:rsidR="00E37D50" w:rsidRPr="00E37D50">
        <w:rPr>
          <w:rFonts w:eastAsia="Cambria" w:cs="Times New Roman"/>
          <w:spacing w:val="-4"/>
        </w:rPr>
        <w:t xml:space="preserve"> </w:t>
      </w:r>
      <w:r w:rsidR="00E37D50" w:rsidRPr="00E37D50">
        <w:rPr>
          <w:rFonts w:eastAsia="Cambria" w:cs="Times New Roman"/>
        </w:rPr>
        <w:t>other</w:t>
      </w:r>
      <w:r w:rsidR="00E37D50" w:rsidRPr="00E37D50">
        <w:rPr>
          <w:rFonts w:eastAsia="Cambria" w:cs="Times New Roman"/>
          <w:spacing w:val="-3"/>
        </w:rPr>
        <w:t xml:space="preserve"> </w:t>
      </w:r>
      <w:r w:rsidR="00E37D50" w:rsidRPr="00E37D50">
        <w:rPr>
          <w:rFonts w:eastAsia="Cambria" w:cs="Times New Roman"/>
        </w:rPr>
        <w:t>areas</w:t>
      </w:r>
      <w:r w:rsidR="00E37D50" w:rsidRPr="00E37D50">
        <w:rPr>
          <w:rFonts w:eastAsia="Cambria" w:cs="Times New Roman"/>
          <w:spacing w:val="-3"/>
        </w:rPr>
        <w:t xml:space="preserve"> </w:t>
      </w:r>
      <w:r w:rsidR="00E37D50" w:rsidRPr="00E37D50">
        <w:rPr>
          <w:rFonts w:eastAsia="Cambria" w:cs="Times New Roman"/>
        </w:rPr>
        <w:t>of</w:t>
      </w:r>
      <w:r w:rsidR="00E37D50" w:rsidRPr="00E37D50">
        <w:rPr>
          <w:rFonts w:eastAsia="Cambria" w:cs="Times New Roman"/>
          <w:spacing w:val="-4"/>
        </w:rPr>
        <w:t xml:space="preserve"> </w:t>
      </w:r>
      <w:r w:rsidR="00E37D50" w:rsidRPr="00E37D50">
        <w:rPr>
          <w:rFonts w:eastAsia="Cambria" w:cs="Times New Roman"/>
        </w:rPr>
        <w:t xml:space="preserve">the </w:t>
      </w:r>
      <w:r w:rsidR="00E37D50" w:rsidRPr="00E37D50">
        <w:rPr>
          <w:rFonts w:eastAsia="Cambria" w:cs="Times New Roman"/>
          <w:spacing w:val="-2"/>
        </w:rPr>
        <w:t>body.</w:t>
      </w:r>
    </w:p>
    <w:p w14:paraId="40C3497C" w14:textId="77777777" w:rsidR="00B437A4" w:rsidRDefault="00E37D50" w:rsidP="00B437A4">
      <w:pPr>
        <w:widowControl w:val="0"/>
        <w:autoSpaceDE w:val="0"/>
        <w:autoSpaceDN w:val="0"/>
        <w:spacing w:before="121" w:after="0" w:line="240" w:lineRule="auto"/>
        <w:rPr>
          <w:rFonts w:eastAsia="Arial" w:cs="Arial"/>
          <w:spacing w:val="-2"/>
          <w:lang w:val="en-US"/>
        </w:rPr>
      </w:pPr>
      <w:r w:rsidRPr="00E37D50">
        <w:rPr>
          <w:rFonts w:eastAsia="Arial" w:cs="Arial"/>
          <w:lang w:val="en-US"/>
        </w:rPr>
        <w:t>Local</w:t>
      </w:r>
      <w:r w:rsidRPr="00E37D50">
        <w:rPr>
          <w:rFonts w:eastAsia="Arial" w:cs="Arial"/>
          <w:spacing w:val="-7"/>
          <w:lang w:val="en-US"/>
        </w:rPr>
        <w:t xml:space="preserve"> </w:t>
      </w:r>
      <w:r w:rsidRPr="00E37D50">
        <w:rPr>
          <w:rFonts w:eastAsia="Arial" w:cs="Arial"/>
          <w:lang w:val="en-US"/>
        </w:rPr>
        <w:t>intolerance</w:t>
      </w:r>
      <w:r w:rsidRPr="00E37D50">
        <w:rPr>
          <w:rFonts w:eastAsia="Arial" w:cs="Arial"/>
          <w:spacing w:val="-6"/>
          <w:lang w:val="en-US"/>
        </w:rPr>
        <w:t xml:space="preserve"> </w:t>
      </w:r>
      <w:r w:rsidRPr="00E37D50">
        <w:rPr>
          <w:rFonts w:eastAsia="Arial" w:cs="Arial"/>
          <w:lang w:val="en-US"/>
        </w:rPr>
        <w:t>of</w:t>
      </w:r>
      <w:r w:rsidRPr="00E37D50">
        <w:rPr>
          <w:rFonts w:eastAsia="Arial" w:cs="Arial"/>
          <w:spacing w:val="-8"/>
          <w:lang w:val="en-US"/>
        </w:rPr>
        <w:t xml:space="preserve"> </w:t>
      </w:r>
      <w:r w:rsidRPr="00E37D50">
        <w:rPr>
          <w:rFonts w:eastAsia="Arial" w:cs="Arial"/>
          <w:lang w:val="en-US"/>
        </w:rPr>
        <w:t>a</w:t>
      </w:r>
      <w:r w:rsidRPr="00E37D50">
        <w:rPr>
          <w:rFonts w:eastAsia="Arial" w:cs="Arial"/>
          <w:spacing w:val="-6"/>
          <w:lang w:val="en-US"/>
        </w:rPr>
        <w:t xml:space="preserve"> </w:t>
      </w:r>
      <w:r w:rsidRPr="00E37D50">
        <w:rPr>
          <w:rFonts w:eastAsia="Arial" w:cs="Arial"/>
          <w:lang w:val="en-US"/>
        </w:rPr>
        <w:t>dermally</w:t>
      </w:r>
      <w:r w:rsidRPr="00E37D50">
        <w:rPr>
          <w:rFonts w:eastAsia="Arial" w:cs="Arial"/>
          <w:spacing w:val="-4"/>
          <w:lang w:val="en-US"/>
        </w:rPr>
        <w:t xml:space="preserve"> </w:t>
      </w:r>
      <w:r w:rsidRPr="00E37D50">
        <w:rPr>
          <w:rFonts w:eastAsia="Arial" w:cs="Arial"/>
          <w:lang w:val="en-US"/>
        </w:rPr>
        <w:t>applied</w:t>
      </w:r>
      <w:r w:rsidRPr="00E37D50">
        <w:rPr>
          <w:rFonts w:eastAsia="Arial" w:cs="Arial"/>
          <w:spacing w:val="-8"/>
          <w:lang w:val="en-US"/>
        </w:rPr>
        <w:t xml:space="preserve"> </w:t>
      </w:r>
      <w:r w:rsidRPr="00E37D50">
        <w:rPr>
          <w:rFonts w:eastAsia="Arial" w:cs="Arial"/>
          <w:lang w:val="en-US"/>
        </w:rPr>
        <w:t>product</w:t>
      </w:r>
      <w:r w:rsidRPr="00E37D50">
        <w:rPr>
          <w:rFonts w:eastAsia="Arial" w:cs="Arial"/>
          <w:spacing w:val="-6"/>
          <w:lang w:val="en-US"/>
        </w:rPr>
        <w:t xml:space="preserve"> </w:t>
      </w:r>
      <w:r w:rsidRPr="00E37D50">
        <w:rPr>
          <w:rFonts w:eastAsia="Arial" w:cs="Arial"/>
          <w:lang w:val="en-US"/>
        </w:rPr>
        <w:t>may</w:t>
      </w:r>
      <w:r w:rsidRPr="00E37D50">
        <w:rPr>
          <w:rFonts w:eastAsia="Arial" w:cs="Arial"/>
          <w:spacing w:val="-7"/>
          <w:lang w:val="en-US"/>
        </w:rPr>
        <w:t xml:space="preserve"> </w:t>
      </w:r>
      <w:r w:rsidRPr="00E37D50">
        <w:rPr>
          <w:rFonts w:eastAsia="Arial" w:cs="Arial"/>
          <w:lang w:val="en-US"/>
        </w:rPr>
        <w:t>be</w:t>
      </w:r>
      <w:r w:rsidRPr="00E37D50">
        <w:rPr>
          <w:rFonts w:eastAsia="Arial" w:cs="Arial"/>
          <w:spacing w:val="-5"/>
          <w:lang w:val="en-US"/>
        </w:rPr>
        <w:t xml:space="preserve"> </w:t>
      </w:r>
      <w:r w:rsidRPr="00E37D50">
        <w:rPr>
          <w:rFonts w:eastAsia="Arial" w:cs="Arial"/>
          <w:lang w:val="en-US"/>
        </w:rPr>
        <w:t>thought</w:t>
      </w:r>
      <w:r w:rsidRPr="00E37D50">
        <w:rPr>
          <w:rFonts w:eastAsia="Arial" w:cs="Arial"/>
          <w:spacing w:val="-6"/>
          <w:lang w:val="en-US"/>
        </w:rPr>
        <w:t xml:space="preserve"> </w:t>
      </w:r>
      <w:r w:rsidRPr="00E37D50">
        <w:rPr>
          <w:rFonts w:eastAsia="Arial" w:cs="Arial"/>
          <w:lang w:val="en-US"/>
        </w:rPr>
        <w:t>as</w:t>
      </w:r>
      <w:r w:rsidRPr="00E37D50">
        <w:rPr>
          <w:rFonts w:eastAsia="Arial" w:cs="Arial"/>
          <w:spacing w:val="-7"/>
          <w:lang w:val="en-US"/>
        </w:rPr>
        <w:t xml:space="preserve"> </w:t>
      </w:r>
      <w:r w:rsidRPr="00E37D50">
        <w:rPr>
          <w:rFonts w:eastAsia="Arial" w:cs="Arial"/>
          <w:lang w:val="en-US"/>
        </w:rPr>
        <w:t>time-limited</w:t>
      </w:r>
      <w:r w:rsidRPr="00E37D50">
        <w:rPr>
          <w:rFonts w:eastAsia="Arial" w:cs="Arial"/>
          <w:spacing w:val="-8"/>
          <w:lang w:val="en-US"/>
        </w:rPr>
        <w:t xml:space="preserve"> </w:t>
      </w:r>
      <w:r w:rsidRPr="00E37D50">
        <w:rPr>
          <w:rFonts w:eastAsia="Arial" w:cs="Arial"/>
          <w:lang w:val="en-US"/>
        </w:rPr>
        <w:t>and</w:t>
      </w:r>
      <w:r w:rsidRPr="00E37D50">
        <w:rPr>
          <w:rFonts w:eastAsia="Arial" w:cs="Arial"/>
          <w:spacing w:val="-8"/>
          <w:lang w:val="en-US"/>
        </w:rPr>
        <w:t xml:space="preserve"> </w:t>
      </w:r>
      <w:r w:rsidRPr="00E37D50">
        <w:rPr>
          <w:rFonts w:eastAsia="Arial" w:cs="Arial"/>
          <w:lang w:val="en-US"/>
        </w:rPr>
        <w:t>self-</w:t>
      </w:r>
      <w:r w:rsidRPr="00E37D50">
        <w:rPr>
          <w:rFonts w:eastAsia="Arial" w:cs="Arial"/>
          <w:spacing w:val="-2"/>
          <w:lang w:val="en-US"/>
        </w:rPr>
        <w:t>identifiable,</w:t>
      </w:r>
      <w:r w:rsidR="00B437A4">
        <w:rPr>
          <w:rFonts w:eastAsia="Arial" w:cs="Arial"/>
          <w:lang w:val="en-US"/>
        </w:rPr>
        <w:t xml:space="preserve"> </w:t>
      </w:r>
      <w:r w:rsidRPr="00E37D50">
        <w:rPr>
          <w:rFonts w:eastAsia="Arial" w:cs="Arial"/>
          <w:lang w:val="en-US"/>
        </w:rPr>
        <w:t>i.e. a product can be removed (washed) off the skin or flushed from the eyes, (skin surface removal/sloughing)</w:t>
      </w:r>
      <w:r w:rsidRPr="00E37D50">
        <w:rPr>
          <w:rFonts w:eastAsia="Arial" w:cs="Arial"/>
          <w:spacing w:val="-1"/>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person</w:t>
      </w:r>
      <w:r w:rsidRPr="00E37D50">
        <w:rPr>
          <w:rFonts w:eastAsia="Arial" w:cs="Arial"/>
          <w:spacing w:val="-4"/>
          <w:lang w:val="en-US"/>
        </w:rPr>
        <w:t xml:space="preserve"> </w:t>
      </w:r>
      <w:r w:rsidRPr="00E37D50">
        <w:rPr>
          <w:rFonts w:eastAsia="Arial" w:cs="Arial"/>
          <w:lang w:val="en-US"/>
        </w:rPr>
        <w:t>could</w:t>
      </w:r>
      <w:r w:rsidRPr="00E37D50">
        <w:rPr>
          <w:rFonts w:eastAsia="Arial" w:cs="Arial"/>
          <w:spacing w:val="-4"/>
          <w:lang w:val="en-US"/>
        </w:rPr>
        <w:t xml:space="preserve"> </w:t>
      </w:r>
      <w:r w:rsidRPr="00E37D50">
        <w:rPr>
          <w:rFonts w:eastAsia="Arial" w:cs="Arial"/>
          <w:lang w:val="en-US"/>
        </w:rPr>
        <w:t>readily</w:t>
      </w:r>
      <w:r w:rsidRPr="00E37D50">
        <w:rPr>
          <w:rFonts w:eastAsia="Arial" w:cs="Arial"/>
          <w:spacing w:val="-3"/>
          <w:lang w:val="en-US"/>
        </w:rPr>
        <w:t xml:space="preserve"> </w:t>
      </w:r>
      <w:r w:rsidRPr="00E37D50">
        <w:rPr>
          <w:rFonts w:eastAsia="Arial" w:cs="Arial"/>
          <w:lang w:val="en-US"/>
        </w:rPr>
        <w:t>identify</w:t>
      </w:r>
      <w:r w:rsidRPr="00E37D50">
        <w:rPr>
          <w:rFonts w:eastAsia="Arial" w:cs="Arial"/>
          <w:spacing w:val="-1"/>
          <w:lang w:val="en-US"/>
        </w:rPr>
        <w:t xml:space="preserve"> </w:t>
      </w:r>
      <w:r w:rsidRPr="00E37D50">
        <w:rPr>
          <w:rFonts w:eastAsia="Arial" w:cs="Arial"/>
          <w:lang w:val="en-US"/>
        </w:rPr>
        <w:t>irritation</w:t>
      </w:r>
      <w:r w:rsidRPr="00E37D50">
        <w:rPr>
          <w:rFonts w:eastAsia="Arial" w:cs="Arial"/>
          <w:spacing w:val="-2"/>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eyes,</w:t>
      </w:r>
      <w:r w:rsidRPr="00E37D50">
        <w:rPr>
          <w:rFonts w:eastAsia="Arial" w:cs="Arial"/>
          <w:spacing w:val="-4"/>
          <w:lang w:val="en-US"/>
        </w:rPr>
        <w:t xml:space="preserve"> </w:t>
      </w:r>
      <w:r w:rsidRPr="00E37D50">
        <w:rPr>
          <w:rFonts w:eastAsia="Arial" w:cs="Arial"/>
          <w:lang w:val="en-US"/>
        </w:rPr>
        <w:t>skin</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 xml:space="preserve">mucosal </w:t>
      </w:r>
      <w:r w:rsidRPr="00E37D50">
        <w:rPr>
          <w:rFonts w:eastAsia="Arial" w:cs="Arial"/>
          <w:spacing w:val="-2"/>
          <w:lang w:val="en-US"/>
        </w:rPr>
        <w:t>surfaces.</w:t>
      </w:r>
      <w:r w:rsidR="00BA2E21">
        <w:rPr>
          <w:rFonts w:eastAsia="Arial" w:cs="Arial"/>
          <w:spacing w:val="-2"/>
          <w:lang w:val="en-US"/>
        </w:rPr>
        <w:t xml:space="preserve"> </w:t>
      </w:r>
    </w:p>
    <w:p w14:paraId="7475582C" w14:textId="45B80C79" w:rsidR="00E37D50" w:rsidRDefault="00E37D50" w:rsidP="00B437A4">
      <w:pPr>
        <w:widowControl w:val="0"/>
        <w:autoSpaceDE w:val="0"/>
        <w:autoSpaceDN w:val="0"/>
        <w:spacing w:before="121" w:after="0" w:line="240" w:lineRule="auto"/>
        <w:rPr>
          <w:rFonts w:eastAsia="Arial" w:cs="Arial"/>
          <w:lang w:val="en-US"/>
        </w:rPr>
      </w:pPr>
      <w:r w:rsidRPr="00E37D50">
        <w:rPr>
          <w:rFonts w:eastAsia="Arial" w:cs="Arial"/>
          <w:lang w:val="en-US"/>
        </w:rPr>
        <w:t>On</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other</w:t>
      </w:r>
      <w:r w:rsidRPr="00E37D50">
        <w:rPr>
          <w:rFonts w:eastAsia="Arial" w:cs="Arial"/>
          <w:spacing w:val="-3"/>
          <w:lang w:val="en-US"/>
        </w:rPr>
        <w:t xml:space="preserve"> </w:t>
      </w:r>
      <w:r w:rsidRPr="00E37D50">
        <w:rPr>
          <w:rFonts w:eastAsia="Arial" w:cs="Arial"/>
          <w:lang w:val="en-US"/>
        </w:rPr>
        <w:t>hand,</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of</w:t>
      </w:r>
      <w:r w:rsidRPr="00E37D50">
        <w:rPr>
          <w:rFonts w:eastAsia="Arial" w:cs="Arial"/>
          <w:spacing w:val="-2"/>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product</w:t>
      </w:r>
      <w:r w:rsidRPr="00E37D50">
        <w:rPr>
          <w:rFonts w:eastAsia="Arial" w:cs="Arial"/>
          <w:spacing w:val="-2"/>
          <w:lang w:val="en-US"/>
        </w:rPr>
        <w:t xml:space="preserve"> </w:t>
      </w:r>
      <w:r w:rsidRPr="00E37D50">
        <w:rPr>
          <w:rFonts w:eastAsia="Arial" w:cs="Arial"/>
          <w:lang w:val="en-US"/>
        </w:rPr>
        <w:t>on</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human</w:t>
      </w:r>
      <w:r w:rsidRPr="00E37D50">
        <w:rPr>
          <w:rFonts w:eastAsia="Arial" w:cs="Arial"/>
          <w:spacing w:val="-4"/>
          <w:lang w:val="en-US"/>
        </w:rPr>
        <w:t xml:space="preserve"> </w:t>
      </w:r>
      <w:r w:rsidRPr="00E37D50">
        <w:rPr>
          <w:rFonts w:eastAsia="Arial" w:cs="Arial"/>
          <w:lang w:val="en-US"/>
        </w:rPr>
        <w:t>body</w:t>
      </w:r>
      <w:r w:rsidRPr="00E37D50">
        <w:rPr>
          <w:rFonts w:eastAsia="Arial" w:cs="Arial"/>
          <w:spacing w:val="-3"/>
          <w:lang w:val="en-US"/>
        </w:rPr>
        <w:t xml:space="preserve"> </w:t>
      </w:r>
      <w:r w:rsidRPr="00E37D50">
        <w:rPr>
          <w:rFonts w:eastAsia="Arial" w:cs="Arial"/>
          <w:lang w:val="en-US"/>
        </w:rPr>
        <w:t>when</w:t>
      </w:r>
      <w:r w:rsidRPr="00E37D50">
        <w:rPr>
          <w:rFonts w:eastAsia="Arial" w:cs="Arial"/>
          <w:spacing w:val="-4"/>
          <w:lang w:val="en-US"/>
        </w:rPr>
        <w:t xml:space="preserve"> </w:t>
      </w:r>
      <w:r w:rsidRPr="00E37D50">
        <w:rPr>
          <w:rFonts w:eastAsia="Arial" w:cs="Arial"/>
          <w:lang w:val="en-US"/>
        </w:rPr>
        <w:t>distributed</w:t>
      </w:r>
      <w:r w:rsidRPr="00E37D50">
        <w:rPr>
          <w:rFonts w:eastAsia="Arial" w:cs="Arial"/>
          <w:spacing w:val="-2"/>
          <w:lang w:val="en-US"/>
        </w:rPr>
        <w:t xml:space="preserve"> </w:t>
      </w:r>
      <w:r w:rsidRPr="00E37D50">
        <w:rPr>
          <w:rFonts w:eastAsia="Arial" w:cs="Arial"/>
          <w:lang w:val="en-US"/>
        </w:rPr>
        <w:t>internally</w:t>
      </w:r>
      <w:r w:rsidRPr="00E37D50">
        <w:rPr>
          <w:rFonts w:eastAsia="Arial" w:cs="Arial"/>
          <w:spacing w:val="-3"/>
          <w:lang w:val="en-US"/>
        </w:rPr>
        <w:t xml:space="preserve"> </w:t>
      </w:r>
      <w:r w:rsidRPr="00E37D50">
        <w:rPr>
          <w:rFonts w:eastAsia="Arial" w:cs="Arial"/>
          <w:lang w:val="en-US"/>
        </w:rPr>
        <w:t>to other tissues and organs and for varying periods of time may not be immediately obvious or not become apparent for many months or years after exposure. The TGA considers the systemic</w:t>
      </w:r>
      <w:r w:rsidRPr="00E37D50">
        <w:rPr>
          <w:rFonts w:eastAsia="Arial" w:cs="Arial"/>
          <w:spacing w:val="40"/>
          <w:lang w:val="en-US"/>
        </w:rPr>
        <w:t xml:space="preserve"> </w:t>
      </w:r>
      <w:r w:rsidRPr="00E37D50">
        <w:rPr>
          <w:rFonts w:eastAsia="Arial" w:cs="Arial"/>
          <w:lang w:val="en-US"/>
        </w:rPr>
        <w:t xml:space="preserve">exposure as a critical determinant when considering the inherent risks from contact with dermally applied products, including sunscreens. </w:t>
      </w:r>
    </w:p>
    <w:p w14:paraId="79172ED8" w14:textId="611C37C3" w:rsidR="00E37D50" w:rsidRPr="004813EC" w:rsidRDefault="00E37D50" w:rsidP="00F47305">
      <w:pPr>
        <w:pStyle w:val="Heading4"/>
      </w:pPr>
      <w:bookmarkStart w:id="24" w:name="_Toc184730547"/>
      <w:r w:rsidRPr="004813EC">
        <w:t>Factors affecting exposure</w:t>
      </w:r>
      <w:bookmarkEnd w:id="24"/>
    </w:p>
    <w:p w14:paraId="096D11AD" w14:textId="77777777" w:rsidR="00E37D50" w:rsidRPr="00E37D50" w:rsidRDefault="00E37D50" w:rsidP="00E37D50">
      <w:pPr>
        <w:widowControl w:val="0"/>
        <w:autoSpaceDE w:val="0"/>
        <w:autoSpaceDN w:val="0"/>
        <w:spacing w:before="119" w:after="0"/>
        <w:ind w:right="161"/>
        <w:rPr>
          <w:rFonts w:eastAsia="Arial" w:cs="Arial"/>
          <w:lang w:val="en-US"/>
        </w:rPr>
      </w:pPr>
      <w:r w:rsidRPr="00E37D50">
        <w:rPr>
          <w:rFonts w:eastAsia="Arial" w:cs="Arial"/>
          <w:lang w:val="en-US"/>
        </w:rPr>
        <w:t>Exposure can be characterised by the site of contact e.g. dermally applied sunscreen on skin; the period of time that the contact was in place; and whether that contact was a singular event, regular exposure over a short-term, e.g. hours or days, or regular exposure over a long-term, e.g. weeks or years.</w:t>
      </w:r>
      <w:r w:rsidRPr="00E37D50">
        <w:rPr>
          <w:rFonts w:eastAsia="Arial" w:cs="Arial"/>
          <w:spacing w:val="-4"/>
          <w:lang w:val="en-US"/>
        </w:rPr>
        <w:t xml:space="preserve"> </w:t>
      </w:r>
      <w:r w:rsidRPr="00E37D50">
        <w:rPr>
          <w:rFonts w:eastAsia="Arial" w:cs="Arial"/>
          <w:lang w:val="en-US"/>
        </w:rPr>
        <w:t>Exposure</w:t>
      </w:r>
      <w:r w:rsidRPr="00E37D50">
        <w:rPr>
          <w:rFonts w:eastAsia="Arial" w:cs="Arial"/>
          <w:spacing w:val="-2"/>
          <w:lang w:val="en-US"/>
        </w:rPr>
        <w:t xml:space="preserve"> </w:t>
      </w:r>
      <w:r w:rsidRPr="00E37D50">
        <w:rPr>
          <w:rFonts w:eastAsia="Arial" w:cs="Arial"/>
          <w:lang w:val="en-US"/>
        </w:rPr>
        <w:t>also</w:t>
      </w:r>
      <w:r w:rsidRPr="00E37D50">
        <w:rPr>
          <w:rFonts w:eastAsia="Arial" w:cs="Arial"/>
          <w:spacing w:val="-4"/>
          <w:lang w:val="en-US"/>
        </w:rPr>
        <w:t xml:space="preserve"> </w:t>
      </w:r>
      <w:r w:rsidRPr="00E37D50">
        <w:rPr>
          <w:rFonts w:eastAsia="Arial" w:cs="Arial"/>
          <w:lang w:val="en-US"/>
        </w:rPr>
        <w:t>characterises</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level/concentration</w:t>
      </w:r>
      <w:r w:rsidRPr="00E37D50">
        <w:rPr>
          <w:rFonts w:eastAsia="Arial" w:cs="Arial"/>
          <w:spacing w:val="-2"/>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specific</w:t>
      </w:r>
      <w:r w:rsidRPr="00E37D50">
        <w:rPr>
          <w:rFonts w:eastAsia="Arial" w:cs="Arial"/>
          <w:spacing w:val="-3"/>
          <w:lang w:val="en-US"/>
        </w:rPr>
        <w:t xml:space="preserve"> </w:t>
      </w:r>
      <w:r w:rsidRPr="00E37D50">
        <w:rPr>
          <w:rFonts w:eastAsia="Arial" w:cs="Arial"/>
          <w:lang w:val="en-US"/>
        </w:rPr>
        <w:t>substances at</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site</w:t>
      </w:r>
      <w:r w:rsidRPr="00E37D50">
        <w:rPr>
          <w:rFonts w:eastAsia="Arial" w:cs="Arial"/>
          <w:spacing w:val="-2"/>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contact and their distribution to other areas within the human body.</w:t>
      </w:r>
    </w:p>
    <w:p w14:paraId="384BE168" w14:textId="5D8F8372" w:rsidR="00E37D50" w:rsidRPr="00E37D50" w:rsidRDefault="00E37D50" w:rsidP="00E37D50">
      <w:pPr>
        <w:widowControl w:val="0"/>
        <w:autoSpaceDE w:val="0"/>
        <w:autoSpaceDN w:val="0"/>
        <w:spacing w:before="119" w:after="0"/>
        <w:ind w:right="183"/>
        <w:rPr>
          <w:rFonts w:eastAsia="Arial" w:cs="Arial"/>
          <w:lang w:val="en-US"/>
        </w:rPr>
      </w:pPr>
      <w:r w:rsidRPr="00E37D50">
        <w:rPr>
          <w:rFonts w:eastAsia="Arial" w:cs="Arial"/>
          <w:lang w:val="en-US"/>
        </w:rPr>
        <w:t xml:space="preserve">All manner of substances may be absorbed by the human body after contact or application (this is known as systemic exposure). How much is absorbed into the body is dependent on a number of factors related to the human body interface and the substance itself (see </w:t>
      </w:r>
      <w:hyperlink w:anchor="Table2" w:history="1">
        <w:r w:rsidR="00894D5E" w:rsidRPr="00E37D50">
          <w:rPr>
            <w:rFonts w:eastAsia="Arial" w:cs="Arial"/>
            <w:color w:val="0000FF"/>
            <w:u w:val="single"/>
            <w:lang w:val="en-US"/>
          </w:rPr>
          <w:t xml:space="preserve">Table </w:t>
        </w:r>
        <w:r w:rsidR="00894D5E">
          <w:rPr>
            <w:rFonts w:eastAsia="Arial" w:cs="Arial"/>
            <w:color w:val="0000FF"/>
            <w:u w:val="single"/>
            <w:lang w:val="en-US"/>
          </w:rPr>
          <w:t>2</w:t>
        </w:r>
      </w:hyperlink>
      <w:r w:rsidRPr="00E37D50">
        <w:rPr>
          <w:rFonts w:eastAsia="Arial" w:cs="Arial"/>
          <w:lang w:val="en-US"/>
        </w:rPr>
        <w:t>). Any systemic exposure</w:t>
      </w:r>
      <w:r w:rsidRPr="00E37D50">
        <w:rPr>
          <w:rFonts w:eastAsia="Arial" w:cs="Arial"/>
          <w:spacing w:val="-4"/>
          <w:lang w:val="en-US"/>
        </w:rPr>
        <w:t xml:space="preserve"> </w:t>
      </w:r>
      <w:r w:rsidRPr="00E37D50">
        <w:rPr>
          <w:rFonts w:eastAsia="Arial" w:cs="Arial"/>
          <w:lang w:val="en-US"/>
        </w:rPr>
        <w:t>of</w:t>
      </w:r>
      <w:r w:rsidRPr="00E37D50">
        <w:rPr>
          <w:rFonts w:eastAsia="Arial" w:cs="Arial"/>
          <w:spacing w:val="-2"/>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substance,</w:t>
      </w:r>
      <w:r w:rsidRPr="00E37D50">
        <w:rPr>
          <w:rFonts w:eastAsia="Arial" w:cs="Arial"/>
          <w:spacing w:val="-2"/>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related</w:t>
      </w:r>
      <w:r w:rsidRPr="00E37D50">
        <w:rPr>
          <w:rFonts w:eastAsia="Arial" w:cs="Arial"/>
          <w:spacing w:val="-4"/>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systemic</w:t>
      </w:r>
      <w:r w:rsidRPr="00E37D50">
        <w:rPr>
          <w:rFonts w:eastAsia="Arial" w:cs="Arial"/>
          <w:spacing w:val="-3"/>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must</w:t>
      </w:r>
      <w:r w:rsidRPr="00E37D50">
        <w:rPr>
          <w:rFonts w:eastAsia="Arial" w:cs="Arial"/>
          <w:spacing w:val="-2"/>
          <w:lang w:val="en-US"/>
        </w:rPr>
        <w:t xml:space="preserve"> </w:t>
      </w:r>
      <w:r w:rsidRPr="00E37D50">
        <w:rPr>
          <w:rFonts w:eastAsia="Arial" w:cs="Arial"/>
          <w:lang w:val="en-US"/>
        </w:rPr>
        <w:t>be</w:t>
      </w:r>
      <w:r w:rsidRPr="00E37D50">
        <w:rPr>
          <w:rFonts w:eastAsia="Arial" w:cs="Arial"/>
          <w:spacing w:val="-2"/>
          <w:lang w:val="en-US"/>
        </w:rPr>
        <w:t xml:space="preserve"> </w:t>
      </w:r>
      <w:r w:rsidRPr="00E37D50">
        <w:rPr>
          <w:rFonts w:eastAsia="Arial" w:cs="Arial"/>
          <w:lang w:val="en-US"/>
        </w:rPr>
        <w:t>considered</w:t>
      </w:r>
      <w:r w:rsidRPr="00E37D50">
        <w:rPr>
          <w:rFonts w:eastAsia="Arial" w:cs="Arial"/>
          <w:spacing w:val="-4"/>
          <w:lang w:val="en-US"/>
        </w:rPr>
        <w:t xml:space="preserve"> </w:t>
      </w:r>
      <w:r w:rsidRPr="00E37D50">
        <w:rPr>
          <w:rFonts w:eastAsia="Arial" w:cs="Arial"/>
          <w:lang w:val="en-US"/>
        </w:rPr>
        <w:t>when assessing the risk, and subsequent suitability for the use of a substance in humans.</w:t>
      </w:r>
    </w:p>
    <w:p w14:paraId="5213182A" w14:textId="4E63B7EF" w:rsidR="00E37D50" w:rsidRPr="00E37D50" w:rsidRDefault="00E37D50" w:rsidP="00697917">
      <w:pPr>
        <w:pStyle w:val="Tabletitle"/>
      </w:pPr>
      <w:bookmarkStart w:id="25" w:name="Table2"/>
      <w:r w:rsidRPr="00E37D50">
        <w:t xml:space="preserve">Table </w:t>
      </w:r>
      <w:r w:rsidR="00894D5E">
        <w:t>2</w:t>
      </w:r>
      <w:bookmarkEnd w:id="25"/>
      <w:r w:rsidRPr="00E37D50">
        <w:t>: Factors affecting absorption and systemic distribution of dermally applied substances</w:t>
      </w:r>
    </w:p>
    <w:tbl>
      <w:tblPr>
        <w:tblStyle w:val="TableTGAblue2023"/>
        <w:tblW w:w="9067" w:type="dxa"/>
        <w:tblLook w:val="04A0" w:firstRow="1" w:lastRow="0" w:firstColumn="1" w:lastColumn="0" w:noHBand="0" w:noVBand="1"/>
      </w:tblPr>
      <w:tblGrid>
        <w:gridCol w:w="6516"/>
        <w:gridCol w:w="2551"/>
      </w:tblGrid>
      <w:tr w:rsidR="00E37D50" w:rsidRPr="009506B0" w14:paraId="2214CB5A" w14:textId="77777777" w:rsidTr="00352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192E4BD" w14:textId="77777777" w:rsidR="00E37D50" w:rsidRPr="009506B0" w:rsidRDefault="00E37D50" w:rsidP="00BA2E21">
            <w:pPr>
              <w:keepNext w:val="0"/>
              <w:widowControl w:val="0"/>
              <w:autoSpaceDE w:val="0"/>
              <w:autoSpaceDN w:val="0"/>
              <w:spacing w:before="129" w:after="0" w:line="249" w:lineRule="auto"/>
              <w:ind w:left="0"/>
              <w:rPr>
                <w:rFonts w:eastAsia="Arial" w:cs="Arial"/>
                <w:bCs/>
                <w:color w:val="253186"/>
                <w:sz w:val="20"/>
                <w:szCs w:val="22"/>
                <w:lang w:val="en-US" w:eastAsia="en-US"/>
              </w:rPr>
            </w:pPr>
            <w:r w:rsidRPr="009506B0">
              <w:rPr>
                <w:rFonts w:eastAsia="Arial" w:cs="Arial"/>
                <w:bCs/>
                <w:color w:val="253186"/>
                <w:sz w:val="20"/>
                <w:szCs w:val="22"/>
                <w:lang w:val="en-US" w:eastAsia="en-US"/>
              </w:rPr>
              <w:t>Human body interface</w:t>
            </w:r>
          </w:p>
        </w:tc>
        <w:tc>
          <w:tcPr>
            <w:tcW w:w="2551" w:type="dxa"/>
          </w:tcPr>
          <w:p w14:paraId="3B5E0C90" w14:textId="77777777" w:rsidR="00E37D50" w:rsidRPr="009506B0" w:rsidRDefault="00E37D50" w:rsidP="00BA2E21">
            <w:pPr>
              <w:keepNext w:val="0"/>
              <w:widowControl w:val="0"/>
              <w:autoSpaceDE w:val="0"/>
              <w:autoSpaceDN w:val="0"/>
              <w:spacing w:before="129" w:after="0" w:line="249" w:lineRule="auto"/>
              <w:ind w:left="0"/>
              <w:cnfStyle w:val="100000000000" w:firstRow="1" w:lastRow="0" w:firstColumn="0" w:lastColumn="0" w:oddVBand="0" w:evenVBand="0" w:oddHBand="0" w:evenHBand="0" w:firstRowFirstColumn="0" w:firstRowLastColumn="0" w:lastRowFirstColumn="0" w:lastRowLastColumn="0"/>
              <w:rPr>
                <w:rFonts w:eastAsia="Arial" w:cs="Arial"/>
                <w:bCs/>
                <w:color w:val="253186"/>
                <w:sz w:val="20"/>
                <w:szCs w:val="22"/>
                <w:lang w:val="en-US" w:eastAsia="en-US"/>
              </w:rPr>
            </w:pPr>
            <w:r w:rsidRPr="009506B0">
              <w:rPr>
                <w:rFonts w:eastAsia="Arial" w:cs="Arial"/>
                <w:bCs/>
                <w:color w:val="253186"/>
                <w:sz w:val="20"/>
                <w:szCs w:val="22"/>
                <w:lang w:val="en-US" w:eastAsia="en-US"/>
              </w:rPr>
              <w:t>Substance</w:t>
            </w:r>
          </w:p>
        </w:tc>
      </w:tr>
      <w:tr w:rsidR="00E37D50" w:rsidRPr="00E37D50" w14:paraId="6E47B0A4" w14:textId="77777777" w:rsidTr="003523EA">
        <w:tc>
          <w:tcPr>
            <w:cnfStyle w:val="001000000000" w:firstRow="0" w:lastRow="0" w:firstColumn="1" w:lastColumn="0" w:oddVBand="0" w:evenVBand="0" w:oddHBand="0" w:evenHBand="0" w:firstRowFirstColumn="0" w:firstRowLastColumn="0" w:lastRowFirstColumn="0" w:lastRowLastColumn="0"/>
            <w:tcW w:w="6516" w:type="dxa"/>
          </w:tcPr>
          <w:p w14:paraId="12CA09C6"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Route of exposure: skin, eyes, nasal, respiratory, gastrointestinal, etc.</w:t>
            </w:r>
          </w:p>
          <w:p w14:paraId="6BE5AEBE"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Integrity of the interface: irritated, inflamed, abraded, etc.</w:t>
            </w:r>
          </w:p>
          <w:p w14:paraId="656DA99B"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pH of the interface.</w:t>
            </w:r>
          </w:p>
          <w:p w14:paraId="3B107F71"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Contact time with the product or substance.</w:t>
            </w:r>
          </w:p>
          <w:p w14:paraId="02F5ED9E"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Enzymatic metabolism (e.g. metabolism into smaller molecules) or clearance of the substance at the site of contact.</w:t>
            </w:r>
          </w:p>
          <w:p w14:paraId="2FA97887" w14:textId="77777777" w:rsidR="00E37D50" w:rsidRPr="003413F6" w:rsidRDefault="00E37D50" w:rsidP="00B05E0E">
            <w:pPr>
              <w:spacing w:before="240"/>
              <w:ind w:left="0"/>
              <w:rPr>
                <w:rFonts w:eastAsia="Arial" w:cs="Arial"/>
                <w:color w:val="auto"/>
                <w:szCs w:val="18"/>
                <w:lang w:val="en-US" w:eastAsia="en-US"/>
              </w:rPr>
            </w:pPr>
            <w:r w:rsidRPr="003413F6">
              <w:rPr>
                <w:rFonts w:eastAsia="Arial" w:cs="Arial"/>
                <w:szCs w:val="18"/>
                <w:lang w:val="en-US"/>
              </w:rPr>
              <w:t>Movement of the substance from the site of contact e.g. washing of the skin; flushing of the eyes; aspiration by the lungs; vomiting, transit and/or enzymatic degradation in the gastrointestinal tract following ingestion.</w:t>
            </w:r>
          </w:p>
        </w:tc>
        <w:tc>
          <w:tcPr>
            <w:tcW w:w="2551" w:type="dxa"/>
          </w:tcPr>
          <w:p w14:paraId="13819A61"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Molecular weight pKa</w:t>
            </w:r>
          </w:p>
          <w:p w14:paraId="6E0C42B8"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Lipophilicity (log KOW)</w:t>
            </w:r>
          </w:p>
          <w:p w14:paraId="6768719F"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Photoreactivity/stability</w:t>
            </w:r>
          </w:p>
          <w:p w14:paraId="2CDBC671"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Co-formulation with other substances that can affect absorption e.g. solvents that alter skin permeability.</w:t>
            </w:r>
          </w:p>
          <w:p w14:paraId="0658A330"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Concentration</w:t>
            </w:r>
          </w:p>
          <w:p w14:paraId="11791C84" w14:textId="77777777" w:rsidR="00E37D50" w:rsidRPr="003413F6" w:rsidRDefault="00E37D50" w:rsidP="00B05E0E">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Vapour pressure</w:t>
            </w:r>
          </w:p>
        </w:tc>
      </w:tr>
    </w:tbl>
    <w:p w14:paraId="2EB76876" w14:textId="475185BB" w:rsidR="00894D5E" w:rsidDel="00894D5E" w:rsidRDefault="00E37D50" w:rsidP="00115218">
      <w:pPr>
        <w:spacing w:before="240"/>
      </w:pPr>
      <w:r w:rsidRPr="00E37D50">
        <w:rPr>
          <w:rFonts w:eastAsia="Arial" w:cs="Arial"/>
          <w:lang w:val="en-US"/>
        </w:rPr>
        <w:t>In</w:t>
      </w:r>
      <w:r w:rsidRPr="00E37D50">
        <w:rPr>
          <w:rFonts w:eastAsia="Arial" w:cs="Arial"/>
          <w:spacing w:val="-4"/>
          <w:lang w:val="en-US"/>
        </w:rPr>
        <w:t xml:space="preserve"> </w:t>
      </w:r>
      <w:r w:rsidRPr="00E37D50">
        <w:rPr>
          <w:rFonts w:eastAsia="Arial" w:cs="Arial"/>
          <w:lang w:val="en-US"/>
        </w:rPr>
        <w:t>general,</w:t>
      </w:r>
      <w:r w:rsidRPr="00E37D50">
        <w:rPr>
          <w:rFonts w:eastAsia="Arial" w:cs="Arial"/>
          <w:spacing w:val="-4"/>
          <w:lang w:val="en-US"/>
        </w:rPr>
        <w:t xml:space="preserve"> </w:t>
      </w:r>
      <w:r w:rsidRPr="00E37D50">
        <w:rPr>
          <w:rFonts w:eastAsia="Arial" w:cs="Arial"/>
          <w:lang w:val="en-US"/>
        </w:rPr>
        <w:t>small</w:t>
      </w:r>
      <w:r w:rsidRPr="00E37D50">
        <w:rPr>
          <w:rFonts w:eastAsia="Arial" w:cs="Arial"/>
          <w:spacing w:val="-2"/>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lipophilic</w:t>
      </w:r>
      <w:r w:rsidRPr="00E37D50">
        <w:rPr>
          <w:rFonts w:eastAsia="Arial" w:cs="Arial"/>
          <w:spacing w:val="-3"/>
          <w:lang w:val="en-US"/>
        </w:rPr>
        <w:t xml:space="preserve"> </w:t>
      </w:r>
      <w:r w:rsidRPr="00E37D50">
        <w:rPr>
          <w:rFonts w:eastAsia="Arial" w:cs="Arial"/>
          <w:lang w:val="en-US"/>
        </w:rPr>
        <w:t>substances</w:t>
      </w:r>
      <w:r w:rsidR="00CE7BFB">
        <w:rPr>
          <w:rFonts w:eastAsia="Arial" w:cs="Arial"/>
          <w:lang w:val="en-US"/>
        </w:rPr>
        <w:t>,</w:t>
      </w:r>
      <w:r w:rsidRPr="00E37D50">
        <w:rPr>
          <w:rFonts w:eastAsia="Arial" w:cs="Arial"/>
          <w:lang w:val="en-US"/>
        </w:rPr>
        <w:t xml:space="preserve"> in</w:t>
      </w:r>
      <w:r w:rsidRPr="00E37D50">
        <w:rPr>
          <w:rFonts w:eastAsia="Arial" w:cs="Arial"/>
          <w:spacing w:val="-4"/>
          <w:lang w:val="en-US"/>
        </w:rPr>
        <w:t xml:space="preserve"> </w:t>
      </w:r>
      <w:r w:rsidRPr="00E37D50">
        <w:rPr>
          <w:rFonts w:eastAsia="Arial" w:cs="Arial"/>
          <w:lang w:val="en-US"/>
        </w:rPr>
        <w:t>contrast</w:t>
      </w:r>
      <w:r w:rsidRPr="00E37D50">
        <w:rPr>
          <w:rFonts w:eastAsia="Arial" w:cs="Arial"/>
          <w:spacing w:val="-4"/>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large</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hydrophilic</w:t>
      </w:r>
      <w:r w:rsidRPr="00E37D50">
        <w:rPr>
          <w:rFonts w:eastAsia="Arial" w:cs="Arial"/>
          <w:spacing w:val="-3"/>
          <w:lang w:val="en-US"/>
        </w:rPr>
        <w:t xml:space="preserve"> </w:t>
      </w:r>
      <w:r w:rsidRPr="00E37D50">
        <w:rPr>
          <w:rFonts w:eastAsia="Arial" w:cs="Arial"/>
          <w:lang w:val="en-US"/>
        </w:rPr>
        <w:t>substances</w:t>
      </w:r>
      <w:r w:rsidR="00CE7BFB">
        <w:rPr>
          <w:rFonts w:eastAsia="Arial" w:cs="Arial"/>
          <w:lang w:val="en-US"/>
        </w:rPr>
        <w:t>,</w:t>
      </w:r>
      <w:r w:rsidRPr="00E37D50">
        <w:rPr>
          <w:rFonts w:eastAsia="Arial" w:cs="Arial"/>
          <w:spacing w:val="-3"/>
          <w:lang w:val="en-US"/>
        </w:rPr>
        <w:t xml:space="preserve"> </w:t>
      </w:r>
      <w:r w:rsidRPr="00E37D50">
        <w:rPr>
          <w:rFonts w:eastAsia="Arial" w:cs="Arial"/>
          <w:lang w:val="en-US"/>
        </w:rPr>
        <w:t>are</w:t>
      </w:r>
      <w:r w:rsidRPr="00E37D50">
        <w:rPr>
          <w:rFonts w:eastAsia="Arial" w:cs="Arial"/>
          <w:spacing w:val="-4"/>
          <w:lang w:val="en-US"/>
        </w:rPr>
        <w:t xml:space="preserve"> </w:t>
      </w:r>
      <w:r w:rsidRPr="00E37D50">
        <w:rPr>
          <w:rFonts w:eastAsia="Arial" w:cs="Arial"/>
          <w:lang w:val="en-US"/>
        </w:rPr>
        <w:t>more likely to penetrate the skin and distribute systemically around the body. While some medicines are formulated to be absorbed into the body (e.g. transdermal patches), sunscreens are not, as their primary role is to provide either a physical barrier (reflector) to UV</w:t>
      </w:r>
      <w:r w:rsidR="009B6969">
        <w:rPr>
          <w:rFonts w:eastAsia="Arial" w:cs="Arial"/>
          <w:lang w:val="en-US"/>
        </w:rPr>
        <w:t>R</w:t>
      </w:r>
      <w:r w:rsidRPr="00E37D50">
        <w:rPr>
          <w:rFonts w:eastAsia="Arial" w:cs="Arial"/>
          <w:lang w:val="en-US"/>
        </w:rPr>
        <w:t xml:space="preserve"> e.g. zinc oxide and titanium dioxide, or absorb the UV</w:t>
      </w:r>
      <w:r w:rsidR="009B6969">
        <w:rPr>
          <w:rFonts w:eastAsia="Arial" w:cs="Arial"/>
          <w:lang w:val="en-US"/>
        </w:rPr>
        <w:t>R</w:t>
      </w:r>
      <w:r w:rsidRPr="00E37D50">
        <w:rPr>
          <w:rFonts w:eastAsia="Arial" w:cs="Arial"/>
          <w:lang w:val="en-US"/>
        </w:rPr>
        <w:t xml:space="preserve"> e.g. avobenzone and octocrylene, and prevent the penetration of this radiation through to deeper layers of the skin.</w:t>
      </w:r>
    </w:p>
    <w:p w14:paraId="397206B4" w14:textId="75A635AF" w:rsidR="00487544" w:rsidRPr="006E3DC5" w:rsidRDefault="005E04DE" w:rsidP="00F47305">
      <w:pPr>
        <w:pStyle w:val="Heading4"/>
      </w:pPr>
      <w:bookmarkStart w:id="26" w:name="_Toc184730548"/>
      <w:r w:rsidRPr="006E3DC5">
        <w:t xml:space="preserve">Different approaches </w:t>
      </w:r>
      <w:r w:rsidR="00375112">
        <w:t>for assessing sunscreen exposure</w:t>
      </w:r>
      <w:bookmarkEnd w:id="26"/>
      <w:r w:rsidR="00375112">
        <w:t xml:space="preserve"> </w:t>
      </w:r>
    </w:p>
    <w:p w14:paraId="241C7C8A" w14:textId="77777777" w:rsidR="00375112" w:rsidRDefault="00CC55A0" w:rsidP="00031B15">
      <w:pPr>
        <w:pStyle w:val="BodyText"/>
        <w:spacing w:before="120" w:line="259" w:lineRule="auto"/>
        <w:ind w:right="172" w:firstLine="1"/>
      </w:pPr>
      <w:r>
        <w:t xml:space="preserve">Risk assessments for sunscreen ingredient safety that may end up being absorbed into the body, can employ various methodologies to calculate the amount of sunscreen applied to the skin. Some of these assessments may be excessively conservative or fail to consider the unique Australian context. </w:t>
      </w:r>
    </w:p>
    <w:p w14:paraId="4CEAF4C3" w14:textId="0CC95DB4" w:rsidR="00031B15" w:rsidRDefault="00CC55A0" w:rsidP="00031B15">
      <w:pPr>
        <w:pStyle w:val="BodyText"/>
        <w:spacing w:before="120" w:line="259" w:lineRule="auto"/>
        <w:ind w:right="172" w:firstLine="1"/>
      </w:pPr>
      <w:r>
        <w:t>Historically, risk assessments and approvals of ingredients by the TGA have been conducted on a case-by-case basis, with regulatory guidelines evolving over time. These assessments consider the general</w:t>
      </w:r>
      <w:r>
        <w:rPr>
          <w:spacing w:val="-6"/>
        </w:rPr>
        <w:t xml:space="preserve"> </w:t>
      </w:r>
      <w:r>
        <w:t>toxicological</w:t>
      </w:r>
      <w:r>
        <w:rPr>
          <w:spacing w:val="-3"/>
        </w:rPr>
        <w:t xml:space="preserve"> </w:t>
      </w:r>
      <w:r>
        <w:t>profile</w:t>
      </w:r>
      <w:r>
        <w:rPr>
          <w:spacing w:val="-2"/>
        </w:rPr>
        <w:t xml:space="preserve"> </w:t>
      </w:r>
      <w:r>
        <w:t>and</w:t>
      </w:r>
      <w:r>
        <w:rPr>
          <w:spacing w:val="-3"/>
        </w:rPr>
        <w:t xml:space="preserve"> </w:t>
      </w:r>
      <w:r>
        <w:t>intended</w:t>
      </w:r>
      <w:r>
        <w:rPr>
          <w:spacing w:val="-3"/>
        </w:rPr>
        <w:t xml:space="preserve"> </w:t>
      </w:r>
      <w:r>
        <w:t>use</w:t>
      </w:r>
      <w:r>
        <w:rPr>
          <w:spacing w:val="-5"/>
        </w:rPr>
        <w:t xml:space="preserve"> </w:t>
      </w:r>
      <w:r>
        <w:t>of</w:t>
      </w:r>
      <w:r>
        <w:rPr>
          <w:spacing w:val="-3"/>
        </w:rPr>
        <w:t xml:space="preserve"> </w:t>
      </w:r>
      <w:r>
        <w:t>the</w:t>
      </w:r>
      <w:r>
        <w:rPr>
          <w:spacing w:val="-3"/>
        </w:rPr>
        <w:t xml:space="preserve"> </w:t>
      </w:r>
      <w:r>
        <w:t>ingredient.</w:t>
      </w:r>
      <w:r>
        <w:rPr>
          <w:spacing w:val="-5"/>
        </w:rPr>
        <w:t xml:space="preserve"> </w:t>
      </w:r>
      <w:r>
        <w:t>The</w:t>
      </w:r>
      <w:r>
        <w:rPr>
          <w:spacing w:val="-3"/>
        </w:rPr>
        <w:t xml:space="preserve"> </w:t>
      </w:r>
      <w:r>
        <w:t>assessments</w:t>
      </w:r>
      <w:r>
        <w:rPr>
          <w:spacing w:val="-1"/>
        </w:rPr>
        <w:t xml:space="preserve"> </w:t>
      </w:r>
      <w:r>
        <w:t>have</w:t>
      </w:r>
      <w:r>
        <w:rPr>
          <w:spacing w:val="-5"/>
        </w:rPr>
        <w:t xml:space="preserve"> </w:t>
      </w:r>
      <w:r>
        <w:t>primarily</w:t>
      </w:r>
      <w:r>
        <w:rPr>
          <w:spacing w:val="-4"/>
        </w:rPr>
        <w:t xml:space="preserve"> </w:t>
      </w:r>
      <w:r>
        <w:t>relied on data provided by the applicant, along with considerations of precedents set by international regulatory bodies. The variance in exposure calculation methods can result in regulatory inconsistencies and uncertainties for applicants seeking to introduce new ingredients to the market.</w:t>
      </w:r>
    </w:p>
    <w:p w14:paraId="7D071E0F" w14:textId="77777777" w:rsidR="00F20B32" w:rsidRDefault="00CC55A0" w:rsidP="00031B15">
      <w:pPr>
        <w:pStyle w:val="BodyText"/>
        <w:spacing w:before="120" w:line="259" w:lineRule="auto"/>
        <w:ind w:right="172" w:firstLine="1"/>
      </w:pPr>
      <w:r>
        <w:t>A</w:t>
      </w:r>
      <w:r>
        <w:rPr>
          <w:spacing w:val="-4"/>
        </w:rPr>
        <w:t xml:space="preserve"> </w:t>
      </w:r>
      <w:r>
        <w:t>number</w:t>
      </w:r>
      <w:r>
        <w:rPr>
          <w:spacing w:val="-2"/>
        </w:rPr>
        <w:t xml:space="preserve"> </w:t>
      </w:r>
      <w:r>
        <w:t>of</w:t>
      </w:r>
      <w:r>
        <w:rPr>
          <w:spacing w:val="-3"/>
        </w:rPr>
        <w:t xml:space="preserve"> </w:t>
      </w:r>
      <w:r>
        <w:t>new</w:t>
      </w:r>
      <w:r>
        <w:rPr>
          <w:spacing w:val="-3"/>
        </w:rPr>
        <w:t xml:space="preserve"> </w:t>
      </w:r>
      <w:r>
        <w:t>sunscreen</w:t>
      </w:r>
      <w:r>
        <w:rPr>
          <w:spacing w:val="-3"/>
        </w:rPr>
        <w:t xml:space="preserve"> </w:t>
      </w:r>
      <w:r>
        <w:t>ingredient</w:t>
      </w:r>
      <w:r>
        <w:rPr>
          <w:spacing w:val="-3"/>
        </w:rPr>
        <w:t xml:space="preserve"> </w:t>
      </w:r>
      <w:r>
        <w:t>applications</w:t>
      </w:r>
      <w:r>
        <w:rPr>
          <w:spacing w:val="-1"/>
        </w:rPr>
        <w:t xml:space="preserve"> </w:t>
      </w:r>
      <w:r>
        <w:t>have</w:t>
      </w:r>
      <w:r>
        <w:rPr>
          <w:spacing w:val="-3"/>
        </w:rPr>
        <w:t xml:space="preserve"> </w:t>
      </w:r>
      <w:r>
        <w:t>u</w:t>
      </w:r>
      <w:r w:rsidR="00B437A4">
        <w:t xml:space="preserve">sed </w:t>
      </w:r>
      <w:r>
        <w:t>exposure</w:t>
      </w:r>
      <w:r>
        <w:rPr>
          <w:spacing w:val="-3"/>
        </w:rPr>
        <w:t xml:space="preserve"> </w:t>
      </w:r>
      <w:r>
        <w:t>models</w:t>
      </w:r>
      <w:r>
        <w:rPr>
          <w:spacing w:val="-2"/>
        </w:rPr>
        <w:t xml:space="preserve"> </w:t>
      </w:r>
      <w:r>
        <w:t>from</w:t>
      </w:r>
      <w:r>
        <w:rPr>
          <w:spacing w:val="-3"/>
        </w:rPr>
        <w:t xml:space="preserve"> </w:t>
      </w:r>
      <w:r>
        <w:t>the</w:t>
      </w:r>
      <w:r>
        <w:rPr>
          <w:spacing w:val="-3"/>
        </w:rPr>
        <w:t xml:space="preserve"> </w:t>
      </w:r>
      <w:r>
        <w:t>SCCS</w:t>
      </w:r>
      <w:r w:rsidR="00CE7BFB">
        <w:t xml:space="preserve"> </w:t>
      </w:r>
      <w:r>
        <w:t>or the then Scientific Committee on Cosmetic</w:t>
      </w:r>
      <w:r>
        <w:rPr>
          <w:spacing w:val="-4"/>
        </w:rPr>
        <w:t xml:space="preserve"> </w:t>
      </w:r>
      <w:r>
        <w:t>and</w:t>
      </w:r>
      <w:r>
        <w:rPr>
          <w:spacing w:val="-5"/>
        </w:rPr>
        <w:t xml:space="preserve"> </w:t>
      </w:r>
      <w:r>
        <w:t>Non-Food</w:t>
      </w:r>
      <w:r>
        <w:rPr>
          <w:spacing w:val="-3"/>
        </w:rPr>
        <w:t xml:space="preserve"> </w:t>
      </w:r>
      <w:r>
        <w:t>Products</w:t>
      </w:r>
      <w:r>
        <w:rPr>
          <w:spacing w:val="-4"/>
        </w:rPr>
        <w:t xml:space="preserve"> </w:t>
      </w:r>
      <w:r>
        <w:t>intended</w:t>
      </w:r>
      <w:r>
        <w:rPr>
          <w:spacing w:val="-3"/>
        </w:rPr>
        <w:t xml:space="preserve"> </w:t>
      </w:r>
      <w:r>
        <w:t>for</w:t>
      </w:r>
      <w:r>
        <w:rPr>
          <w:spacing w:val="-4"/>
        </w:rPr>
        <w:t xml:space="preserve"> </w:t>
      </w:r>
      <w:r>
        <w:t>Consumers</w:t>
      </w:r>
      <w:r>
        <w:rPr>
          <w:spacing w:val="-4"/>
        </w:rPr>
        <w:t xml:space="preserve"> </w:t>
      </w:r>
      <w:r>
        <w:t>(SCCNFP).</w:t>
      </w:r>
    </w:p>
    <w:p w14:paraId="3E4FD93F" w14:textId="4B6DF236" w:rsidR="00F20B32" w:rsidRDefault="00F20B32" w:rsidP="00F20B32">
      <w:pPr>
        <w:widowControl w:val="0"/>
        <w:autoSpaceDE w:val="0"/>
        <w:autoSpaceDN w:val="0"/>
        <w:spacing w:before="120" w:after="0"/>
        <w:ind w:right="247"/>
        <w:jc w:val="both"/>
        <w:rPr>
          <w:rFonts w:eastAsia="Arial" w:cs="Arial"/>
          <w:spacing w:val="-3"/>
          <w:lang w:val="en-US"/>
        </w:rPr>
      </w:pPr>
      <w:r w:rsidRPr="00E37D50">
        <w:rPr>
          <w:rFonts w:eastAsia="Arial" w:cs="Arial"/>
          <w:lang w:val="en-US"/>
        </w:rPr>
        <w:t xml:space="preserve">The TGA </w:t>
      </w:r>
      <w:r w:rsidR="000E4242">
        <w:rPr>
          <w:rFonts w:eastAsia="Arial" w:cs="Arial"/>
          <w:lang w:val="en-US"/>
        </w:rPr>
        <w:t>utilises the calculation methods described by the</w:t>
      </w:r>
      <w:r w:rsidRPr="00E37D50">
        <w:rPr>
          <w:rFonts w:eastAsia="Arial" w:cs="Arial"/>
          <w:lang w:val="en-US"/>
        </w:rPr>
        <w:t xml:space="preserve"> SCCS</w:t>
      </w:r>
      <w:r w:rsidR="00814CE4">
        <w:rPr>
          <w:rFonts w:eastAsia="Arial" w:cs="Arial"/>
          <w:lang w:val="en-US"/>
        </w:rPr>
        <w:t xml:space="preserve"> </w:t>
      </w:r>
      <w:r w:rsidRPr="00E37D50">
        <w:rPr>
          <w:rFonts w:eastAsia="Arial" w:cs="Arial"/>
          <w:lang w:val="en-US"/>
        </w:rPr>
        <w:t>to calculate the SED in cosmetic products</w:t>
      </w:r>
      <w:r w:rsidR="0061750D">
        <w:rPr>
          <w:rFonts w:eastAsia="Arial" w:cs="Arial"/>
          <w:lang w:val="en-US"/>
        </w:rPr>
        <w:t>,</w:t>
      </w:r>
      <w:r w:rsidRPr="00E37D50">
        <w:rPr>
          <w:rFonts w:eastAsia="Arial" w:cs="Arial"/>
          <w:lang w:val="en-US"/>
        </w:rPr>
        <w:t xml:space="preserve"> </w:t>
      </w:r>
      <w:r w:rsidR="000E4242">
        <w:rPr>
          <w:rFonts w:eastAsia="Arial" w:cs="Arial"/>
          <w:lang w:val="en-US"/>
        </w:rPr>
        <w:t>in its calculations to determine</w:t>
      </w:r>
      <w:r w:rsidRPr="00E37D50">
        <w:rPr>
          <w:rFonts w:eastAsia="Arial" w:cs="Arial"/>
          <w:lang w:val="en-US"/>
        </w:rPr>
        <w:t xml:space="preserve"> </w:t>
      </w:r>
      <w:r w:rsidR="000E4242">
        <w:rPr>
          <w:rFonts w:eastAsia="Arial" w:cs="Arial"/>
          <w:lang w:val="en-US"/>
        </w:rPr>
        <w:t xml:space="preserve">the </w:t>
      </w:r>
      <w:r w:rsidRPr="00E37D50">
        <w:rPr>
          <w:rFonts w:eastAsia="Arial" w:cs="Arial"/>
          <w:lang w:val="en-US"/>
        </w:rPr>
        <w:t>SED of dermally applied</w:t>
      </w:r>
      <w:r w:rsidRPr="00E37D50">
        <w:rPr>
          <w:rFonts w:eastAsia="Arial" w:cs="Arial"/>
          <w:spacing w:val="-4"/>
          <w:lang w:val="en-US"/>
        </w:rPr>
        <w:t xml:space="preserve"> </w:t>
      </w:r>
      <w:r w:rsidRPr="00E37D50">
        <w:rPr>
          <w:rFonts w:eastAsia="Arial" w:cs="Arial"/>
          <w:lang w:val="en-US"/>
        </w:rPr>
        <w:t>products,</w:t>
      </w:r>
      <w:r w:rsidRPr="00E37D50">
        <w:rPr>
          <w:rFonts w:eastAsia="Arial" w:cs="Arial"/>
          <w:spacing w:val="-4"/>
          <w:lang w:val="en-US"/>
        </w:rPr>
        <w:t xml:space="preserve"> </w:t>
      </w:r>
      <w:r w:rsidRPr="00E37D50">
        <w:rPr>
          <w:rFonts w:eastAsia="Arial" w:cs="Arial"/>
          <w:lang w:val="en-US"/>
        </w:rPr>
        <w:t>including</w:t>
      </w:r>
      <w:r w:rsidRPr="00E37D50">
        <w:rPr>
          <w:rFonts w:eastAsia="Arial" w:cs="Arial"/>
          <w:spacing w:val="-2"/>
          <w:lang w:val="en-US"/>
        </w:rPr>
        <w:t xml:space="preserve"> </w:t>
      </w:r>
      <w:r w:rsidRPr="00E37D50">
        <w:rPr>
          <w:rFonts w:eastAsia="Arial" w:cs="Arial"/>
          <w:lang w:val="en-US"/>
        </w:rPr>
        <w:t>sunscreen</w:t>
      </w:r>
      <w:r w:rsidRPr="00E37D50">
        <w:rPr>
          <w:rFonts w:eastAsia="Arial" w:cs="Arial"/>
          <w:spacing w:val="-4"/>
          <w:lang w:val="en-US"/>
        </w:rPr>
        <w:t xml:space="preserve"> </w:t>
      </w:r>
      <w:r w:rsidRPr="00E37D50">
        <w:rPr>
          <w:rFonts w:eastAsia="Arial" w:cs="Arial"/>
          <w:lang w:val="en-US"/>
        </w:rPr>
        <w:t>products.</w:t>
      </w:r>
      <w:r w:rsidRPr="00E37D50">
        <w:rPr>
          <w:rFonts w:eastAsia="Arial" w:cs="Arial"/>
          <w:spacing w:val="-3"/>
          <w:lang w:val="en-US"/>
        </w:rPr>
        <w:t xml:space="preserve"> </w:t>
      </w:r>
    </w:p>
    <w:p w14:paraId="2A10987A" w14:textId="77777777" w:rsidR="004365D2" w:rsidRDefault="004365D2" w:rsidP="004365D2">
      <w:pPr>
        <w:pStyle w:val="BodyText"/>
        <w:spacing w:before="120" w:line="259" w:lineRule="auto"/>
        <w:ind w:right="172" w:firstLine="1"/>
      </w:pPr>
      <w:r>
        <w:t>The</w:t>
      </w:r>
      <w:r>
        <w:rPr>
          <w:spacing w:val="-3"/>
        </w:rPr>
        <w:t xml:space="preserve"> </w:t>
      </w:r>
      <w:r>
        <w:t>current</w:t>
      </w:r>
      <w:r>
        <w:rPr>
          <w:spacing w:val="-5"/>
        </w:rPr>
        <w:t xml:space="preserve"> </w:t>
      </w:r>
      <w:r>
        <w:t>SCCS</w:t>
      </w:r>
      <w:r>
        <w:rPr>
          <w:spacing w:val="-3"/>
        </w:rPr>
        <w:t xml:space="preserve"> </w:t>
      </w:r>
      <w:r>
        <w:t>models</w:t>
      </w:r>
      <w:r>
        <w:rPr>
          <w:spacing w:val="-1"/>
        </w:rPr>
        <w:t xml:space="preserve"> </w:t>
      </w:r>
      <w:r>
        <w:t>are based on European and other country usage patterns and do not account for Australian use patterns, or the amount of sunscreen application required to achieve the labelled Sun Protection Factor (SPF)</w:t>
      </w:r>
      <w:r>
        <w:rPr>
          <w:rStyle w:val="FootnoteReference"/>
        </w:rPr>
        <w:footnoteReference w:id="11"/>
      </w:r>
      <w:r>
        <w:rPr>
          <w:spacing w:val="40"/>
          <w:position w:val="6"/>
          <w:sz w:val="13"/>
        </w:rPr>
        <w:t xml:space="preserve"> </w:t>
      </w:r>
      <w:r>
        <w:t>rating. While the SCCS uses a 60 kg bodyweight estimate in their calculations, the TGA has historically used</w:t>
      </w:r>
      <w:r>
        <w:rPr>
          <w:spacing w:val="-4"/>
        </w:rPr>
        <w:t xml:space="preserve"> </w:t>
      </w:r>
      <w:r>
        <w:t>a</w:t>
      </w:r>
      <w:r>
        <w:rPr>
          <w:spacing w:val="-2"/>
        </w:rPr>
        <w:t xml:space="preserve"> </w:t>
      </w:r>
      <w:r>
        <w:t>more</w:t>
      </w:r>
      <w:r>
        <w:rPr>
          <w:spacing w:val="-2"/>
        </w:rPr>
        <w:t xml:space="preserve"> </w:t>
      </w:r>
      <w:r>
        <w:t>conservative</w:t>
      </w:r>
      <w:r>
        <w:rPr>
          <w:spacing w:val="-4"/>
        </w:rPr>
        <w:t xml:space="preserve"> </w:t>
      </w:r>
      <w:r>
        <w:t>bodyweight</w:t>
      </w:r>
      <w:r>
        <w:rPr>
          <w:spacing w:val="-4"/>
        </w:rPr>
        <w:t xml:space="preserve"> </w:t>
      </w:r>
      <w:r>
        <w:t>estimate</w:t>
      </w:r>
      <w:r>
        <w:rPr>
          <w:spacing w:val="-2"/>
        </w:rPr>
        <w:t xml:space="preserve"> </w:t>
      </w:r>
      <w:r>
        <w:t>of</w:t>
      </w:r>
      <w:r>
        <w:rPr>
          <w:spacing w:val="-4"/>
        </w:rPr>
        <w:t xml:space="preserve"> </w:t>
      </w:r>
      <w:r>
        <w:t>50</w:t>
      </w:r>
      <w:r>
        <w:rPr>
          <w:spacing w:val="-4"/>
        </w:rPr>
        <w:t xml:space="preserve"> </w:t>
      </w:r>
      <w:r>
        <w:t>kg</w:t>
      </w:r>
      <w:r>
        <w:rPr>
          <w:spacing w:val="-2"/>
        </w:rPr>
        <w:t xml:space="preserve"> </w:t>
      </w:r>
      <w:r>
        <w:t>in</w:t>
      </w:r>
      <w:r>
        <w:rPr>
          <w:spacing w:val="-4"/>
        </w:rPr>
        <w:t xml:space="preserve"> </w:t>
      </w:r>
      <w:r>
        <w:t>some</w:t>
      </w:r>
      <w:r>
        <w:rPr>
          <w:spacing w:val="-4"/>
        </w:rPr>
        <w:t xml:space="preserve"> </w:t>
      </w:r>
      <w:r>
        <w:t>assessments.</w:t>
      </w:r>
      <w:r>
        <w:rPr>
          <w:spacing w:val="-4"/>
        </w:rPr>
        <w:t xml:space="preserve"> </w:t>
      </w:r>
      <w:r>
        <w:t>Further,</w:t>
      </w:r>
      <w:r>
        <w:rPr>
          <w:spacing w:val="-2"/>
        </w:rPr>
        <w:t xml:space="preserve"> </w:t>
      </w:r>
      <w:r>
        <w:t>the SCCS</w:t>
      </w:r>
      <w:r>
        <w:rPr>
          <w:spacing w:val="-4"/>
        </w:rPr>
        <w:t xml:space="preserve"> </w:t>
      </w:r>
      <w:r>
        <w:t>method</w:t>
      </w:r>
      <w:r>
        <w:rPr>
          <w:spacing w:val="-3"/>
        </w:rPr>
        <w:t xml:space="preserve"> </w:t>
      </w:r>
      <w:r>
        <w:t>shows a</w:t>
      </w:r>
      <w:r>
        <w:rPr>
          <w:spacing w:val="-3"/>
        </w:rPr>
        <w:t xml:space="preserve"> </w:t>
      </w:r>
      <w:r>
        <w:t>substantial</w:t>
      </w:r>
      <w:r>
        <w:rPr>
          <w:spacing w:val="-2"/>
        </w:rPr>
        <w:t xml:space="preserve"> </w:t>
      </w:r>
      <w:r>
        <w:t>disparity</w:t>
      </w:r>
      <w:r>
        <w:rPr>
          <w:spacing w:val="-3"/>
        </w:rPr>
        <w:t xml:space="preserve"> </w:t>
      </w:r>
      <w:r>
        <w:t>in</w:t>
      </w:r>
      <w:r>
        <w:rPr>
          <w:spacing w:val="-3"/>
        </w:rPr>
        <w:t xml:space="preserve"> </w:t>
      </w:r>
      <w:r>
        <w:t>the</w:t>
      </w:r>
      <w:r>
        <w:rPr>
          <w:spacing w:val="-3"/>
        </w:rPr>
        <w:t xml:space="preserve"> </w:t>
      </w:r>
      <w:r>
        <w:t>risk</w:t>
      </w:r>
      <w:r>
        <w:rPr>
          <w:spacing w:val="-3"/>
        </w:rPr>
        <w:t xml:space="preserve"> </w:t>
      </w:r>
      <w:r>
        <w:t>assessment</w:t>
      </w:r>
      <w:r>
        <w:rPr>
          <w:spacing w:val="-3"/>
        </w:rPr>
        <w:t xml:space="preserve"> </w:t>
      </w:r>
      <w:r>
        <w:t>calculations</w:t>
      </w:r>
      <w:r>
        <w:rPr>
          <w:spacing w:val="-3"/>
        </w:rPr>
        <w:t xml:space="preserve"> </w:t>
      </w:r>
      <w:r>
        <w:t>depending</w:t>
      </w:r>
      <w:r>
        <w:rPr>
          <w:spacing w:val="-3"/>
        </w:rPr>
        <w:t xml:space="preserve"> </w:t>
      </w:r>
      <w:r>
        <w:t>on</w:t>
      </w:r>
      <w:r>
        <w:rPr>
          <w:spacing w:val="-2"/>
        </w:rPr>
        <w:t xml:space="preserve"> </w:t>
      </w:r>
      <w:r>
        <w:t>whether data</w:t>
      </w:r>
      <w:r>
        <w:rPr>
          <w:spacing w:val="-2"/>
        </w:rPr>
        <w:t xml:space="preserve"> </w:t>
      </w:r>
      <w:r>
        <w:t>for</w:t>
      </w:r>
      <w:r>
        <w:rPr>
          <w:spacing w:val="-3"/>
        </w:rPr>
        <w:t xml:space="preserve"> </w:t>
      </w:r>
      <w:r>
        <w:t>dermal</w:t>
      </w:r>
      <w:r>
        <w:rPr>
          <w:spacing w:val="-5"/>
        </w:rPr>
        <w:t xml:space="preserve"> </w:t>
      </w:r>
      <w:r>
        <w:t>absorption</w:t>
      </w:r>
      <w:r>
        <w:rPr>
          <w:spacing w:val="-2"/>
        </w:rPr>
        <w:t xml:space="preserve"> </w:t>
      </w:r>
      <w:r>
        <w:t>of</w:t>
      </w:r>
      <w:r>
        <w:rPr>
          <w:spacing w:val="-4"/>
        </w:rPr>
        <w:t xml:space="preserve"> </w:t>
      </w:r>
      <w:r>
        <w:t>an</w:t>
      </w:r>
      <w:r>
        <w:rPr>
          <w:spacing w:val="-2"/>
        </w:rPr>
        <w:t xml:space="preserve"> </w:t>
      </w:r>
      <w:r>
        <w:t>ingredient</w:t>
      </w:r>
      <w:r>
        <w:rPr>
          <w:spacing w:val="-4"/>
        </w:rPr>
        <w:t xml:space="preserve"> </w:t>
      </w:r>
      <w:r>
        <w:t>is</w:t>
      </w:r>
      <w:r>
        <w:rPr>
          <w:spacing w:val="-3"/>
        </w:rPr>
        <w:t xml:space="preserve"> </w:t>
      </w:r>
      <w:r>
        <w:t>reported in</w:t>
      </w:r>
      <w:r>
        <w:rPr>
          <w:spacing w:val="-4"/>
        </w:rPr>
        <w:t xml:space="preserve"> </w:t>
      </w:r>
      <w:r>
        <w:t>μg/cm²</w:t>
      </w:r>
      <w:r>
        <w:rPr>
          <w:spacing w:val="-3"/>
        </w:rPr>
        <w:t xml:space="preserve"> </w:t>
      </w:r>
      <w:r>
        <w:t>or</w:t>
      </w:r>
      <w:r>
        <w:rPr>
          <w:spacing w:val="-3"/>
        </w:rPr>
        <w:t xml:space="preserve"> </w:t>
      </w:r>
      <w:r>
        <w:t>as</w:t>
      </w:r>
      <w:r>
        <w:rPr>
          <w:spacing w:val="-3"/>
        </w:rPr>
        <w:t xml:space="preserve"> </w:t>
      </w:r>
      <w:r>
        <w:t>a</w:t>
      </w:r>
      <w:r>
        <w:rPr>
          <w:spacing w:val="-2"/>
        </w:rPr>
        <w:t xml:space="preserve"> </w:t>
      </w:r>
      <w:r>
        <w:t>percentage</w:t>
      </w:r>
      <w:r>
        <w:rPr>
          <w:spacing w:val="-4"/>
        </w:rPr>
        <w:t xml:space="preserve">. </w:t>
      </w:r>
    </w:p>
    <w:p w14:paraId="59B64075" w14:textId="77777777" w:rsidR="004365D2" w:rsidRDefault="004365D2" w:rsidP="004365D2">
      <w:pPr>
        <w:pStyle w:val="BodyText"/>
        <w:spacing w:before="117" w:line="259" w:lineRule="auto"/>
        <w:ind w:left="1"/>
      </w:pPr>
      <w:r>
        <w:t>Some assessments have adopted a higher exposure using a sunscreen application rate of 2 mg/cm</w:t>
      </w:r>
      <w:r>
        <w:rPr>
          <w:position w:val="6"/>
          <w:sz w:val="13"/>
        </w:rPr>
        <w:t>2</w:t>
      </w:r>
      <w:r>
        <w:rPr>
          <w:spacing w:val="40"/>
          <w:position w:val="6"/>
          <w:sz w:val="13"/>
        </w:rPr>
        <w:t xml:space="preserve"> </w:t>
      </w:r>
      <w:r>
        <w:t>than the SCCS approach which is based on studies that observed varying rates ranging from 0.5-1.3 mg/cm</w:t>
      </w:r>
      <w:r>
        <w:rPr>
          <w:position w:val="6"/>
          <w:sz w:val="13"/>
        </w:rPr>
        <w:t xml:space="preserve">2 </w:t>
      </w:r>
      <w:r>
        <w:t>(p 85, SCCS 2021). Other approaches have been based on the Cancer Council Australia's guidelines</w:t>
      </w:r>
      <w:r>
        <w:rPr>
          <w:spacing w:val="-2"/>
        </w:rPr>
        <w:t xml:space="preserve"> </w:t>
      </w:r>
      <w:r>
        <w:t>of</w:t>
      </w:r>
      <w:r>
        <w:rPr>
          <w:spacing w:val="-3"/>
        </w:rPr>
        <w:t xml:space="preserve"> </w:t>
      </w:r>
      <w:r>
        <w:t>reapplying</w:t>
      </w:r>
      <w:r>
        <w:rPr>
          <w:spacing w:val="-3"/>
        </w:rPr>
        <w:t xml:space="preserve"> </w:t>
      </w:r>
      <w:r>
        <w:t>sunscreen</w:t>
      </w:r>
      <w:r>
        <w:rPr>
          <w:spacing w:val="-3"/>
        </w:rPr>
        <w:t xml:space="preserve"> </w:t>
      </w:r>
      <w:r>
        <w:t>every</w:t>
      </w:r>
      <w:r>
        <w:rPr>
          <w:spacing w:val="-2"/>
        </w:rPr>
        <w:t xml:space="preserve"> </w:t>
      </w:r>
      <w:r>
        <w:t>2</w:t>
      </w:r>
      <w:r>
        <w:rPr>
          <w:spacing w:val="-3"/>
        </w:rPr>
        <w:t xml:space="preserve"> </w:t>
      </w:r>
      <w:r>
        <w:t>hours</w:t>
      </w:r>
      <w:r>
        <w:rPr>
          <w:spacing w:val="-2"/>
        </w:rPr>
        <w:t xml:space="preserve"> </w:t>
      </w:r>
      <w:r>
        <w:t>for</w:t>
      </w:r>
      <w:r>
        <w:rPr>
          <w:spacing w:val="-2"/>
        </w:rPr>
        <w:t xml:space="preserve"> </w:t>
      </w:r>
      <w:r>
        <w:t>a</w:t>
      </w:r>
      <w:r>
        <w:rPr>
          <w:spacing w:val="-2"/>
        </w:rPr>
        <w:t xml:space="preserve"> </w:t>
      </w:r>
      <w:r>
        <w:t>full-body application</w:t>
      </w:r>
      <w:r>
        <w:rPr>
          <w:spacing w:val="-3"/>
        </w:rPr>
        <w:t xml:space="preserve"> </w:t>
      </w:r>
      <w:r>
        <w:t>of</w:t>
      </w:r>
      <w:r>
        <w:rPr>
          <w:spacing w:val="-2"/>
        </w:rPr>
        <w:t xml:space="preserve"> </w:t>
      </w:r>
      <w:r>
        <w:t>35</w:t>
      </w:r>
      <w:r>
        <w:rPr>
          <w:spacing w:val="-2"/>
        </w:rPr>
        <w:t xml:space="preserve"> </w:t>
      </w:r>
      <w:r>
        <w:t>mL</w:t>
      </w:r>
      <w:r>
        <w:rPr>
          <w:spacing w:val="-3"/>
        </w:rPr>
        <w:t xml:space="preserve"> </w:t>
      </w:r>
      <w:r>
        <w:t>for</w:t>
      </w:r>
      <w:r>
        <w:rPr>
          <w:spacing w:val="-1"/>
        </w:rPr>
        <w:t xml:space="preserve"> </w:t>
      </w:r>
      <w:r>
        <w:t>a</w:t>
      </w:r>
      <w:r>
        <w:rPr>
          <w:spacing w:val="-3"/>
        </w:rPr>
        <w:t xml:space="preserve"> </w:t>
      </w:r>
      <w:r>
        <w:t>full</w:t>
      </w:r>
      <w:r>
        <w:rPr>
          <w:spacing w:val="-2"/>
        </w:rPr>
        <w:t xml:space="preserve"> </w:t>
      </w:r>
      <w:r>
        <w:t>day.</w:t>
      </w:r>
      <w:r>
        <w:rPr>
          <w:spacing w:val="-3"/>
        </w:rPr>
        <w:t xml:space="preserve"> </w:t>
      </w:r>
      <w:r>
        <w:t>The type of information that is presented by the applicant can also contribute to inconsistent assessments.</w:t>
      </w:r>
    </w:p>
    <w:p w14:paraId="3FD3B4ED" w14:textId="77777777" w:rsidR="004365D2" w:rsidRDefault="004365D2" w:rsidP="004365D2">
      <w:pPr>
        <w:pStyle w:val="BodyText"/>
        <w:spacing w:before="119" w:line="259" w:lineRule="auto"/>
        <w:ind w:left="1" w:right="160"/>
      </w:pPr>
      <w:r>
        <w:t>A standardised, evidence-based approach is essential for regulatory certainty and to ensure that sunscreens</w:t>
      </w:r>
      <w:r>
        <w:rPr>
          <w:spacing w:val="-1"/>
        </w:rPr>
        <w:t xml:space="preserve"> </w:t>
      </w:r>
      <w:r>
        <w:t>are</w:t>
      </w:r>
      <w:r>
        <w:rPr>
          <w:spacing w:val="-2"/>
        </w:rPr>
        <w:t xml:space="preserve"> </w:t>
      </w:r>
      <w:r>
        <w:t>safe,</w:t>
      </w:r>
      <w:r>
        <w:rPr>
          <w:spacing w:val="-2"/>
        </w:rPr>
        <w:t xml:space="preserve"> </w:t>
      </w:r>
      <w:r>
        <w:t>effective,</w:t>
      </w:r>
      <w:r>
        <w:rPr>
          <w:spacing w:val="-2"/>
        </w:rPr>
        <w:t xml:space="preserve"> </w:t>
      </w:r>
      <w:r>
        <w:t>and reflective of</w:t>
      </w:r>
      <w:r>
        <w:rPr>
          <w:spacing w:val="-2"/>
        </w:rPr>
        <w:t xml:space="preserve"> </w:t>
      </w:r>
      <w:r>
        <w:t>actual usage patterns</w:t>
      </w:r>
      <w:r>
        <w:rPr>
          <w:spacing w:val="-1"/>
        </w:rPr>
        <w:t xml:space="preserve"> </w:t>
      </w:r>
      <w:r>
        <w:t>in Australia, rather</w:t>
      </w:r>
      <w:r>
        <w:rPr>
          <w:spacing w:val="-1"/>
        </w:rPr>
        <w:t xml:space="preserve"> </w:t>
      </w:r>
      <w:r>
        <w:t>than</w:t>
      </w:r>
      <w:r>
        <w:rPr>
          <w:spacing w:val="-2"/>
        </w:rPr>
        <w:t xml:space="preserve"> </w:t>
      </w:r>
      <w:r>
        <w:t>relying on</w:t>
      </w:r>
      <w:r>
        <w:rPr>
          <w:spacing w:val="-4"/>
        </w:rPr>
        <w:t xml:space="preserve"> </w:t>
      </w:r>
      <w:r>
        <w:t>different</w:t>
      </w:r>
      <w:r>
        <w:rPr>
          <w:spacing w:val="-4"/>
        </w:rPr>
        <w:t xml:space="preserve"> </w:t>
      </w:r>
      <w:r>
        <w:t>approaches</w:t>
      </w:r>
      <w:r>
        <w:rPr>
          <w:spacing w:val="-3"/>
        </w:rPr>
        <w:t xml:space="preserve"> </w:t>
      </w:r>
      <w:r>
        <w:t>or</w:t>
      </w:r>
      <w:r>
        <w:rPr>
          <w:spacing w:val="-1"/>
        </w:rPr>
        <w:t xml:space="preserve"> </w:t>
      </w:r>
      <w:r>
        <w:t>international</w:t>
      </w:r>
      <w:r>
        <w:rPr>
          <w:spacing w:val="-5"/>
        </w:rPr>
        <w:t xml:space="preserve"> </w:t>
      </w:r>
      <w:r>
        <w:t>assessment</w:t>
      </w:r>
      <w:r>
        <w:rPr>
          <w:spacing w:val="-2"/>
        </w:rPr>
        <w:t xml:space="preserve"> </w:t>
      </w:r>
      <w:r>
        <w:t>models.</w:t>
      </w:r>
      <w:r>
        <w:rPr>
          <w:spacing w:val="-4"/>
        </w:rPr>
        <w:t xml:space="preserve"> </w:t>
      </w:r>
      <w:r>
        <w:t>This</w:t>
      </w:r>
      <w:r>
        <w:rPr>
          <w:spacing w:val="-3"/>
        </w:rPr>
        <w:t xml:space="preserve"> </w:t>
      </w:r>
      <w:r>
        <w:t>will</w:t>
      </w:r>
      <w:r>
        <w:rPr>
          <w:spacing w:val="-5"/>
        </w:rPr>
        <w:t xml:space="preserve"> </w:t>
      </w:r>
      <w:r>
        <w:t>provide</w:t>
      </w:r>
      <w:r>
        <w:rPr>
          <w:spacing w:val="-2"/>
        </w:rPr>
        <w:t xml:space="preserve"> </w:t>
      </w:r>
      <w:r>
        <w:t>a</w:t>
      </w:r>
      <w:r>
        <w:rPr>
          <w:spacing w:val="-4"/>
        </w:rPr>
        <w:t xml:space="preserve"> </w:t>
      </w:r>
      <w:r>
        <w:t>consistent</w:t>
      </w:r>
      <w:r>
        <w:rPr>
          <w:spacing w:val="-2"/>
        </w:rPr>
        <w:t xml:space="preserve"> </w:t>
      </w:r>
      <w:r>
        <w:t>framework for evaluating the safety of therapeutic sunscreen ingredients,</w:t>
      </w:r>
      <w:r>
        <w:rPr>
          <w:spacing w:val="-1"/>
        </w:rPr>
        <w:t xml:space="preserve"> </w:t>
      </w:r>
      <w:r>
        <w:t>aligning with</w:t>
      </w:r>
      <w:r>
        <w:rPr>
          <w:spacing w:val="-1"/>
        </w:rPr>
        <w:t xml:space="preserve"> </w:t>
      </w:r>
      <w:r>
        <w:t>Australian</w:t>
      </w:r>
      <w:r>
        <w:rPr>
          <w:spacing w:val="-1"/>
        </w:rPr>
        <w:t xml:space="preserve"> </w:t>
      </w:r>
      <w:r>
        <w:t>conditions and consumer practices.</w:t>
      </w:r>
    </w:p>
    <w:p w14:paraId="562F265E" w14:textId="63387CDC" w:rsidR="0063758D" w:rsidRPr="009B0C50" w:rsidRDefault="0063758D" w:rsidP="004813EC">
      <w:pPr>
        <w:pStyle w:val="Heading3"/>
      </w:pPr>
      <w:bookmarkStart w:id="27" w:name="_Sunscreen_use_by_1"/>
      <w:bookmarkStart w:id="28" w:name="_Toc184730549"/>
      <w:bookmarkEnd w:id="27"/>
      <w:r w:rsidRPr="009B0C50">
        <w:t>Sunscreen</w:t>
      </w:r>
      <w:r w:rsidRPr="009B0C50">
        <w:rPr>
          <w:spacing w:val="-6"/>
        </w:rPr>
        <w:t xml:space="preserve"> </w:t>
      </w:r>
      <w:r w:rsidRPr="009B0C50">
        <w:t>use</w:t>
      </w:r>
      <w:r w:rsidRPr="009B0C50">
        <w:rPr>
          <w:spacing w:val="-7"/>
        </w:rPr>
        <w:t xml:space="preserve"> </w:t>
      </w:r>
      <w:r w:rsidRPr="009B0C50">
        <w:t>by</w:t>
      </w:r>
      <w:r w:rsidRPr="009B0C50">
        <w:rPr>
          <w:spacing w:val="-6"/>
        </w:rPr>
        <w:t xml:space="preserve"> </w:t>
      </w:r>
      <w:r w:rsidRPr="009B0C50">
        <w:t>the</w:t>
      </w:r>
      <w:r w:rsidRPr="009B0C50">
        <w:rPr>
          <w:spacing w:val="-5"/>
        </w:rPr>
        <w:t xml:space="preserve"> </w:t>
      </w:r>
      <w:r w:rsidRPr="009B0C50">
        <w:t>general</w:t>
      </w:r>
      <w:r w:rsidRPr="009B0C50">
        <w:rPr>
          <w:spacing w:val="-7"/>
        </w:rPr>
        <w:t xml:space="preserve"> </w:t>
      </w:r>
      <w:r w:rsidR="00375112">
        <w:rPr>
          <w:spacing w:val="-7"/>
        </w:rPr>
        <w:t xml:space="preserve">Australian </w:t>
      </w:r>
      <w:r w:rsidRPr="009B0C50">
        <w:rPr>
          <w:spacing w:val="-2"/>
        </w:rPr>
        <w:t>population</w:t>
      </w:r>
      <w:bookmarkEnd w:id="28"/>
    </w:p>
    <w:p w14:paraId="68C32BC8" w14:textId="0B020765" w:rsidR="00831273" w:rsidRDefault="00831273" w:rsidP="00831273">
      <w:pPr>
        <w:pStyle w:val="BodyText"/>
        <w:spacing w:before="137" w:line="259" w:lineRule="auto"/>
      </w:pPr>
      <w:r>
        <w:t>Actual</w:t>
      </w:r>
      <w:r>
        <w:rPr>
          <w:spacing w:val="-3"/>
        </w:rPr>
        <w:t xml:space="preserve"> </w:t>
      </w:r>
      <w:r>
        <w:t>use may not</w:t>
      </w:r>
      <w:r>
        <w:rPr>
          <w:spacing w:val="-2"/>
        </w:rPr>
        <w:t xml:space="preserve"> </w:t>
      </w:r>
      <w:r>
        <w:t>always</w:t>
      </w:r>
      <w:r>
        <w:rPr>
          <w:spacing w:val="-1"/>
        </w:rPr>
        <w:t xml:space="preserve"> </w:t>
      </w:r>
      <w:r>
        <w:t>align</w:t>
      </w:r>
      <w:r>
        <w:rPr>
          <w:spacing w:val="-2"/>
        </w:rPr>
        <w:t xml:space="preserve"> </w:t>
      </w:r>
      <w:r>
        <w:t>with</w:t>
      </w:r>
      <w:r>
        <w:rPr>
          <w:spacing w:val="-2"/>
        </w:rPr>
        <w:t xml:space="preserve"> </w:t>
      </w:r>
      <w:r>
        <w:t>recommendations</w:t>
      </w:r>
      <w:r>
        <w:rPr>
          <w:spacing w:val="-1"/>
        </w:rPr>
        <w:t xml:space="preserve"> </w:t>
      </w:r>
      <w:r>
        <w:t>for</w:t>
      </w:r>
      <w:r>
        <w:rPr>
          <w:spacing w:val="-1"/>
        </w:rPr>
        <w:t xml:space="preserve"> </w:t>
      </w:r>
      <w:r>
        <w:t>how</w:t>
      </w:r>
      <w:r>
        <w:rPr>
          <w:spacing w:val="-2"/>
        </w:rPr>
        <w:t xml:space="preserve"> </w:t>
      </w:r>
      <w:r>
        <w:t>sunscreens</w:t>
      </w:r>
      <w:r>
        <w:rPr>
          <w:spacing w:val="-1"/>
        </w:rPr>
        <w:t xml:space="preserve"> </w:t>
      </w:r>
      <w:r>
        <w:t>are to</w:t>
      </w:r>
      <w:r>
        <w:rPr>
          <w:spacing w:val="-2"/>
        </w:rPr>
        <w:t xml:space="preserve"> </w:t>
      </w:r>
      <w:r>
        <w:t>be</w:t>
      </w:r>
      <w:r>
        <w:rPr>
          <w:spacing w:val="-2"/>
        </w:rPr>
        <w:t xml:space="preserve"> </w:t>
      </w:r>
      <w:r>
        <w:t>used effectively.</w:t>
      </w:r>
      <w:r>
        <w:rPr>
          <w:spacing w:val="-4"/>
        </w:rPr>
        <w:t xml:space="preserve"> </w:t>
      </w:r>
      <w:r w:rsidR="00CE7BFB">
        <w:t>Further</w:t>
      </w:r>
      <w:r>
        <w:t>,</w:t>
      </w:r>
      <w:r>
        <w:rPr>
          <w:spacing w:val="-3"/>
        </w:rPr>
        <w:t xml:space="preserve"> </w:t>
      </w:r>
      <w:r>
        <w:t>different</w:t>
      </w:r>
      <w:r>
        <w:rPr>
          <w:spacing w:val="-4"/>
        </w:rPr>
        <w:t xml:space="preserve"> </w:t>
      </w:r>
      <w:r>
        <w:t>methods</w:t>
      </w:r>
      <w:r>
        <w:rPr>
          <w:spacing w:val="-4"/>
        </w:rPr>
        <w:t xml:space="preserve"> </w:t>
      </w:r>
      <w:r>
        <w:t>for</w:t>
      </w:r>
      <w:r>
        <w:rPr>
          <w:spacing w:val="-4"/>
        </w:rPr>
        <w:t xml:space="preserve"> </w:t>
      </w:r>
      <w:r>
        <w:t>calculating</w:t>
      </w:r>
      <w:r>
        <w:rPr>
          <w:spacing w:val="-3"/>
        </w:rPr>
        <w:t xml:space="preserve"> </w:t>
      </w:r>
      <w:r>
        <w:t>the</w:t>
      </w:r>
      <w:r>
        <w:rPr>
          <w:spacing w:val="-4"/>
        </w:rPr>
        <w:t xml:space="preserve"> </w:t>
      </w:r>
      <w:r>
        <w:t>external</w:t>
      </w:r>
      <w:r>
        <w:rPr>
          <w:spacing w:val="-4"/>
        </w:rPr>
        <w:t xml:space="preserve"> </w:t>
      </w:r>
      <w:r>
        <w:t>exposure</w:t>
      </w:r>
      <w:r>
        <w:rPr>
          <w:spacing w:val="-3"/>
        </w:rPr>
        <w:t xml:space="preserve"> </w:t>
      </w:r>
      <w:r>
        <w:t>component</w:t>
      </w:r>
      <w:r>
        <w:rPr>
          <w:spacing w:val="-4"/>
        </w:rPr>
        <w:t xml:space="preserve"> </w:t>
      </w:r>
      <w:r>
        <w:t>may</w:t>
      </w:r>
      <w:r>
        <w:rPr>
          <w:spacing w:val="-4"/>
        </w:rPr>
        <w:t xml:space="preserve"> </w:t>
      </w:r>
      <w:r>
        <w:t>not</w:t>
      </w:r>
      <w:r>
        <w:rPr>
          <w:spacing w:val="-4"/>
        </w:rPr>
        <w:t xml:space="preserve"> </w:t>
      </w:r>
      <w:r>
        <w:t xml:space="preserve">fully capture Australian usage patterns. </w:t>
      </w:r>
      <w:r w:rsidR="00CE7BFB">
        <w:t>A</w:t>
      </w:r>
      <w:r>
        <w:t xml:space="preserve"> standardised, </w:t>
      </w:r>
      <w:r w:rsidRPr="0088021B">
        <w:rPr>
          <w:lang w:val="en-AU"/>
        </w:rPr>
        <w:t>evidence</w:t>
      </w:r>
      <w:r>
        <w:t>-based approach is required to calculate the external exposure of a sunscreen</w:t>
      </w:r>
      <w:r w:rsidR="00CE7BFB">
        <w:t xml:space="preserve"> </w:t>
      </w:r>
      <w:r>
        <w:t>that considers the diverse ways Australian</w:t>
      </w:r>
      <w:r w:rsidR="001D15EE">
        <w:t>s</w:t>
      </w:r>
      <w:r>
        <w:t xml:space="preserve"> use sunscreen and ensures a realistic and safe framework for ingredient evaluation. </w:t>
      </w:r>
    </w:p>
    <w:p w14:paraId="06D7DC33" w14:textId="67979403" w:rsidR="008B1696" w:rsidRDefault="0063758D" w:rsidP="008B1696">
      <w:pPr>
        <w:pStyle w:val="BodyText"/>
        <w:spacing w:before="140" w:line="259" w:lineRule="auto"/>
        <w:ind w:left="1" w:right="113"/>
      </w:pPr>
      <w:r w:rsidRPr="009B0C50">
        <w:t>National Sun Protection Surveys conducted by Cancer Council Australia captures Australian adults’ and</w:t>
      </w:r>
      <w:r w:rsidRPr="009B0C50">
        <w:rPr>
          <w:spacing w:val="-3"/>
        </w:rPr>
        <w:t xml:space="preserve"> </w:t>
      </w:r>
      <w:r w:rsidRPr="009B0C50">
        <w:t>adolescents’</w:t>
      </w:r>
      <w:r w:rsidRPr="009B0C50">
        <w:rPr>
          <w:spacing w:val="-4"/>
        </w:rPr>
        <w:t xml:space="preserve"> </w:t>
      </w:r>
      <w:r w:rsidRPr="009B0C50">
        <w:t>sun</w:t>
      </w:r>
      <w:r w:rsidRPr="009B0C50">
        <w:rPr>
          <w:spacing w:val="-3"/>
        </w:rPr>
        <w:t xml:space="preserve"> </w:t>
      </w:r>
      <w:r w:rsidRPr="009B0C50">
        <w:t>protection</w:t>
      </w:r>
      <w:r w:rsidRPr="009B0C50">
        <w:rPr>
          <w:spacing w:val="-3"/>
        </w:rPr>
        <w:t xml:space="preserve"> </w:t>
      </w:r>
      <w:r w:rsidRPr="009B0C50">
        <w:t>behaviours</w:t>
      </w:r>
      <w:r w:rsidRPr="009B0C50">
        <w:rPr>
          <w:spacing w:val="-4"/>
        </w:rPr>
        <w:t xml:space="preserve"> </w:t>
      </w:r>
      <w:r w:rsidRPr="009B0C50">
        <w:t>on</w:t>
      </w:r>
      <w:r w:rsidRPr="009B0C50">
        <w:rPr>
          <w:spacing w:val="-5"/>
        </w:rPr>
        <w:t xml:space="preserve"> </w:t>
      </w:r>
      <w:r w:rsidRPr="009B0C50">
        <w:t>summer</w:t>
      </w:r>
      <w:r w:rsidRPr="009B0C50">
        <w:rPr>
          <w:spacing w:val="-4"/>
        </w:rPr>
        <w:t xml:space="preserve"> </w:t>
      </w:r>
      <w:r w:rsidRPr="009B0C50">
        <w:t>weekends</w:t>
      </w:r>
      <w:r w:rsidRPr="009B0C50">
        <w:rPr>
          <w:spacing w:val="-4"/>
        </w:rPr>
        <w:t xml:space="preserve"> </w:t>
      </w:r>
      <w:r w:rsidRPr="009B0C50">
        <w:t>in</w:t>
      </w:r>
      <w:r w:rsidRPr="009B0C50">
        <w:rPr>
          <w:spacing w:val="-3"/>
        </w:rPr>
        <w:t xml:space="preserve"> </w:t>
      </w:r>
      <w:r w:rsidRPr="009B0C50">
        <w:t>2003-2017.</w:t>
      </w:r>
      <w:r w:rsidRPr="009B0C50">
        <w:rPr>
          <w:spacing w:val="-3"/>
        </w:rPr>
        <w:t xml:space="preserve"> </w:t>
      </w:r>
      <w:r w:rsidRPr="009B0C50">
        <w:t>Consistently</w:t>
      </w:r>
      <w:r w:rsidRPr="009B0C50">
        <w:rPr>
          <w:spacing w:val="-4"/>
        </w:rPr>
        <w:t xml:space="preserve"> </w:t>
      </w:r>
      <w:r w:rsidRPr="009B0C50">
        <w:t>over</w:t>
      </w:r>
      <w:r w:rsidRPr="009B0C50">
        <w:rPr>
          <w:spacing w:val="-2"/>
        </w:rPr>
        <w:t xml:space="preserve"> </w:t>
      </w:r>
      <w:r w:rsidRPr="009B0C50">
        <w:t>the years</w:t>
      </w:r>
      <w:r w:rsidRPr="009B0C50">
        <w:rPr>
          <w:spacing w:val="-1"/>
        </w:rPr>
        <w:t xml:space="preserve"> </w:t>
      </w:r>
      <w:r w:rsidR="00E62C6A">
        <w:rPr>
          <w:spacing w:val="-1"/>
        </w:rPr>
        <w:t xml:space="preserve">the </w:t>
      </w:r>
      <w:r w:rsidRPr="009B0C50">
        <w:t>surveys</w:t>
      </w:r>
      <w:r w:rsidRPr="009B0C50">
        <w:rPr>
          <w:spacing w:val="-1"/>
        </w:rPr>
        <w:t xml:space="preserve"> </w:t>
      </w:r>
      <w:r w:rsidRPr="009B0C50">
        <w:t>were</w:t>
      </w:r>
      <w:r w:rsidRPr="009B0C50">
        <w:rPr>
          <w:spacing w:val="-2"/>
        </w:rPr>
        <w:t xml:space="preserve"> </w:t>
      </w:r>
      <w:r w:rsidRPr="009B0C50">
        <w:t>conducted, more</w:t>
      </w:r>
      <w:r w:rsidRPr="009B0C50">
        <w:rPr>
          <w:spacing w:val="-2"/>
        </w:rPr>
        <w:t xml:space="preserve"> </w:t>
      </w:r>
      <w:r w:rsidRPr="009B0C50">
        <w:t>than 40% of adults</w:t>
      </w:r>
      <w:r w:rsidRPr="009B0C50">
        <w:rPr>
          <w:spacing w:val="-1"/>
        </w:rPr>
        <w:t xml:space="preserve"> </w:t>
      </w:r>
      <w:r w:rsidRPr="009B0C50">
        <w:t>and more</w:t>
      </w:r>
      <w:r w:rsidRPr="009B0C50">
        <w:rPr>
          <w:spacing w:val="-2"/>
        </w:rPr>
        <w:t xml:space="preserve"> </w:t>
      </w:r>
      <w:r w:rsidRPr="009B0C50">
        <w:t>than 25% of adolescents</w:t>
      </w:r>
      <w:r w:rsidRPr="009B0C50">
        <w:rPr>
          <w:spacing w:val="-1"/>
        </w:rPr>
        <w:t xml:space="preserve"> </w:t>
      </w:r>
      <w:r w:rsidRPr="009B0C50">
        <w:t>used 2</w:t>
      </w:r>
      <w:r w:rsidRPr="009B0C50">
        <w:rPr>
          <w:spacing w:val="-2"/>
        </w:rPr>
        <w:t xml:space="preserve"> </w:t>
      </w:r>
      <w:r w:rsidRPr="009B0C50">
        <w:t>or more sun protection methods, such as sunscreen (</w:t>
      </w:r>
      <w:r w:rsidRPr="009B0C50">
        <w:rPr>
          <w:color w:val="232323"/>
        </w:rPr>
        <w:t>Cancer Australia 2019)</w:t>
      </w:r>
      <w:r w:rsidR="00C415E5">
        <w:rPr>
          <w:rStyle w:val="FootnoteReference"/>
        </w:rPr>
        <w:footnoteReference w:id="12"/>
      </w:r>
      <w:r w:rsidR="00CE7BFB">
        <w:t xml:space="preserve">. </w:t>
      </w:r>
      <w:r w:rsidRPr="009B0C50">
        <w:t>However, the percentage of</w:t>
      </w:r>
      <w:r w:rsidRPr="009B0C50">
        <w:rPr>
          <w:spacing w:val="-3"/>
        </w:rPr>
        <w:t xml:space="preserve"> </w:t>
      </w:r>
      <w:r w:rsidRPr="009B0C50">
        <w:t>people</w:t>
      </w:r>
      <w:r w:rsidRPr="009B0C50">
        <w:rPr>
          <w:spacing w:val="-3"/>
        </w:rPr>
        <w:t xml:space="preserve"> </w:t>
      </w:r>
      <w:r w:rsidRPr="009B0C50">
        <w:t>who</w:t>
      </w:r>
      <w:r w:rsidRPr="009B0C50">
        <w:rPr>
          <w:spacing w:val="-3"/>
        </w:rPr>
        <w:t xml:space="preserve"> </w:t>
      </w:r>
      <w:r w:rsidRPr="009B0C50">
        <w:t>use</w:t>
      </w:r>
      <w:r w:rsidRPr="009B0C50">
        <w:rPr>
          <w:spacing w:val="-1"/>
        </w:rPr>
        <w:t xml:space="preserve"> </w:t>
      </w:r>
      <w:r w:rsidRPr="009B0C50">
        <w:t>sunscreen</w:t>
      </w:r>
      <w:r w:rsidRPr="009B0C50">
        <w:rPr>
          <w:spacing w:val="-3"/>
        </w:rPr>
        <w:t xml:space="preserve"> </w:t>
      </w:r>
      <w:r w:rsidRPr="009B0C50">
        <w:t>as</w:t>
      </w:r>
      <w:r w:rsidRPr="009B0C50">
        <w:rPr>
          <w:spacing w:val="-2"/>
        </w:rPr>
        <w:t xml:space="preserve"> </w:t>
      </w:r>
      <w:r w:rsidRPr="009B0C50">
        <w:t>one</w:t>
      </w:r>
      <w:r w:rsidRPr="009B0C50">
        <w:rPr>
          <w:spacing w:val="-1"/>
        </w:rPr>
        <w:t xml:space="preserve"> </w:t>
      </w:r>
      <w:r w:rsidRPr="009B0C50">
        <w:t>of</w:t>
      </w:r>
      <w:r w:rsidRPr="009B0C50">
        <w:rPr>
          <w:spacing w:val="-3"/>
        </w:rPr>
        <w:t xml:space="preserve"> </w:t>
      </w:r>
      <w:r w:rsidRPr="009B0C50">
        <w:t>the</w:t>
      </w:r>
      <w:r w:rsidRPr="009B0C50">
        <w:rPr>
          <w:spacing w:val="-3"/>
        </w:rPr>
        <w:t xml:space="preserve"> </w:t>
      </w:r>
      <w:r w:rsidRPr="009B0C50">
        <w:t>sun</w:t>
      </w:r>
      <w:r w:rsidRPr="009B0C50">
        <w:rPr>
          <w:spacing w:val="-1"/>
        </w:rPr>
        <w:t xml:space="preserve"> </w:t>
      </w:r>
      <w:r w:rsidRPr="009B0C50">
        <w:t>protection</w:t>
      </w:r>
      <w:r w:rsidRPr="009B0C50">
        <w:rPr>
          <w:spacing w:val="-1"/>
        </w:rPr>
        <w:t xml:space="preserve"> </w:t>
      </w:r>
      <w:r w:rsidRPr="009B0C50">
        <w:t>methods was</w:t>
      </w:r>
      <w:r w:rsidRPr="009B0C50">
        <w:rPr>
          <w:spacing w:val="-2"/>
        </w:rPr>
        <w:t xml:space="preserve"> </w:t>
      </w:r>
      <w:r w:rsidRPr="009B0C50">
        <w:t>not</w:t>
      </w:r>
      <w:r w:rsidRPr="009B0C50">
        <w:rPr>
          <w:spacing w:val="-3"/>
        </w:rPr>
        <w:t xml:space="preserve"> </w:t>
      </w:r>
      <w:r w:rsidRPr="009B0C50">
        <w:t>reported</w:t>
      </w:r>
      <w:r w:rsidRPr="009B0C50">
        <w:rPr>
          <w:spacing w:val="-1"/>
        </w:rPr>
        <w:t xml:space="preserve"> </w:t>
      </w:r>
      <w:r w:rsidRPr="009B0C50">
        <w:t>in</w:t>
      </w:r>
      <w:r w:rsidRPr="009B0C50">
        <w:rPr>
          <w:spacing w:val="-3"/>
        </w:rPr>
        <w:t xml:space="preserve"> </w:t>
      </w:r>
      <w:r w:rsidRPr="009B0C50">
        <w:t>these</w:t>
      </w:r>
      <w:r w:rsidRPr="009B0C50">
        <w:rPr>
          <w:spacing w:val="-3"/>
        </w:rPr>
        <w:t xml:space="preserve"> </w:t>
      </w:r>
      <w:r w:rsidRPr="009B0C50">
        <w:t>surveys.</w:t>
      </w:r>
    </w:p>
    <w:p w14:paraId="3ECB6D2A" w14:textId="5F6634C3" w:rsidR="008B1696" w:rsidRPr="008B1696" w:rsidRDefault="008B1696" w:rsidP="008B1696">
      <w:pPr>
        <w:pStyle w:val="BodyText"/>
        <w:spacing w:before="140" w:line="259" w:lineRule="auto"/>
        <w:ind w:left="1" w:right="113"/>
      </w:pPr>
      <w:r w:rsidRPr="008B1696">
        <w:t>The most recent representative survey prepared for Cancer Council Australia of Australian adolescents’ and adults’ sun protection behaviours in 2016-17 found that on a summer weekend the most</w:t>
      </w:r>
      <w:r w:rsidRPr="008B1696">
        <w:rPr>
          <w:spacing w:val="-1"/>
        </w:rPr>
        <w:t xml:space="preserve"> </w:t>
      </w:r>
      <w:r w:rsidRPr="008B1696">
        <w:t>common</w:t>
      </w:r>
      <w:r w:rsidRPr="008B1696">
        <w:rPr>
          <w:spacing w:val="-1"/>
        </w:rPr>
        <w:t xml:space="preserve"> </w:t>
      </w:r>
      <w:r w:rsidRPr="008B1696">
        <w:t>sun</w:t>
      </w:r>
      <w:r w:rsidRPr="008B1696">
        <w:rPr>
          <w:spacing w:val="-1"/>
        </w:rPr>
        <w:t xml:space="preserve"> </w:t>
      </w:r>
      <w:r w:rsidRPr="008B1696">
        <w:t>protective</w:t>
      </w:r>
      <w:r w:rsidRPr="008B1696">
        <w:rPr>
          <w:spacing w:val="-1"/>
        </w:rPr>
        <w:t xml:space="preserve"> </w:t>
      </w:r>
      <w:r w:rsidRPr="008B1696">
        <w:t>behaviour used by adolescents was using</w:t>
      </w:r>
      <w:r w:rsidRPr="008B1696">
        <w:rPr>
          <w:spacing w:val="-1"/>
        </w:rPr>
        <w:t xml:space="preserve"> </w:t>
      </w:r>
      <w:r w:rsidRPr="008B1696">
        <w:t>sunscreen with an SPF of at least 15 (40%) and the most common sun protective behaviours among adults were wearing sunglasses</w:t>
      </w:r>
      <w:r w:rsidRPr="008B1696">
        <w:rPr>
          <w:spacing w:val="-2"/>
        </w:rPr>
        <w:t xml:space="preserve"> </w:t>
      </w:r>
      <w:r w:rsidRPr="008B1696">
        <w:t>(61%),</w:t>
      </w:r>
      <w:r w:rsidRPr="008B1696">
        <w:rPr>
          <w:spacing w:val="-3"/>
        </w:rPr>
        <w:t xml:space="preserve"> </w:t>
      </w:r>
      <w:r w:rsidRPr="008B1696">
        <w:t>wearing</w:t>
      </w:r>
      <w:r w:rsidRPr="008B1696">
        <w:rPr>
          <w:spacing w:val="-1"/>
        </w:rPr>
        <w:t xml:space="preserve"> </w:t>
      </w:r>
      <w:r w:rsidRPr="008B1696">
        <w:t>a</w:t>
      </w:r>
      <w:r w:rsidRPr="008B1696">
        <w:rPr>
          <w:spacing w:val="-3"/>
        </w:rPr>
        <w:t xml:space="preserve"> </w:t>
      </w:r>
      <w:r w:rsidRPr="008B1696">
        <w:t>hat</w:t>
      </w:r>
      <w:r w:rsidRPr="008B1696">
        <w:rPr>
          <w:spacing w:val="-3"/>
        </w:rPr>
        <w:t xml:space="preserve"> </w:t>
      </w:r>
      <w:r w:rsidRPr="008B1696">
        <w:t>(49%),</w:t>
      </w:r>
      <w:r w:rsidRPr="008B1696">
        <w:rPr>
          <w:spacing w:val="-1"/>
        </w:rPr>
        <w:t xml:space="preserve"> </w:t>
      </w:r>
      <w:r w:rsidRPr="008B1696">
        <w:t>and</w:t>
      </w:r>
      <w:r w:rsidRPr="008B1696">
        <w:rPr>
          <w:spacing w:val="-1"/>
        </w:rPr>
        <w:t xml:space="preserve"> </w:t>
      </w:r>
      <w:r w:rsidRPr="008B1696">
        <w:t>using</w:t>
      </w:r>
      <w:r w:rsidRPr="008B1696">
        <w:rPr>
          <w:spacing w:val="-3"/>
        </w:rPr>
        <w:t xml:space="preserve"> </w:t>
      </w:r>
      <w:r w:rsidRPr="008B1696">
        <w:t>sunscreen</w:t>
      </w:r>
      <w:r w:rsidRPr="008B1696">
        <w:rPr>
          <w:spacing w:val="-3"/>
        </w:rPr>
        <w:t xml:space="preserve"> </w:t>
      </w:r>
      <w:r w:rsidRPr="008B1696">
        <w:t>with</w:t>
      </w:r>
      <w:r w:rsidRPr="008B1696">
        <w:rPr>
          <w:spacing w:val="-3"/>
        </w:rPr>
        <w:t xml:space="preserve"> </w:t>
      </w:r>
      <w:r w:rsidRPr="008B1696">
        <w:t>SPF</w:t>
      </w:r>
      <w:r w:rsidRPr="008B1696">
        <w:rPr>
          <w:spacing w:val="-2"/>
        </w:rPr>
        <w:t xml:space="preserve"> </w:t>
      </w:r>
      <w:r w:rsidRPr="008B1696">
        <w:t>15</w:t>
      </w:r>
      <w:r w:rsidRPr="008B1696">
        <w:rPr>
          <w:spacing w:val="-3"/>
        </w:rPr>
        <w:t xml:space="preserve"> </w:t>
      </w:r>
      <w:r w:rsidRPr="008B1696">
        <w:t>or</w:t>
      </w:r>
      <w:r w:rsidRPr="008B1696">
        <w:rPr>
          <w:spacing w:val="-2"/>
        </w:rPr>
        <w:t xml:space="preserve"> </w:t>
      </w:r>
      <w:r w:rsidRPr="008B1696">
        <w:t>higher</w:t>
      </w:r>
      <w:r w:rsidRPr="008B1696">
        <w:rPr>
          <w:spacing w:val="-2"/>
        </w:rPr>
        <w:t xml:space="preserve"> </w:t>
      </w:r>
      <w:r w:rsidRPr="008B1696">
        <w:t>(42%)</w:t>
      </w:r>
      <w:r w:rsidRPr="008B1696">
        <w:rPr>
          <w:spacing w:val="-2"/>
        </w:rPr>
        <w:t xml:space="preserve"> </w:t>
      </w:r>
      <w:r w:rsidRPr="008B1696">
        <w:t>(Tabbakh and Dobbinson 2018).</w:t>
      </w:r>
    </w:p>
    <w:p w14:paraId="1D27B45C" w14:textId="5F6526E4" w:rsidR="008B1696" w:rsidRPr="008B1696" w:rsidRDefault="008B1696" w:rsidP="008B1696">
      <w:pPr>
        <w:pStyle w:val="BodyText"/>
        <w:spacing w:before="118" w:line="259" w:lineRule="auto"/>
        <w:ind w:left="1" w:right="194"/>
      </w:pPr>
      <w:r w:rsidRPr="008B1696">
        <w:t>A survey conducted by Cancer Council Victoria of Melbourne residents’ sun-related attitudes and behaviour over 3 decades, between 1987 and 2017, shows a significant and sustained improvement in sun protection behaviour, including increased sunscreen use, after the implementation of the SunSmart program. The timing and size of the shift in preventive behaviours implies that Cancer Council Victoria’s SunSmart campaign is likely to have contributed to the reduced incidence in melanoma among younger cohorts (Tabbakh et al. 2019). Conversely, a systematic review exploring the</w:t>
      </w:r>
      <w:r w:rsidRPr="008B1696">
        <w:rPr>
          <w:spacing w:val="-4"/>
        </w:rPr>
        <w:t xml:space="preserve"> </w:t>
      </w:r>
      <w:r w:rsidRPr="008B1696">
        <w:t>use</w:t>
      </w:r>
      <w:r w:rsidRPr="008B1696">
        <w:rPr>
          <w:spacing w:val="-2"/>
        </w:rPr>
        <w:t xml:space="preserve"> </w:t>
      </w:r>
      <w:r w:rsidRPr="008B1696">
        <w:t>of</w:t>
      </w:r>
      <w:r w:rsidRPr="008B1696">
        <w:rPr>
          <w:spacing w:val="-4"/>
        </w:rPr>
        <w:t xml:space="preserve"> </w:t>
      </w:r>
      <w:r w:rsidRPr="008B1696">
        <w:t>sun-protection</w:t>
      </w:r>
      <w:r w:rsidRPr="008B1696">
        <w:rPr>
          <w:spacing w:val="-2"/>
        </w:rPr>
        <w:t xml:space="preserve"> </w:t>
      </w:r>
      <w:r w:rsidRPr="008B1696">
        <w:t>by</w:t>
      </w:r>
      <w:r w:rsidRPr="008B1696">
        <w:rPr>
          <w:spacing w:val="-3"/>
        </w:rPr>
        <w:t xml:space="preserve"> </w:t>
      </w:r>
      <w:r w:rsidRPr="008B1696">
        <w:t>outdoor</w:t>
      </w:r>
      <w:r w:rsidRPr="008B1696">
        <w:rPr>
          <w:spacing w:val="-3"/>
        </w:rPr>
        <w:t xml:space="preserve"> </w:t>
      </w:r>
      <w:r w:rsidRPr="008B1696">
        <w:t>sporting</w:t>
      </w:r>
      <w:r w:rsidRPr="008B1696">
        <w:rPr>
          <w:spacing w:val="-2"/>
        </w:rPr>
        <w:t xml:space="preserve"> </w:t>
      </w:r>
      <w:r w:rsidRPr="008B1696">
        <w:t>participants</w:t>
      </w:r>
      <w:r w:rsidRPr="008B1696">
        <w:rPr>
          <w:spacing w:val="-3"/>
        </w:rPr>
        <w:t xml:space="preserve"> </w:t>
      </w:r>
      <w:r w:rsidRPr="008B1696">
        <w:t>in</w:t>
      </w:r>
      <w:r w:rsidRPr="008B1696">
        <w:rPr>
          <w:spacing w:val="-2"/>
        </w:rPr>
        <w:t xml:space="preserve"> </w:t>
      </w:r>
      <w:r w:rsidRPr="008B1696">
        <w:t>Australasia</w:t>
      </w:r>
      <w:r w:rsidRPr="008B1696">
        <w:rPr>
          <w:spacing w:val="-4"/>
        </w:rPr>
        <w:t xml:space="preserve"> </w:t>
      </w:r>
      <w:r w:rsidRPr="008B1696">
        <w:t>concluded</w:t>
      </w:r>
      <w:r w:rsidRPr="008B1696">
        <w:rPr>
          <w:spacing w:val="-4"/>
        </w:rPr>
        <w:t xml:space="preserve"> </w:t>
      </w:r>
      <w:r w:rsidRPr="008B1696">
        <w:t>that</w:t>
      </w:r>
      <w:r w:rsidRPr="008B1696">
        <w:rPr>
          <w:spacing w:val="-4"/>
        </w:rPr>
        <w:t xml:space="preserve"> </w:t>
      </w:r>
      <w:r w:rsidRPr="008B1696">
        <w:t>adequate</w:t>
      </w:r>
      <w:r w:rsidRPr="008B1696">
        <w:rPr>
          <w:spacing w:val="-4"/>
        </w:rPr>
        <w:t xml:space="preserve"> </w:t>
      </w:r>
      <w:r w:rsidRPr="008B1696">
        <w:t xml:space="preserve">sun-protective behaviours are lacking despite 40 years of ‘Slip Slop Slap’ health promotion (Morton et al. </w:t>
      </w:r>
      <w:r w:rsidRPr="008B1696">
        <w:rPr>
          <w:spacing w:val="-2"/>
        </w:rPr>
        <w:t>2023).</w:t>
      </w:r>
    </w:p>
    <w:p w14:paraId="173EE792" w14:textId="4691DEF5" w:rsidR="008B1696" w:rsidRPr="008B1696" w:rsidRDefault="008B1696" w:rsidP="008B1696">
      <w:pPr>
        <w:pStyle w:val="BodyText"/>
        <w:spacing w:before="119" w:line="259" w:lineRule="auto"/>
        <w:ind w:left="1" w:right="150"/>
      </w:pPr>
      <w:r w:rsidRPr="008B1696">
        <w:t>A</w:t>
      </w:r>
      <w:r w:rsidRPr="008B1696">
        <w:rPr>
          <w:spacing w:val="-2"/>
        </w:rPr>
        <w:t xml:space="preserve"> </w:t>
      </w:r>
      <w:r w:rsidRPr="008B1696">
        <w:t>study of</w:t>
      </w:r>
      <w:r w:rsidRPr="008B1696">
        <w:rPr>
          <w:spacing w:val="-1"/>
        </w:rPr>
        <w:t xml:space="preserve"> </w:t>
      </w:r>
      <w:r w:rsidRPr="008B1696">
        <w:t>adults who participated in a</w:t>
      </w:r>
      <w:r w:rsidRPr="008B1696">
        <w:rPr>
          <w:spacing w:val="-1"/>
        </w:rPr>
        <w:t xml:space="preserve"> </w:t>
      </w:r>
      <w:r w:rsidRPr="008B1696">
        <w:t>skin</w:t>
      </w:r>
      <w:r w:rsidRPr="008B1696">
        <w:rPr>
          <w:spacing w:val="-1"/>
        </w:rPr>
        <w:t xml:space="preserve"> </w:t>
      </w:r>
      <w:r w:rsidRPr="008B1696">
        <w:t>cancer prevention</w:t>
      </w:r>
      <w:r w:rsidRPr="008B1696">
        <w:rPr>
          <w:spacing w:val="-1"/>
        </w:rPr>
        <w:t xml:space="preserve"> </w:t>
      </w:r>
      <w:r w:rsidRPr="008B1696">
        <w:t>trial</w:t>
      </w:r>
      <w:r w:rsidRPr="008B1696">
        <w:rPr>
          <w:spacing w:val="-2"/>
        </w:rPr>
        <w:t xml:space="preserve"> </w:t>
      </w:r>
      <w:r w:rsidRPr="008B1696">
        <w:t>between</w:t>
      </w:r>
      <w:r w:rsidRPr="008B1696">
        <w:rPr>
          <w:spacing w:val="-1"/>
        </w:rPr>
        <w:t xml:space="preserve"> </w:t>
      </w:r>
      <w:r w:rsidRPr="008B1696">
        <w:t>1992 and</w:t>
      </w:r>
      <w:r w:rsidRPr="008B1696">
        <w:rPr>
          <w:spacing w:val="-1"/>
        </w:rPr>
        <w:t xml:space="preserve"> </w:t>
      </w:r>
      <w:r w:rsidRPr="008B1696">
        <w:t>1996, found</w:t>
      </w:r>
      <w:r w:rsidRPr="008B1696">
        <w:rPr>
          <w:spacing w:val="-1"/>
        </w:rPr>
        <w:t xml:space="preserve"> </w:t>
      </w:r>
      <w:r w:rsidRPr="008B1696">
        <w:t xml:space="preserve">that 56% of the eligible participants applied sunscreen </w:t>
      </w:r>
      <w:r w:rsidRPr="008B1696">
        <w:rPr>
          <w:color w:val="333333"/>
        </w:rPr>
        <w:t>at least 5 days per week</w:t>
      </w:r>
      <w:r w:rsidRPr="008B1696">
        <w:t>, although 27% used sunscreen</w:t>
      </w:r>
      <w:r w:rsidRPr="008B1696">
        <w:rPr>
          <w:spacing w:val="-4"/>
        </w:rPr>
        <w:t xml:space="preserve"> </w:t>
      </w:r>
      <w:r w:rsidRPr="008B1696">
        <w:t>infrequently</w:t>
      </w:r>
      <w:r w:rsidRPr="008B1696">
        <w:rPr>
          <w:spacing w:val="-3"/>
        </w:rPr>
        <w:t xml:space="preserve"> </w:t>
      </w:r>
      <w:r w:rsidRPr="008B1696">
        <w:t>at</w:t>
      </w:r>
      <w:r w:rsidRPr="008B1696">
        <w:rPr>
          <w:spacing w:val="-2"/>
        </w:rPr>
        <w:t xml:space="preserve"> </w:t>
      </w:r>
      <w:r w:rsidRPr="008B1696">
        <w:t>2</w:t>
      </w:r>
      <w:r w:rsidRPr="008B1696">
        <w:rPr>
          <w:spacing w:val="-2"/>
        </w:rPr>
        <w:t xml:space="preserve"> </w:t>
      </w:r>
      <w:r w:rsidRPr="008B1696">
        <w:t>or</w:t>
      </w:r>
      <w:r w:rsidRPr="008B1696">
        <w:rPr>
          <w:spacing w:val="-3"/>
        </w:rPr>
        <w:t xml:space="preserve"> </w:t>
      </w:r>
      <w:r w:rsidRPr="008B1696">
        <w:t>fewer</w:t>
      </w:r>
      <w:r w:rsidRPr="008B1696">
        <w:rPr>
          <w:spacing w:val="-1"/>
        </w:rPr>
        <w:t xml:space="preserve"> </w:t>
      </w:r>
      <w:r w:rsidRPr="008B1696">
        <w:t>days</w:t>
      </w:r>
      <w:r w:rsidRPr="008B1696">
        <w:rPr>
          <w:spacing w:val="-3"/>
        </w:rPr>
        <w:t xml:space="preserve"> </w:t>
      </w:r>
      <w:r w:rsidRPr="008B1696">
        <w:t>per</w:t>
      </w:r>
      <w:r w:rsidRPr="008B1696">
        <w:rPr>
          <w:spacing w:val="-3"/>
        </w:rPr>
        <w:t xml:space="preserve"> </w:t>
      </w:r>
      <w:r w:rsidRPr="008B1696">
        <w:t>week</w:t>
      </w:r>
      <w:r w:rsidRPr="008B1696">
        <w:rPr>
          <w:spacing w:val="-3"/>
        </w:rPr>
        <w:t xml:space="preserve"> </w:t>
      </w:r>
      <w:r w:rsidRPr="008B1696">
        <w:t>(Neale</w:t>
      </w:r>
      <w:r w:rsidRPr="008B1696">
        <w:rPr>
          <w:spacing w:val="-4"/>
        </w:rPr>
        <w:t xml:space="preserve"> </w:t>
      </w:r>
      <w:r w:rsidRPr="008B1696">
        <w:t>et</w:t>
      </w:r>
      <w:r w:rsidRPr="008B1696">
        <w:rPr>
          <w:spacing w:val="-2"/>
        </w:rPr>
        <w:t xml:space="preserve"> </w:t>
      </w:r>
      <w:r w:rsidRPr="008B1696">
        <w:t>al.</w:t>
      </w:r>
      <w:r w:rsidRPr="008B1696">
        <w:rPr>
          <w:spacing w:val="-2"/>
        </w:rPr>
        <w:t xml:space="preserve"> </w:t>
      </w:r>
      <w:r w:rsidRPr="008B1696">
        <w:t>2002).</w:t>
      </w:r>
      <w:r w:rsidRPr="008B1696">
        <w:rPr>
          <w:spacing w:val="-2"/>
        </w:rPr>
        <w:t xml:space="preserve"> </w:t>
      </w:r>
      <w:r w:rsidRPr="008B1696">
        <w:rPr>
          <w:color w:val="333333"/>
        </w:rPr>
        <w:t>Almost</w:t>
      </w:r>
      <w:r w:rsidRPr="008B1696">
        <w:rPr>
          <w:color w:val="333333"/>
          <w:spacing w:val="-4"/>
        </w:rPr>
        <w:t xml:space="preserve"> </w:t>
      </w:r>
      <w:r w:rsidRPr="008B1696">
        <w:rPr>
          <w:color w:val="333333"/>
        </w:rPr>
        <w:t>50%</w:t>
      </w:r>
      <w:r w:rsidRPr="008B1696">
        <w:rPr>
          <w:color w:val="333333"/>
          <w:spacing w:val="-3"/>
        </w:rPr>
        <w:t xml:space="preserve"> </w:t>
      </w:r>
      <w:r w:rsidRPr="008B1696">
        <w:rPr>
          <w:color w:val="333333"/>
        </w:rPr>
        <w:t>of</w:t>
      </w:r>
      <w:r w:rsidRPr="008B1696">
        <w:rPr>
          <w:color w:val="333333"/>
          <w:spacing w:val="-4"/>
        </w:rPr>
        <w:t xml:space="preserve"> </w:t>
      </w:r>
      <w:r w:rsidRPr="008B1696">
        <w:rPr>
          <w:color w:val="333333"/>
        </w:rPr>
        <w:t>the</w:t>
      </w:r>
      <w:r w:rsidRPr="008B1696">
        <w:rPr>
          <w:color w:val="333333"/>
          <w:spacing w:val="-4"/>
        </w:rPr>
        <w:t xml:space="preserve"> </w:t>
      </w:r>
      <w:r w:rsidRPr="008B1696">
        <w:rPr>
          <w:color w:val="333333"/>
        </w:rPr>
        <w:t>participants who reported less than daily sunscreen use stated that they did not think sunscreen application was necessary given the weather conditions or their planned activities. Of these respondents, 45% reported that they generally spent almost no time outdoors during the day.</w:t>
      </w:r>
    </w:p>
    <w:p w14:paraId="63467DB7" w14:textId="408DDD6A" w:rsidR="008B1696" w:rsidRPr="008B1696" w:rsidRDefault="008B1696" w:rsidP="008B1696">
      <w:pPr>
        <w:pStyle w:val="BodyText"/>
        <w:spacing w:before="117" w:line="259" w:lineRule="auto"/>
        <w:ind w:left="1" w:right="160"/>
      </w:pPr>
      <w:r w:rsidRPr="008B1696">
        <w:t>A</w:t>
      </w:r>
      <w:r w:rsidRPr="008B1696">
        <w:rPr>
          <w:spacing w:val="-5"/>
        </w:rPr>
        <w:t xml:space="preserve"> </w:t>
      </w:r>
      <w:r w:rsidRPr="008B1696">
        <w:t>survey</w:t>
      </w:r>
      <w:r w:rsidRPr="008B1696">
        <w:rPr>
          <w:spacing w:val="-3"/>
        </w:rPr>
        <w:t xml:space="preserve"> </w:t>
      </w:r>
      <w:r w:rsidRPr="008B1696">
        <w:t>conducted</w:t>
      </w:r>
      <w:r w:rsidRPr="008B1696">
        <w:rPr>
          <w:spacing w:val="-4"/>
        </w:rPr>
        <w:t xml:space="preserve"> </w:t>
      </w:r>
      <w:r w:rsidRPr="008B1696">
        <w:t>on</w:t>
      </w:r>
      <w:r w:rsidRPr="008B1696">
        <w:rPr>
          <w:spacing w:val="-4"/>
        </w:rPr>
        <w:t xml:space="preserve"> </w:t>
      </w:r>
      <w:r w:rsidRPr="008B1696">
        <w:t>670</w:t>
      </w:r>
      <w:r w:rsidRPr="008B1696">
        <w:rPr>
          <w:spacing w:val="-2"/>
        </w:rPr>
        <w:t xml:space="preserve"> </w:t>
      </w:r>
      <w:r w:rsidRPr="008B1696">
        <w:t>beachgoers</w:t>
      </w:r>
      <w:r w:rsidRPr="008B1696">
        <w:rPr>
          <w:spacing w:val="-3"/>
        </w:rPr>
        <w:t xml:space="preserve"> </w:t>
      </w:r>
      <w:r w:rsidRPr="008B1696">
        <w:t>in</w:t>
      </w:r>
      <w:r w:rsidRPr="008B1696">
        <w:rPr>
          <w:spacing w:val="-4"/>
        </w:rPr>
        <w:t xml:space="preserve"> </w:t>
      </w:r>
      <w:r w:rsidRPr="008B1696">
        <w:t>the</w:t>
      </w:r>
      <w:r w:rsidRPr="008B1696">
        <w:rPr>
          <w:spacing w:val="-4"/>
        </w:rPr>
        <w:t xml:space="preserve"> </w:t>
      </w:r>
      <w:r w:rsidRPr="008B1696">
        <w:t>Newcastle</w:t>
      </w:r>
      <w:r w:rsidRPr="008B1696">
        <w:rPr>
          <w:spacing w:val="-2"/>
        </w:rPr>
        <w:t xml:space="preserve"> </w:t>
      </w:r>
      <w:r w:rsidRPr="008B1696">
        <w:t>district</w:t>
      </w:r>
      <w:r w:rsidRPr="008B1696">
        <w:rPr>
          <w:spacing w:val="-4"/>
        </w:rPr>
        <w:t xml:space="preserve"> </w:t>
      </w:r>
      <w:r w:rsidRPr="008B1696">
        <w:t>found</w:t>
      </w:r>
      <w:r w:rsidRPr="008B1696">
        <w:rPr>
          <w:spacing w:val="-4"/>
        </w:rPr>
        <w:t xml:space="preserve"> </w:t>
      </w:r>
      <w:r w:rsidRPr="008B1696">
        <w:t>that</w:t>
      </w:r>
      <w:r w:rsidRPr="008B1696">
        <w:rPr>
          <w:spacing w:val="-4"/>
        </w:rPr>
        <w:t xml:space="preserve"> </w:t>
      </w:r>
      <w:r w:rsidRPr="008B1696">
        <w:t>sunscreen</w:t>
      </w:r>
      <w:r w:rsidRPr="008B1696">
        <w:rPr>
          <w:spacing w:val="-4"/>
        </w:rPr>
        <w:t xml:space="preserve"> </w:t>
      </w:r>
      <w:r w:rsidRPr="008B1696">
        <w:t>was</w:t>
      </w:r>
      <w:r w:rsidRPr="008B1696">
        <w:rPr>
          <w:spacing w:val="-3"/>
        </w:rPr>
        <w:t xml:space="preserve"> </w:t>
      </w:r>
      <w:r w:rsidRPr="008B1696">
        <w:t>the</w:t>
      </w:r>
      <w:r w:rsidRPr="008B1696">
        <w:rPr>
          <w:spacing w:val="-2"/>
        </w:rPr>
        <w:t xml:space="preserve"> </w:t>
      </w:r>
      <w:r w:rsidRPr="008B1696">
        <w:t>most frequently used form of sun protection (Foot et al. 1993). Among the participants, 82% applied sunscreen</w:t>
      </w:r>
      <w:r w:rsidRPr="008B1696">
        <w:rPr>
          <w:spacing w:val="-3"/>
        </w:rPr>
        <w:t xml:space="preserve"> </w:t>
      </w:r>
      <w:r w:rsidRPr="008B1696">
        <w:t>to</w:t>
      </w:r>
      <w:r w:rsidRPr="008B1696">
        <w:rPr>
          <w:spacing w:val="-1"/>
        </w:rPr>
        <w:t xml:space="preserve"> </w:t>
      </w:r>
      <w:r w:rsidRPr="008B1696">
        <w:t>at</w:t>
      </w:r>
      <w:r w:rsidRPr="008B1696">
        <w:rPr>
          <w:spacing w:val="-3"/>
        </w:rPr>
        <w:t xml:space="preserve"> </w:t>
      </w:r>
      <w:r w:rsidRPr="008B1696">
        <w:t>least</w:t>
      </w:r>
      <w:r w:rsidRPr="008B1696">
        <w:rPr>
          <w:spacing w:val="-1"/>
        </w:rPr>
        <w:t xml:space="preserve"> </w:t>
      </w:r>
      <w:r w:rsidRPr="008B1696">
        <w:t>one</w:t>
      </w:r>
      <w:r w:rsidRPr="008B1696">
        <w:rPr>
          <w:spacing w:val="-1"/>
        </w:rPr>
        <w:t xml:space="preserve"> </w:t>
      </w:r>
      <w:r w:rsidRPr="008B1696">
        <w:t>body</w:t>
      </w:r>
      <w:r w:rsidRPr="008B1696">
        <w:rPr>
          <w:spacing w:val="-2"/>
        </w:rPr>
        <w:t xml:space="preserve"> </w:t>
      </w:r>
      <w:r w:rsidRPr="008B1696">
        <w:t>area.</w:t>
      </w:r>
      <w:r w:rsidRPr="008B1696">
        <w:rPr>
          <w:spacing w:val="-1"/>
        </w:rPr>
        <w:t xml:space="preserve"> </w:t>
      </w:r>
      <w:r w:rsidRPr="008B1696">
        <w:t>Among</w:t>
      </w:r>
      <w:r w:rsidRPr="008B1696">
        <w:rPr>
          <w:spacing w:val="-3"/>
        </w:rPr>
        <w:t xml:space="preserve"> </w:t>
      </w:r>
      <w:r w:rsidRPr="008B1696">
        <w:t>these</w:t>
      </w:r>
      <w:r w:rsidRPr="008B1696">
        <w:rPr>
          <w:spacing w:val="-3"/>
        </w:rPr>
        <w:t xml:space="preserve"> </w:t>
      </w:r>
      <w:r w:rsidRPr="008B1696">
        <w:t>participants,</w:t>
      </w:r>
      <w:r w:rsidRPr="008B1696">
        <w:rPr>
          <w:spacing w:val="-3"/>
        </w:rPr>
        <w:t xml:space="preserve"> </w:t>
      </w:r>
      <w:r w:rsidRPr="008B1696">
        <w:t>69%</w:t>
      </w:r>
      <w:r w:rsidRPr="008B1696">
        <w:rPr>
          <w:spacing w:val="-2"/>
        </w:rPr>
        <w:t xml:space="preserve"> </w:t>
      </w:r>
      <w:r w:rsidRPr="008B1696">
        <w:t>had</w:t>
      </w:r>
      <w:r w:rsidRPr="008B1696">
        <w:rPr>
          <w:spacing w:val="-1"/>
        </w:rPr>
        <w:t xml:space="preserve"> </w:t>
      </w:r>
      <w:r w:rsidRPr="008B1696">
        <w:t>applied</w:t>
      </w:r>
      <w:r w:rsidRPr="008B1696">
        <w:rPr>
          <w:spacing w:val="-1"/>
        </w:rPr>
        <w:t xml:space="preserve"> </w:t>
      </w:r>
      <w:r w:rsidRPr="008B1696">
        <w:t>sunscreen</w:t>
      </w:r>
      <w:r w:rsidRPr="008B1696">
        <w:rPr>
          <w:spacing w:val="-3"/>
        </w:rPr>
        <w:t xml:space="preserve"> </w:t>
      </w:r>
      <w:r w:rsidRPr="008B1696">
        <w:t>with</w:t>
      </w:r>
      <w:r w:rsidRPr="008B1696">
        <w:rPr>
          <w:spacing w:val="-3"/>
        </w:rPr>
        <w:t xml:space="preserve"> </w:t>
      </w:r>
      <w:r w:rsidRPr="008B1696">
        <w:t>an SPF value higher than 15. The authors also reported that children under the age of 15 years were more likely to have used sunscreen compared to the older age groups.</w:t>
      </w:r>
    </w:p>
    <w:p w14:paraId="2251BFBB" w14:textId="464125F0" w:rsidR="008B1696" w:rsidRPr="008B1696" w:rsidRDefault="008B1696" w:rsidP="008B1696">
      <w:pPr>
        <w:pStyle w:val="BodyText"/>
        <w:spacing w:before="119" w:line="259" w:lineRule="auto"/>
        <w:ind w:left="1" w:right="205"/>
      </w:pPr>
      <w:r w:rsidRPr="008B1696">
        <w:t>Queensland preventive health telephone surveys (QPHS 2023)</w:t>
      </w:r>
      <w:r w:rsidR="005D1392">
        <w:rPr>
          <w:rStyle w:val="FootnoteReference"/>
        </w:rPr>
        <w:footnoteReference w:id="13"/>
      </w:r>
      <w:r w:rsidRPr="008B1696">
        <w:t xml:space="preserve"> conducted by Queensland Health captured summer sun protection habits of 12,500 adults and the parents of 2,500 children aged 5 through 17 years. Based on the ‘</w:t>
      </w:r>
      <w:r w:rsidRPr="008B1696">
        <w:rPr>
          <w:i/>
        </w:rPr>
        <w:t>Sunburn and protection</w:t>
      </w:r>
      <w:r w:rsidRPr="008B1696">
        <w:t>’ data reported in the Queensland Survey Analytic System,</w:t>
      </w:r>
      <w:r w:rsidRPr="008B1696">
        <w:rPr>
          <w:spacing w:val="-4"/>
        </w:rPr>
        <w:t xml:space="preserve"> </w:t>
      </w:r>
      <w:r w:rsidRPr="008B1696">
        <w:t>just</w:t>
      </w:r>
      <w:r w:rsidRPr="008B1696">
        <w:rPr>
          <w:spacing w:val="-4"/>
        </w:rPr>
        <w:t xml:space="preserve"> </w:t>
      </w:r>
      <w:r w:rsidRPr="008B1696">
        <w:t>over</w:t>
      </w:r>
      <w:r w:rsidRPr="008B1696">
        <w:rPr>
          <w:spacing w:val="-1"/>
        </w:rPr>
        <w:t xml:space="preserve"> </w:t>
      </w:r>
      <w:r w:rsidRPr="008B1696">
        <w:t>20%</w:t>
      </w:r>
      <w:r w:rsidRPr="008B1696">
        <w:rPr>
          <w:spacing w:val="-3"/>
        </w:rPr>
        <w:t xml:space="preserve"> </w:t>
      </w:r>
      <w:r w:rsidRPr="008B1696">
        <w:t>of</w:t>
      </w:r>
      <w:r w:rsidRPr="008B1696">
        <w:rPr>
          <w:spacing w:val="-2"/>
        </w:rPr>
        <w:t xml:space="preserve"> </w:t>
      </w:r>
      <w:r w:rsidRPr="008B1696">
        <w:t>adults</w:t>
      </w:r>
      <w:r w:rsidRPr="008B1696">
        <w:rPr>
          <w:spacing w:val="-3"/>
        </w:rPr>
        <w:t xml:space="preserve"> </w:t>
      </w:r>
      <w:r w:rsidRPr="008B1696">
        <w:t>were</w:t>
      </w:r>
      <w:r w:rsidRPr="008B1696">
        <w:rPr>
          <w:spacing w:val="-4"/>
        </w:rPr>
        <w:t xml:space="preserve"> </w:t>
      </w:r>
      <w:r w:rsidRPr="008B1696">
        <w:t>using,</w:t>
      </w:r>
      <w:r w:rsidRPr="008B1696">
        <w:rPr>
          <w:spacing w:val="-2"/>
        </w:rPr>
        <w:t xml:space="preserve"> </w:t>
      </w:r>
      <w:r w:rsidRPr="008B1696">
        <w:t>presumably,</w:t>
      </w:r>
      <w:r w:rsidRPr="008B1696">
        <w:rPr>
          <w:spacing w:val="-4"/>
        </w:rPr>
        <w:t xml:space="preserve"> </w:t>
      </w:r>
      <w:r w:rsidRPr="008B1696">
        <w:t>combined</w:t>
      </w:r>
      <w:r w:rsidRPr="008B1696">
        <w:rPr>
          <w:spacing w:val="-2"/>
        </w:rPr>
        <w:t xml:space="preserve"> </w:t>
      </w:r>
      <w:r w:rsidRPr="008B1696">
        <w:t>sun</w:t>
      </w:r>
      <w:r w:rsidRPr="008B1696">
        <w:rPr>
          <w:spacing w:val="-2"/>
        </w:rPr>
        <w:t xml:space="preserve"> </w:t>
      </w:r>
      <w:r w:rsidRPr="008B1696">
        <w:t>protection</w:t>
      </w:r>
      <w:r w:rsidRPr="008B1696">
        <w:rPr>
          <w:spacing w:val="-2"/>
        </w:rPr>
        <w:t xml:space="preserve"> </w:t>
      </w:r>
      <w:r w:rsidRPr="008B1696">
        <w:t>methods of</w:t>
      </w:r>
      <w:r w:rsidRPr="008B1696">
        <w:rPr>
          <w:spacing w:val="-4"/>
        </w:rPr>
        <w:t xml:space="preserve"> </w:t>
      </w:r>
      <w:r w:rsidRPr="008B1696">
        <w:t>‘</w:t>
      </w:r>
      <w:r w:rsidRPr="008B1696">
        <w:rPr>
          <w:i/>
        </w:rPr>
        <w:t>broad</w:t>
      </w:r>
      <w:r w:rsidRPr="008B1696">
        <w:rPr>
          <w:i/>
          <w:spacing w:val="-2"/>
        </w:rPr>
        <w:t xml:space="preserve"> </w:t>
      </w:r>
      <w:r w:rsidRPr="008B1696">
        <w:rPr>
          <w:i/>
        </w:rPr>
        <w:t>brimmed</w:t>
      </w:r>
      <w:r w:rsidRPr="008B1696">
        <w:rPr>
          <w:i/>
          <w:spacing w:val="-4"/>
        </w:rPr>
        <w:t xml:space="preserve"> </w:t>
      </w:r>
      <w:r w:rsidRPr="008B1696">
        <w:rPr>
          <w:i/>
        </w:rPr>
        <w:t>hat,</w:t>
      </w:r>
      <w:r w:rsidRPr="008B1696">
        <w:rPr>
          <w:i/>
          <w:spacing w:val="-2"/>
        </w:rPr>
        <w:t xml:space="preserve"> </w:t>
      </w:r>
      <w:r w:rsidRPr="008B1696">
        <w:rPr>
          <w:i/>
        </w:rPr>
        <w:t>SPF 30+</w:t>
      </w:r>
      <w:r w:rsidRPr="008B1696">
        <w:rPr>
          <w:i/>
          <w:spacing w:val="-3"/>
        </w:rPr>
        <w:t xml:space="preserve"> </w:t>
      </w:r>
      <w:r w:rsidRPr="008B1696">
        <w:t>[sunscreen],</w:t>
      </w:r>
      <w:r w:rsidRPr="008B1696">
        <w:rPr>
          <w:spacing w:val="-4"/>
        </w:rPr>
        <w:t xml:space="preserve"> </w:t>
      </w:r>
      <w:r w:rsidRPr="008B1696">
        <w:rPr>
          <w:i/>
        </w:rPr>
        <w:t>clothing</w:t>
      </w:r>
      <w:r w:rsidRPr="008B1696">
        <w:t>’</w:t>
      </w:r>
      <w:r w:rsidRPr="008B1696">
        <w:rPr>
          <w:spacing w:val="-5"/>
        </w:rPr>
        <w:t xml:space="preserve"> </w:t>
      </w:r>
      <w:r w:rsidRPr="008B1696">
        <w:t>in</w:t>
      </w:r>
      <w:r w:rsidRPr="008B1696">
        <w:rPr>
          <w:spacing w:val="-4"/>
        </w:rPr>
        <w:t xml:space="preserve"> </w:t>
      </w:r>
      <w:r w:rsidRPr="008B1696">
        <w:t>summer</w:t>
      </w:r>
      <w:r w:rsidRPr="008B1696">
        <w:rPr>
          <w:spacing w:val="-3"/>
        </w:rPr>
        <w:t xml:space="preserve"> </w:t>
      </w:r>
      <w:r w:rsidRPr="008B1696">
        <w:t>between</w:t>
      </w:r>
      <w:r w:rsidRPr="008B1696">
        <w:rPr>
          <w:spacing w:val="-4"/>
        </w:rPr>
        <w:t xml:space="preserve"> </w:t>
      </w:r>
      <w:r w:rsidRPr="008B1696">
        <w:t>2010</w:t>
      </w:r>
      <w:r w:rsidRPr="008B1696">
        <w:rPr>
          <w:spacing w:val="-2"/>
        </w:rPr>
        <w:t xml:space="preserve"> </w:t>
      </w:r>
      <w:r w:rsidRPr="008B1696">
        <w:t>and</w:t>
      </w:r>
      <w:r w:rsidRPr="008B1696">
        <w:rPr>
          <w:spacing w:val="-4"/>
        </w:rPr>
        <w:t xml:space="preserve"> </w:t>
      </w:r>
      <w:r w:rsidRPr="008B1696">
        <w:t>2020.</w:t>
      </w:r>
      <w:r w:rsidRPr="008B1696">
        <w:rPr>
          <w:spacing w:val="-2"/>
        </w:rPr>
        <w:t xml:space="preserve"> </w:t>
      </w:r>
      <w:r w:rsidRPr="008B1696">
        <w:t>However, the percentage of adults using sunscreen as one of the sun protection methods was not reported.</w:t>
      </w:r>
    </w:p>
    <w:p w14:paraId="54D15450" w14:textId="108C0A35" w:rsidR="008B1696" w:rsidRPr="008B1696" w:rsidRDefault="008B1696" w:rsidP="001A1952">
      <w:pPr>
        <w:pStyle w:val="BodyText"/>
        <w:spacing w:before="121" w:line="259" w:lineRule="auto"/>
        <w:ind w:left="1" w:right="160"/>
      </w:pPr>
      <w:r w:rsidRPr="008B1696">
        <w:t>The Cancer Council Australia has advised that recent research suggests men are less likely than women</w:t>
      </w:r>
      <w:r w:rsidRPr="008B1696">
        <w:rPr>
          <w:spacing w:val="-4"/>
        </w:rPr>
        <w:t xml:space="preserve"> </w:t>
      </w:r>
      <w:r w:rsidRPr="008B1696">
        <w:t>to</w:t>
      </w:r>
      <w:r w:rsidRPr="008B1696">
        <w:rPr>
          <w:spacing w:val="-2"/>
        </w:rPr>
        <w:t xml:space="preserve"> </w:t>
      </w:r>
      <w:r w:rsidRPr="008B1696">
        <w:t>use</w:t>
      </w:r>
      <w:r w:rsidRPr="008B1696">
        <w:rPr>
          <w:spacing w:val="-4"/>
        </w:rPr>
        <w:t xml:space="preserve"> </w:t>
      </w:r>
      <w:r w:rsidRPr="008B1696">
        <w:t>sun</w:t>
      </w:r>
      <w:r w:rsidRPr="008B1696">
        <w:rPr>
          <w:spacing w:val="-2"/>
        </w:rPr>
        <w:t xml:space="preserve"> </w:t>
      </w:r>
      <w:r w:rsidRPr="008B1696">
        <w:t>protection</w:t>
      </w:r>
      <w:r w:rsidRPr="008B1696">
        <w:rPr>
          <w:spacing w:val="-4"/>
        </w:rPr>
        <w:t xml:space="preserve"> </w:t>
      </w:r>
      <w:r w:rsidRPr="008B1696">
        <w:t>(Cancer</w:t>
      </w:r>
      <w:r w:rsidRPr="008B1696">
        <w:rPr>
          <w:spacing w:val="-3"/>
        </w:rPr>
        <w:t xml:space="preserve"> </w:t>
      </w:r>
      <w:r w:rsidRPr="008B1696">
        <w:t>Council</w:t>
      </w:r>
      <w:r w:rsidRPr="008B1696">
        <w:rPr>
          <w:spacing w:val="-2"/>
        </w:rPr>
        <w:t xml:space="preserve"> </w:t>
      </w:r>
      <w:r w:rsidRPr="008B1696">
        <w:t>Australia</w:t>
      </w:r>
      <w:r w:rsidRPr="008B1696">
        <w:rPr>
          <w:spacing w:val="-2"/>
        </w:rPr>
        <w:t xml:space="preserve"> </w:t>
      </w:r>
      <w:r w:rsidRPr="008B1696">
        <w:t>2022)</w:t>
      </w:r>
      <w:r w:rsidR="00B437A4">
        <w:rPr>
          <w:spacing w:val="-4"/>
        </w:rPr>
        <w:t xml:space="preserve">. </w:t>
      </w:r>
      <w:r w:rsidRPr="008B1696">
        <w:t>Almost</w:t>
      </w:r>
      <w:r w:rsidRPr="008B1696">
        <w:rPr>
          <w:spacing w:val="-2"/>
        </w:rPr>
        <w:t xml:space="preserve"> </w:t>
      </w:r>
      <w:r w:rsidRPr="008B1696">
        <w:t>half</w:t>
      </w:r>
      <w:r w:rsidRPr="008B1696">
        <w:rPr>
          <w:spacing w:val="-4"/>
        </w:rPr>
        <w:t xml:space="preserve"> </w:t>
      </w:r>
      <w:r w:rsidRPr="008B1696">
        <w:t>(47%)</w:t>
      </w:r>
      <w:r w:rsidRPr="008B1696">
        <w:rPr>
          <w:spacing w:val="-3"/>
        </w:rPr>
        <w:t xml:space="preserve"> </w:t>
      </w:r>
      <w:r w:rsidRPr="008B1696">
        <w:t>of</w:t>
      </w:r>
      <w:r w:rsidRPr="008B1696">
        <w:rPr>
          <w:spacing w:val="-4"/>
        </w:rPr>
        <w:t xml:space="preserve"> </w:t>
      </w:r>
      <w:r w:rsidRPr="008B1696">
        <w:t>men</w:t>
      </w:r>
      <w:r w:rsidRPr="008B1696">
        <w:rPr>
          <w:spacing w:val="-2"/>
        </w:rPr>
        <w:t xml:space="preserve"> </w:t>
      </w:r>
      <w:r w:rsidRPr="008B1696">
        <w:t>reported</w:t>
      </w:r>
      <w:r w:rsidRPr="008B1696">
        <w:rPr>
          <w:spacing w:val="-4"/>
        </w:rPr>
        <w:t xml:space="preserve"> </w:t>
      </w:r>
      <w:r w:rsidRPr="008B1696">
        <w:t>they often or always spent time outdoors during peak UV</w:t>
      </w:r>
      <w:r w:rsidR="00B034D8">
        <w:t xml:space="preserve">R </w:t>
      </w:r>
      <w:r w:rsidRPr="008B1696">
        <w:t>hours during summer. Less than one third (29%) of men reported using sunscreen (broad-spectrum with SPF 30 or higher) often or always during peak UV</w:t>
      </w:r>
      <w:r w:rsidR="00B034D8">
        <w:t>R</w:t>
      </w:r>
      <w:r w:rsidRPr="008B1696">
        <w:t xml:space="preserve"> hours during summer. Less than half (49%) of men reported often or always seeking shade to protect themselves from the sun during peak U</w:t>
      </w:r>
      <w:r w:rsidR="00B034D8">
        <w:t>VR</w:t>
      </w:r>
      <w:r w:rsidRPr="008B1696">
        <w:t xml:space="preserve"> hours during summer.</w:t>
      </w:r>
      <w:r w:rsidR="003B53D0">
        <w:t xml:space="preserve"> </w:t>
      </w:r>
      <w:r w:rsidRPr="008B1696">
        <w:t>More</w:t>
      </w:r>
      <w:r w:rsidRPr="008B1696">
        <w:rPr>
          <w:spacing w:val="-4"/>
        </w:rPr>
        <w:t xml:space="preserve"> </w:t>
      </w:r>
      <w:r w:rsidRPr="008B1696">
        <w:t>than</w:t>
      </w:r>
      <w:r w:rsidRPr="008B1696">
        <w:rPr>
          <w:spacing w:val="-2"/>
        </w:rPr>
        <w:t xml:space="preserve"> </w:t>
      </w:r>
      <w:r w:rsidRPr="008B1696">
        <w:t>half</w:t>
      </w:r>
      <w:r w:rsidRPr="008B1696">
        <w:rPr>
          <w:spacing w:val="-4"/>
        </w:rPr>
        <w:t xml:space="preserve"> </w:t>
      </w:r>
      <w:r w:rsidRPr="008B1696">
        <w:t>of</w:t>
      </w:r>
      <w:r w:rsidRPr="008B1696">
        <w:rPr>
          <w:spacing w:val="-2"/>
        </w:rPr>
        <w:t xml:space="preserve"> </w:t>
      </w:r>
      <w:r w:rsidRPr="008B1696">
        <w:t>respondents</w:t>
      </w:r>
      <w:r w:rsidRPr="008B1696">
        <w:rPr>
          <w:spacing w:val="-3"/>
        </w:rPr>
        <w:t xml:space="preserve"> </w:t>
      </w:r>
      <w:r w:rsidRPr="008B1696">
        <w:t>(55%)</w:t>
      </w:r>
      <w:r w:rsidRPr="008B1696">
        <w:rPr>
          <w:spacing w:val="-3"/>
        </w:rPr>
        <w:t xml:space="preserve"> </w:t>
      </w:r>
      <w:r w:rsidRPr="008B1696">
        <w:t>reported</w:t>
      </w:r>
      <w:r w:rsidRPr="008B1696">
        <w:rPr>
          <w:spacing w:val="-2"/>
        </w:rPr>
        <w:t xml:space="preserve"> </w:t>
      </w:r>
      <w:r w:rsidRPr="008B1696">
        <w:t>being</w:t>
      </w:r>
      <w:r w:rsidRPr="008B1696">
        <w:rPr>
          <w:spacing w:val="-4"/>
        </w:rPr>
        <w:t xml:space="preserve"> </w:t>
      </w:r>
      <w:r w:rsidRPr="008B1696">
        <w:t>sunburnt</w:t>
      </w:r>
      <w:r w:rsidRPr="008B1696">
        <w:rPr>
          <w:spacing w:val="-4"/>
        </w:rPr>
        <w:t xml:space="preserve"> </w:t>
      </w:r>
      <w:r w:rsidRPr="008B1696">
        <w:t>at</w:t>
      </w:r>
      <w:r w:rsidRPr="008B1696">
        <w:rPr>
          <w:spacing w:val="-2"/>
        </w:rPr>
        <w:t xml:space="preserve"> </w:t>
      </w:r>
      <w:r w:rsidRPr="008B1696">
        <w:t>least</w:t>
      </w:r>
      <w:r w:rsidRPr="008B1696">
        <w:rPr>
          <w:spacing w:val="-4"/>
        </w:rPr>
        <w:t xml:space="preserve"> </w:t>
      </w:r>
      <w:r w:rsidRPr="008B1696">
        <w:t>once</w:t>
      </w:r>
      <w:r w:rsidRPr="008B1696">
        <w:rPr>
          <w:spacing w:val="-2"/>
        </w:rPr>
        <w:t xml:space="preserve"> </w:t>
      </w:r>
      <w:r w:rsidRPr="008B1696">
        <w:t>during</w:t>
      </w:r>
      <w:r w:rsidRPr="008B1696">
        <w:rPr>
          <w:spacing w:val="-4"/>
        </w:rPr>
        <w:t xml:space="preserve"> </w:t>
      </w:r>
      <w:r w:rsidRPr="008B1696">
        <w:t>the</w:t>
      </w:r>
      <w:r w:rsidRPr="008B1696">
        <w:rPr>
          <w:spacing w:val="-2"/>
        </w:rPr>
        <w:t xml:space="preserve"> </w:t>
      </w:r>
      <w:r w:rsidRPr="008B1696">
        <w:t>summer,</w:t>
      </w:r>
      <w:r w:rsidRPr="008B1696">
        <w:rPr>
          <w:spacing w:val="-4"/>
        </w:rPr>
        <w:t xml:space="preserve"> </w:t>
      </w:r>
      <w:r w:rsidRPr="008B1696">
        <w:t>with the most common activity being during a walk, jog or run (15%).</w:t>
      </w:r>
    </w:p>
    <w:p w14:paraId="7D9C549B" w14:textId="77777777" w:rsidR="008B1696" w:rsidRPr="008B1696" w:rsidRDefault="008B1696" w:rsidP="00F47305">
      <w:pPr>
        <w:pStyle w:val="Heading4"/>
      </w:pPr>
      <w:bookmarkStart w:id="29" w:name="_Sunscreen_use_in"/>
      <w:bookmarkStart w:id="30" w:name="_Toc184730550"/>
      <w:bookmarkEnd w:id="29"/>
      <w:r w:rsidRPr="008B1696">
        <w:t>Sunscreen</w:t>
      </w:r>
      <w:r w:rsidRPr="008B1696">
        <w:rPr>
          <w:spacing w:val="-6"/>
        </w:rPr>
        <w:t xml:space="preserve"> </w:t>
      </w:r>
      <w:r w:rsidRPr="008B1696">
        <w:t>use</w:t>
      </w:r>
      <w:r w:rsidRPr="008B1696">
        <w:rPr>
          <w:spacing w:val="-7"/>
        </w:rPr>
        <w:t xml:space="preserve"> </w:t>
      </w:r>
      <w:r w:rsidRPr="008B1696">
        <w:t>in</w:t>
      </w:r>
      <w:r w:rsidRPr="008B1696">
        <w:rPr>
          <w:spacing w:val="-4"/>
        </w:rPr>
        <w:t xml:space="preserve"> </w:t>
      </w:r>
      <w:r w:rsidRPr="008B1696">
        <w:rPr>
          <w:spacing w:val="-2"/>
        </w:rPr>
        <w:t>children</w:t>
      </w:r>
      <w:bookmarkEnd w:id="30"/>
    </w:p>
    <w:p w14:paraId="333B8FD3" w14:textId="7599FFCF" w:rsidR="0005701B" w:rsidRPr="00167CB2" w:rsidRDefault="008B1696" w:rsidP="0005701B">
      <w:pPr>
        <w:pStyle w:val="BodyText"/>
        <w:spacing w:line="259" w:lineRule="auto"/>
        <w:ind w:right="160"/>
      </w:pPr>
      <w:r w:rsidRPr="008B1696">
        <w:rPr>
          <w:color w:val="333333"/>
        </w:rPr>
        <w:t>A multi-year survey reported child-related sun protection practices from 2008, 2013 and 2018, covering 3,243 early-childhood services (i.e. childcare and/or pre-education services for infants and children aged ≤5 years) across Australia (</w:t>
      </w:r>
      <w:r w:rsidRPr="008B1696">
        <w:t>Hunkin and Morris 2020</w:t>
      </w:r>
      <w:r w:rsidRPr="008B1696">
        <w:rPr>
          <w:color w:val="333333"/>
        </w:rPr>
        <w:t xml:space="preserve">). The authors reported significant </w:t>
      </w:r>
      <w:r w:rsidRPr="008B1696">
        <w:t>increases over the last decade in the proportion of services requiring the use of sun-protective hats, sunscreen and protective clothing, as well as those services supplying sunscreen (98.4% of the services required the use of sunscreen in 2018). The proportion of services applying sunscreen to children</w:t>
      </w:r>
      <w:r w:rsidRPr="008B1696">
        <w:rPr>
          <w:spacing w:val="-5"/>
        </w:rPr>
        <w:t xml:space="preserve"> </w:t>
      </w:r>
      <w:r w:rsidRPr="008B1696">
        <w:t>15-20</w:t>
      </w:r>
      <w:r w:rsidRPr="008B1696">
        <w:rPr>
          <w:spacing w:val="-3"/>
        </w:rPr>
        <w:t xml:space="preserve"> </w:t>
      </w:r>
      <w:r w:rsidRPr="008B1696">
        <w:t>minutes</w:t>
      </w:r>
      <w:r w:rsidRPr="008B1696">
        <w:rPr>
          <w:spacing w:val="-1"/>
        </w:rPr>
        <w:t xml:space="preserve"> </w:t>
      </w:r>
      <w:r w:rsidRPr="008B1696">
        <w:t>before</w:t>
      </w:r>
      <w:r w:rsidRPr="008B1696">
        <w:rPr>
          <w:spacing w:val="-5"/>
        </w:rPr>
        <w:t xml:space="preserve"> </w:t>
      </w:r>
      <w:r w:rsidRPr="008B1696">
        <w:t>going</w:t>
      </w:r>
      <w:r w:rsidRPr="008B1696">
        <w:rPr>
          <w:spacing w:val="-5"/>
        </w:rPr>
        <w:t xml:space="preserve"> </w:t>
      </w:r>
      <w:r w:rsidRPr="008B1696">
        <w:t>outside</w:t>
      </w:r>
      <w:r w:rsidRPr="008B1696">
        <w:rPr>
          <w:spacing w:val="-3"/>
        </w:rPr>
        <w:t xml:space="preserve"> </w:t>
      </w:r>
      <w:r w:rsidRPr="008B1696">
        <w:t>and</w:t>
      </w:r>
      <w:r w:rsidRPr="008B1696">
        <w:rPr>
          <w:spacing w:val="-5"/>
        </w:rPr>
        <w:t xml:space="preserve"> </w:t>
      </w:r>
      <w:r w:rsidRPr="008B1696">
        <w:t>re-applying</w:t>
      </w:r>
      <w:r w:rsidRPr="008B1696">
        <w:rPr>
          <w:spacing w:val="-5"/>
        </w:rPr>
        <w:t xml:space="preserve"> </w:t>
      </w:r>
      <w:r w:rsidRPr="008B1696">
        <w:t>sunscreen</w:t>
      </w:r>
      <w:r w:rsidRPr="008B1696">
        <w:rPr>
          <w:spacing w:val="-3"/>
        </w:rPr>
        <w:t xml:space="preserve"> </w:t>
      </w:r>
      <w:r w:rsidRPr="008B1696">
        <w:t>every</w:t>
      </w:r>
      <w:r w:rsidRPr="008B1696">
        <w:rPr>
          <w:spacing w:val="-4"/>
        </w:rPr>
        <w:t xml:space="preserve"> </w:t>
      </w:r>
      <w:r w:rsidRPr="008B1696">
        <w:t>2</w:t>
      </w:r>
      <w:r w:rsidRPr="008B1696">
        <w:rPr>
          <w:spacing w:val="-5"/>
        </w:rPr>
        <w:t xml:space="preserve"> </w:t>
      </w:r>
      <w:r w:rsidRPr="008B1696">
        <w:t>hours</w:t>
      </w:r>
      <w:r w:rsidRPr="008B1696">
        <w:rPr>
          <w:spacing w:val="-4"/>
        </w:rPr>
        <w:t xml:space="preserve"> </w:t>
      </w:r>
      <w:r w:rsidRPr="008B1696">
        <w:t>while</w:t>
      </w:r>
      <w:r w:rsidRPr="008B1696">
        <w:rPr>
          <w:spacing w:val="-2"/>
        </w:rPr>
        <w:t xml:space="preserve"> </w:t>
      </w:r>
      <w:r w:rsidRPr="008B1696">
        <w:rPr>
          <w:color w:val="333333"/>
        </w:rPr>
        <w:t xml:space="preserve">outdoors also </w:t>
      </w:r>
      <w:r w:rsidRPr="008B1696">
        <w:t>significantly increased (in 2018, 68.3% of services required sunscreen to be applied regularly, every 2 hours if outdoors). It is noted that the percentage of services that required children to wear</w:t>
      </w:r>
      <w:r w:rsidR="0005701B">
        <w:t xml:space="preserve"> </w:t>
      </w:r>
      <w:r w:rsidR="0005701B" w:rsidRPr="00167CB2">
        <w:t>sun-protective</w:t>
      </w:r>
      <w:r w:rsidR="0005701B" w:rsidRPr="00167CB2">
        <w:rPr>
          <w:spacing w:val="-2"/>
        </w:rPr>
        <w:t xml:space="preserve"> </w:t>
      </w:r>
      <w:r w:rsidR="0005701B" w:rsidRPr="00167CB2">
        <w:t>clothing</w:t>
      </w:r>
      <w:r w:rsidR="0005701B" w:rsidRPr="00167CB2">
        <w:rPr>
          <w:spacing w:val="-4"/>
        </w:rPr>
        <w:t xml:space="preserve"> </w:t>
      </w:r>
      <w:r w:rsidR="0005701B" w:rsidRPr="00167CB2">
        <w:t>outside</w:t>
      </w:r>
      <w:r w:rsidR="0005701B" w:rsidRPr="00167CB2">
        <w:rPr>
          <w:spacing w:val="-4"/>
        </w:rPr>
        <w:t xml:space="preserve"> </w:t>
      </w:r>
      <w:r w:rsidR="0005701B" w:rsidRPr="00167CB2">
        <w:t>significantly</w:t>
      </w:r>
      <w:r w:rsidR="0005701B" w:rsidRPr="00167CB2">
        <w:rPr>
          <w:spacing w:val="-1"/>
        </w:rPr>
        <w:t xml:space="preserve"> </w:t>
      </w:r>
      <w:r w:rsidR="0005701B" w:rsidRPr="00167CB2">
        <w:t>increased</w:t>
      </w:r>
      <w:r w:rsidR="0005701B" w:rsidRPr="00167CB2">
        <w:rPr>
          <w:spacing w:val="-4"/>
        </w:rPr>
        <w:t xml:space="preserve"> </w:t>
      </w:r>
      <w:r w:rsidR="0005701B" w:rsidRPr="00167CB2">
        <w:t>from</w:t>
      </w:r>
      <w:r w:rsidR="0005701B" w:rsidRPr="00167CB2">
        <w:rPr>
          <w:spacing w:val="-4"/>
        </w:rPr>
        <w:t xml:space="preserve"> </w:t>
      </w:r>
      <w:r w:rsidR="0005701B" w:rsidRPr="00167CB2">
        <w:t>68%</w:t>
      </w:r>
      <w:r w:rsidR="0005701B" w:rsidRPr="00167CB2">
        <w:rPr>
          <w:spacing w:val="-1"/>
        </w:rPr>
        <w:t xml:space="preserve"> </w:t>
      </w:r>
      <w:r w:rsidR="0005701B" w:rsidRPr="00167CB2">
        <w:t>(2008)</w:t>
      </w:r>
      <w:r w:rsidR="0005701B" w:rsidRPr="00167CB2">
        <w:rPr>
          <w:spacing w:val="-3"/>
        </w:rPr>
        <w:t xml:space="preserve"> </w:t>
      </w:r>
      <w:r w:rsidR="0005701B" w:rsidRPr="00167CB2">
        <w:t>to</w:t>
      </w:r>
      <w:r w:rsidR="0005701B" w:rsidRPr="00167CB2">
        <w:rPr>
          <w:spacing w:val="-2"/>
        </w:rPr>
        <w:t xml:space="preserve"> </w:t>
      </w:r>
      <w:r w:rsidR="0005701B" w:rsidRPr="00167CB2">
        <w:t>88.8%</w:t>
      </w:r>
      <w:r w:rsidR="0005701B" w:rsidRPr="00167CB2">
        <w:rPr>
          <w:spacing w:val="-3"/>
        </w:rPr>
        <w:t xml:space="preserve"> </w:t>
      </w:r>
      <w:r w:rsidR="0005701B" w:rsidRPr="00167CB2">
        <w:t>(2018)</w:t>
      </w:r>
      <w:r w:rsidR="00D20E48">
        <w:t>,</w:t>
      </w:r>
      <w:r w:rsidR="0005701B" w:rsidRPr="00167CB2">
        <w:rPr>
          <w:spacing w:val="-2"/>
        </w:rPr>
        <w:t xml:space="preserve"> </w:t>
      </w:r>
      <w:r w:rsidR="0005701B" w:rsidRPr="00167CB2">
        <w:t>however,</w:t>
      </w:r>
      <w:r w:rsidR="0005701B" w:rsidRPr="00167CB2">
        <w:rPr>
          <w:spacing w:val="-4"/>
        </w:rPr>
        <w:t xml:space="preserve"> </w:t>
      </w:r>
      <w:r w:rsidR="0005701B" w:rsidRPr="00167CB2">
        <w:t>the percentage of services requiring children to wear long sleeves significantly decreased from 45.1% (2008) to 17.9% (2018). The percentage of services requiring children to wear longer shorts/skirts remained below 30% throughout the survey years. The authors suggested that suboptimal UV</w:t>
      </w:r>
      <w:r w:rsidR="00B034D8">
        <w:t>R</w:t>
      </w:r>
      <w:r w:rsidR="0005701B" w:rsidRPr="00167CB2">
        <w:t xml:space="preserve"> protection can result from incorrect sunscreen application in terms of amount used, time of application (relative to sun exposure) and reapplication, and therefore, appropriate sunscreen application techniques are an important target for future promotion efforts.</w:t>
      </w:r>
    </w:p>
    <w:p w14:paraId="0F096C65" w14:textId="595AC341" w:rsidR="0005701B" w:rsidRPr="00167CB2" w:rsidRDefault="0005701B" w:rsidP="0005701B">
      <w:pPr>
        <w:pStyle w:val="BodyText"/>
        <w:spacing w:before="117" w:line="259" w:lineRule="auto"/>
        <w:ind w:right="160"/>
      </w:pPr>
      <w:r w:rsidRPr="00167CB2">
        <w:t>The unpublished repor</w:t>
      </w:r>
      <w:r w:rsidR="00B437A4">
        <w:t>t</w:t>
      </w:r>
      <w:r w:rsidRPr="00167CB2">
        <w:rPr>
          <w:spacing w:val="27"/>
          <w:position w:val="6"/>
          <w:sz w:val="13"/>
        </w:rPr>
        <w:t xml:space="preserve"> </w:t>
      </w:r>
      <w:r w:rsidRPr="00167CB2">
        <w:t>of 1,189 Australian early childhood centres surveyed in the 2018 National Early Childhood Sun Protection Policy and Practice Survey (Cancer Council SA 2018)</w:t>
      </w:r>
      <w:r w:rsidR="00261C5D">
        <w:t xml:space="preserve">, </w:t>
      </w:r>
      <w:r w:rsidRPr="00167CB2">
        <w:t>which was the most recent survey data analysed by Hunkin and Morris (2020</w:t>
      </w:r>
      <w:r w:rsidRPr="00261C5D">
        <w:t>)</w:t>
      </w:r>
      <w:r w:rsidR="00261C5D">
        <w:t xml:space="preserve">, </w:t>
      </w:r>
      <w:r w:rsidRPr="00261C5D">
        <w:t>reported further</w:t>
      </w:r>
      <w:r w:rsidRPr="00167CB2">
        <w:t xml:space="preserve"> information on sunscreen use practices in early childhood centres. The report indicated a trend in increasing sunscreen practices in children. In 2018 most services required children </w:t>
      </w:r>
      <w:r w:rsidR="0055278D">
        <w:t xml:space="preserve">to </w:t>
      </w:r>
      <w:r w:rsidRPr="00167CB2">
        <w:t>wear sunscreen all year, and more services applied sunscreen more frequently throughout the day, and required sunscreen when the UV index was 3 or more, rather than only part of the year. The data showed that in 2018, 49% of services across Australia applied sunscreen to children twice a day, 26% 3 times a day, and 11% more than 3 times. Western Australia had higher rates, with 40% of centres applying sunscreen 3 times daily and 20% more than 3 times. Between 2008 and 2018, there was a significant increase in the number of services providing sunscreen for children, promoting self-application, and encouraging application</w:t>
      </w:r>
      <w:r w:rsidRPr="00167CB2">
        <w:rPr>
          <w:spacing w:val="-2"/>
        </w:rPr>
        <w:t xml:space="preserve"> </w:t>
      </w:r>
      <w:r w:rsidRPr="00167CB2">
        <w:t>by</w:t>
      </w:r>
      <w:r w:rsidRPr="00167CB2">
        <w:rPr>
          <w:spacing w:val="-3"/>
        </w:rPr>
        <w:t xml:space="preserve"> </w:t>
      </w:r>
      <w:r w:rsidRPr="00167CB2">
        <w:t>parents</w:t>
      </w:r>
      <w:r w:rsidRPr="00167CB2">
        <w:rPr>
          <w:spacing w:val="-3"/>
        </w:rPr>
        <w:t xml:space="preserve"> </w:t>
      </w:r>
      <w:r w:rsidRPr="00167CB2">
        <w:t>or</w:t>
      </w:r>
      <w:r w:rsidRPr="00167CB2">
        <w:rPr>
          <w:spacing w:val="-3"/>
        </w:rPr>
        <w:t xml:space="preserve"> </w:t>
      </w:r>
      <w:r w:rsidRPr="00167CB2">
        <w:t>caregivers.</w:t>
      </w:r>
      <w:r w:rsidRPr="00167CB2">
        <w:rPr>
          <w:spacing w:val="-4"/>
        </w:rPr>
        <w:t xml:space="preserve"> </w:t>
      </w:r>
      <w:r w:rsidRPr="00167CB2">
        <w:t>There</w:t>
      </w:r>
      <w:r w:rsidRPr="00167CB2">
        <w:rPr>
          <w:spacing w:val="-2"/>
        </w:rPr>
        <w:t xml:space="preserve"> </w:t>
      </w:r>
      <w:r w:rsidRPr="00167CB2">
        <w:t>was</w:t>
      </w:r>
      <w:r w:rsidRPr="00167CB2">
        <w:rPr>
          <w:spacing w:val="-3"/>
        </w:rPr>
        <w:t xml:space="preserve"> </w:t>
      </w:r>
      <w:r w:rsidRPr="00167CB2">
        <w:t>also</w:t>
      </w:r>
      <w:r w:rsidRPr="00167CB2">
        <w:rPr>
          <w:spacing w:val="-4"/>
        </w:rPr>
        <w:t xml:space="preserve"> </w:t>
      </w:r>
      <w:r w:rsidRPr="00167CB2">
        <w:t>a</w:t>
      </w:r>
      <w:r w:rsidRPr="00167CB2">
        <w:rPr>
          <w:spacing w:val="-2"/>
        </w:rPr>
        <w:t xml:space="preserve"> </w:t>
      </w:r>
      <w:r w:rsidRPr="00167CB2">
        <w:t>rise</w:t>
      </w:r>
      <w:r w:rsidRPr="00167CB2">
        <w:rPr>
          <w:spacing w:val="-4"/>
        </w:rPr>
        <w:t xml:space="preserve"> </w:t>
      </w:r>
      <w:r w:rsidRPr="00167CB2">
        <w:t>in</w:t>
      </w:r>
      <w:r w:rsidRPr="00167CB2">
        <w:rPr>
          <w:spacing w:val="-2"/>
        </w:rPr>
        <w:t xml:space="preserve"> </w:t>
      </w:r>
      <w:r w:rsidRPr="00167CB2">
        <w:t>the</w:t>
      </w:r>
      <w:r w:rsidRPr="00167CB2">
        <w:rPr>
          <w:spacing w:val="-2"/>
        </w:rPr>
        <w:t xml:space="preserve"> </w:t>
      </w:r>
      <w:r w:rsidRPr="00167CB2">
        <w:t>practice</w:t>
      </w:r>
      <w:r w:rsidRPr="00167CB2">
        <w:rPr>
          <w:spacing w:val="-2"/>
        </w:rPr>
        <w:t xml:space="preserve"> </w:t>
      </w:r>
      <w:r w:rsidRPr="00167CB2">
        <w:t>of</w:t>
      </w:r>
      <w:r w:rsidRPr="00167CB2">
        <w:rPr>
          <w:spacing w:val="-4"/>
        </w:rPr>
        <w:t xml:space="preserve"> </w:t>
      </w:r>
      <w:r w:rsidRPr="00167CB2">
        <w:t>applying</w:t>
      </w:r>
      <w:r w:rsidRPr="00167CB2">
        <w:rPr>
          <w:spacing w:val="-4"/>
        </w:rPr>
        <w:t xml:space="preserve"> </w:t>
      </w:r>
      <w:r w:rsidRPr="00167CB2">
        <w:t>sunscreen</w:t>
      </w:r>
      <w:r w:rsidRPr="00167CB2">
        <w:rPr>
          <w:spacing w:val="-2"/>
        </w:rPr>
        <w:t xml:space="preserve"> </w:t>
      </w:r>
      <w:r w:rsidRPr="00167CB2">
        <w:t xml:space="preserve">15-20 minutes before outdoor activities, assigning staff the responsibility of applying sunscreen to children, and regularly reapplying sunscreen. Conversely, there was a decline in the number of services that encouraged parents to provide sunscreen for their children. </w:t>
      </w:r>
      <w:r w:rsidR="00261C5D">
        <w:t>In addition</w:t>
      </w:r>
      <w:r w:rsidRPr="00167CB2">
        <w:t>, over 99% of services enforced hat wearing for children and 98% for staff members. Most services followed a policy of taking infants (under 12 months) outdoors only in shaded areas (71%), while 22% limited the duration of outdoor time for this age group. The use of UV levels as a criterion for implementing sun protection measures during certain times of the year increased to 61% in 2018, up from 35% in 2008. These findings underscore the evolving practices in early childhood centres to enhance sun protection for children, reflecting a growing awareness and implementation of recommended sunscreen use.</w:t>
      </w:r>
    </w:p>
    <w:p w14:paraId="779010E4" w14:textId="09B94E18" w:rsidR="0005701B" w:rsidRPr="00167CB2" w:rsidRDefault="0005701B" w:rsidP="0005701B">
      <w:pPr>
        <w:pStyle w:val="BodyText"/>
        <w:spacing w:before="116" w:line="259" w:lineRule="auto"/>
      </w:pPr>
      <w:r w:rsidRPr="00167CB2">
        <w:t>In</w:t>
      </w:r>
      <w:r w:rsidRPr="00167CB2">
        <w:rPr>
          <w:spacing w:val="-4"/>
        </w:rPr>
        <w:t xml:space="preserve"> </w:t>
      </w:r>
      <w:r w:rsidRPr="00167CB2">
        <w:t>a</w:t>
      </w:r>
      <w:r w:rsidRPr="00167CB2">
        <w:rPr>
          <w:spacing w:val="-4"/>
        </w:rPr>
        <w:t xml:space="preserve"> </w:t>
      </w:r>
      <w:r w:rsidRPr="00167CB2">
        <w:t>survey</w:t>
      </w:r>
      <w:r w:rsidRPr="00167CB2">
        <w:rPr>
          <w:spacing w:val="-3"/>
        </w:rPr>
        <w:t xml:space="preserve"> </w:t>
      </w:r>
      <w:r w:rsidRPr="00167CB2">
        <w:t>conducted</w:t>
      </w:r>
      <w:r w:rsidRPr="00167CB2">
        <w:rPr>
          <w:spacing w:val="-2"/>
        </w:rPr>
        <w:t xml:space="preserve"> </w:t>
      </w:r>
      <w:r w:rsidRPr="00167CB2">
        <w:t>for</w:t>
      </w:r>
      <w:r w:rsidRPr="00167CB2">
        <w:rPr>
          <w:spacing w:val="-3"/>
        </w:rPr>
        <w:t xml:space="preserve"> </w:t>
      </w:r>
      <w:r w:rsidRPr="00167CB2">
        <w:t>187</w:t>
      </w:r>
      <w:r w:rsidRPr="00167CB2">
        <w:rPr>
          <w:spacing w:val="-4"/>
        </w:rPr>
        <w:t xml:space="preserve"> </w:t>
      </w:r>
      <w:r w:rsidRPr="00167CB2">
        <w:t>childcare</w:t>
      </w:r>
      <w:r w:rsidRPr="00167CB2">
        <w:rPr>
          <w:spacing w:val="-2"/>
        </w:rPr>
        <w:t xml:space="preserve"> </w:t>
      </w:r>
      <w:r w:rsidRPr="00167CB2">
        <w:t>services</w:t>
      </w:r>
      <w:r w:rsidRPr="00167CB2">
        <w:rPr>
          <w:spacing w:val="-3"/>
        </w:rPr>
        <w:t xml:space="preserve"> </w:t>
      </w:r>
      <w:r w:rsidRPr="00167CB2">
        <w:t>in</w:t>
      </w:r>
      <w:r w:rsidRPr="00167CB2">
        <w:rPr>
          <w:spacing w:val="-2"/>
        </w:rPr>
        <w:t xml:space="preserve"> </w:t>
      </w:r>
      <w:r w:rsidRPr="00167CB2">
        <w:t>the</w:t>
      </w:r>
      <w:r w:rsidRPr="00167CB2">
        <w:rPr>
          <w:spacing w:val="-2"/>
        </w:rPr>
        <w:t xml:space="preserve"> </w:t>
      </w:r>
      <w:r w:rsidRPr="00167CB2">
        <w:t>Hunter</w:t>
      </w:r>
      <w:r w:rsidRPr="00167CB2">
        <w:rPr>
          <w:spacing w:val="-3"/>
        </w:rPr>
        <w:t xml:space="preserve"> </w:t>
      </w:r>
      <w:r w:rsidRPr="00167CB2">
        <w:t>region,</w:t>
      </w:r>
      <w:r w:rsidRPr="00167CB2">
        <w:rPr>
          <w:spacing w:val="-1"/>
        </w:rPr>
        <w:t xml:space="preserve"> </w:t>
      </w:r>
      <w:r w:rsidRPr="00167CB2">
        <w:t>150</w:t>
      </w:r>
      <w:r w:rsidRPr="00167CB2">
        <w:rPr>
          <w:spacing w:val="-2"/>
        </w:rPr>
        <w:t xml:space="preserve"> </w:t>
      </w:r>
      <w:r w:rsidRPr="00167CB2">
        <w:t>centres (87%)</w:t>
      </w:r>
      <w:r w:rsidRPr="00167CB2">
        <w:rPr>
          <w:spacing w:val="-3"/>
        </w:rPr>
        <w:t xml:space="preserve"> </w:t>
      </w:r>
      <w:r w:rsidRPr="00167CB2">
        <w:t>reported</w:t>
      </w:r>
      <w:r w:rsidRPr="00167CB2">
        <w:rPr>
          <w:spacing w:val="-4"/>
        </w:rPr>
        <w:t xml:space="preserve"> </w:t>
      </w:r>
      <w:r w:rsidRPr="00167CB2">
        <w:t xml:space="preserve">that </w:t>
      </w:r>
      <w:r w:rsidR="00650E19">
        <w:t xml:space="preserve">the </w:t>
      </w:r>
      <w:r w:rsidRPr="00167CB2">
        <w:t>centre</w:t>
      </w:r>
      <w:r w:rsidR="00650E19">
        <w:t>’s</w:t>
      </w:r>
      <w:r w:rsidRPr="00167CB2">
        <w:t xml:space="preserve"> policy required children to wear hats, and 122 (71%) required sunscreen be applied to children before outdoor play </w:t>
      </w:r>
      <w:r w:rsidRPr="00167CB2">
        <w:rPr>
          <w:color w:val="333333"/>
        </w:rPr>
        <w:t>(</w:t>
      </w:r>
      <w:r w:rsidRPr="00167CB2">
        <w:t>Parkinson et al. 2003</w:t>
      </w:r>
      <w:r w:rsidRPr="00167CB2">
        <w:rPr>
          <w:color w:val="333333"/>
        </w:rPr>
        <w:t>)</w:t>
      </w:r>
      <w:r w:rsidR="00261C5D">
        <w:rPr>
          <w:color w:val="333333"/>
        </w:rPr>
        <w:t xml:space="preserve">. </w:t>
      </w:r>
      <w:r w:rsidRPr="00167CB2">
        <w:t>However, the self-reported sun protection practices were lower, and 36% of children wore a hat and 57% applied sunscreen before outdoor play.</w:t>
      </w:r>
    </w:p>
    <w:p w14:paraId="6CE4EF7D" w14:textId="56603643" w:rsidR="0005701B" w:rsidRPr="00167CB2" w:rsidRDefault="0005701B" w:rsidP="0005701B">
      <w:pPr>
        <w:pStyle w:val="BodyText"/>
        <w:spacing w:before="121" w:line="259" w:lineRule="auto"/>
        <w:ind w:right="205"/>
        <w:rPr>
          <w:sz w:val="13"/>
        </w:rPr>
      </w:pPr>
      <w:r w:rsidRPr="00167CB2">
        <w:t>The Queensland QPHS survey conducted in 2020 found 74.9% of children aged 5-7 frequently use sunscreens with SPF 30+ (Queensland Government 2023)</w:t>
      </w:r>
      <w:r w:rsidR="005D1392">
        <w:rPr>
          <w:rStyle w:val="FootnoteReference"/>
        </w:rPr>
        <w:footnoteReference w:id="14"/>
      </w:r>
      <w:r w:rsidR="00261C5D">
        <w:t>. T</w:t>
      </w:r>
      <w:r w:rsidRPr="00167CB2">
        <w:t>his percentage gradually decreases with increasing age, as 49.3% of children aged 16-17 frequently use sunscreens. Remoteness and socioeconomic</w:t>
      </w:r>
      <w:r w:rsidRPr="00167CB2">
        <w:rPr>
          <w:spacing w:val="-3"/>
        </w:rPr>
        <w:t xml:space="preserve"> </w:t>
      </w:r>
      <w:r w:rsidRPr="00167CB2">
        <w:t>status</w:t>
      </w:r>
      <w:r w:rsidRPr="00167CB2">
        <w:rPr>
          <w:spacing w:val="-3"/>
        </w:rPr>
        <w:t xml:space="preserve"> </w:t>
      </w:r>
      <w:r w:rsidRPr="00167CB2">
        <w:t>also</w:t>
      </w:r>
      <w:r w:rsidRPr="00167CB2">
        <w:rPr>
          <w:spacing w:val="-4"/>
        </w:rPr>
        <w:t xml:space="preserve"> </w:t>
      </w:r>
      <w:r w:rsidRPr="00167CB2">
        <w:t>impact</w:t>
      </w:r>
      <w:r w:rsidRPr="00167CB2">
        <w:rPr>
          <w:spacing w:val="-4"/>
        </w:rPr>
        <w:t xml:space="preserve"> </w:t>
      </w:r>
      <w:r w:rsidRPr="00167CB2">
        <w:t>sunscreen</w:t>
      </w:r>
      <w:r w:rsidRPr="00167CB2">
        <w:rPr>
          <w:spacing w:val="-4"/>
        </w:rPr>
        <w:t xml:space="preserve"> </w:t>
      </w:r>
      <w:r w:rsidRPr="00167CB2">
        <w:t>use.</w:t>
      </w:r>
      <w:r w:rsidRPr="00167CB2">
        <w:rPr>
          <w:spacing w:val="-2"/>
        </w:rPr>
        <w:t xml:space="preserve"> </w:t>
      </w:r>
      <w:r w:rsidRPr="00167CB2">
        <w:t>Children</w:t>
      </w:r>
      <w:r w:rsidRPr="00167CB2">
        <w:rPr>
          <w:spacing w:val="-4"/>
        </w:rPr>
        <w:t xml:space="preserve"> </w:t>
      </w:r>
      <w:r w:rsidRPr="00167CB2">
        <w:t>from</w:t>
      </w:r>
      <w:r w:rsidRPr="00167CB2">
        <w:rPr>
          <w:spacing w:val="-4"/>
        </w:rPr>
        <w:t xml:space="preserve"> </w:t>
      </w:r>
      <w:r w:rsidRPr="00167CB2">
        <w:t>remote</w:t>
      </w:r>
      <w:r w:rsidRPr="00167CB2">
        <w:rPr>
          <w:spacing w:val="-2"/>
        </w:rPr>
        <w:t xml:space="preserve"> </w:t>
      </w:r>
      <w:r w:rsidRPr="00167CB2">
        <w:t>areas</w:t>
      </w:r>
      <w:r w:rsidRPr="00167CB2">
        <w:rPr>
          <w:spacing w:val="-2"/>
        </w:rPr>
        <w:t xml:space="preserve"> </w:t>
      </w:r>
      <w:r w:rsidRPr="00167CB2">
        <w:t>or</w:t>
      </w:r>
      <w:r w:rsidRPr="00167CB2">
        <w:rPr>
          <w:spacing w:val="-3"/>
        </w:rPr>
        <w:t xml:space="preserve"> </w:t>
      </w:r>
      <w:r w:rsidRPr="00167CB2">
        <w:t>from</w:t>
      </w:r>
      <w:r w:rsidRPr="00167CB2">
        <w:rPr>
          <w:spacing w:val="-4"/>
        </w:rPr>
        <w:t xml:space="preserve"> </w:t>
      </w:r>
      <w:r w:rsidRPr="00167CB2">
        <w:t>disadvantaged socioeconomic backgrounds are less likely to use sunscreen frequently. The survey also found that 16% of children apply sunscreen as part of the morning routine</w:t>
      </w:r>
      <w:r w:rsidR="00261C5D">
        <w:rPr>
          <w:rStyle w:val="FootnoteReference"/>
        </w:rPr>
        <w:footnoteReference w:id="15"/>
      </w:r>
      <w:r w:rsidRPr="00167CB2">
        <w:t>.</w:t>
      </w:r>
      <w:r w:rsidR="005D1392" w:rsidRPr="00167CB2">
        <w:rPr>
          <w:sz w:val="13"/>
        </w:rPr>
        <w:t xml:space="preserve"> </w:t>
      </w:r>
    </w:p>
    <w:p w14:paraId="25C48792" w14:textId="7B7FC92D" w:rsidR="0005701B" w:rsidRPr="00167CB2" w:rsidRDefault="0005701B" w:rsidP="0005701B">
      <w:pPr>
        <w:pStyle w:val="BodyText"/>
        <w:spacing w:before="117" w:line="259" w:lineRule="auto"/>
        <w:ind w:right="150"/>
      </w:pPr>
      <w:r w:rsidRPr="00167CB2">
        <w:t>A study conducted with children aged 5-12 years in Queensland found that children in the youngest school</w:t>
      </w:r>
      <w:r w:rsidRPr="00167CB2">
        <w:rPr>
          <w:spacing w:val="-5"/>
        </w:rPr>
        <w:t xml:space="preserve"> </w:t>
      </w:r>
      <w:r w:rsidRPr="00167CB2">
        <w:t>grades</w:t>
      </w:r>
      <w:r w:rsidRPr="00167CB2">
        <w:rPr>
          <w:spacing w:val="-3"/>
        </w:rPr>
        <w:t xml:space="preserve"> </w:t>
      </w:r>
      <w:r w:rsidRPr="00167CB2">
        <w:t>(1</w:t>
      </w:r>
      <w:r w:rsidRPr="00167CB2">
        <w:rPr>
          <w:spacing w:val="-2"/>
        </w:rPr>
        <w:t xml:space="preserve"> </w:t>
      </w:r>
      <w:r w:rsidRPr="00167CB2">
        <w:t>and</w:t>
      </w:r>
      <w:r w:rsidRPr="00167CB2">
        <w:rPr>
          <w:spacing w:val="-2"/>
        </w:rPr>
        <w:t xml:space="preserve"> </w:t>
      </w:r>
      <w:r w:rsidRPr="00167CB2">
        <w:t>2)</w:t>
      </w:r>
      <w:r w:rsidRPr="00167CB2">
        <w:rPr>
          <w:spacing w:val="-3"/>
        </w:rPr>
        <w:t xml:space="preserve"> </w:t>
      </w:r>
      <w:r w:rsidRPr="00167CB2">
        <w:t>applied</w:t>
      </w:r>
      <w:r w:rsidRPr="00167CB2">
        <w:rPr>
          <w:spacing w:val="-4"/>
        </w:rPr>
        <w:t xml:space="preserve"> </w:t>
      </w:r>
      <w:r w:rsidRPr="00167CB2">
        <w:t>significantly more</w:t>
      </w:r>
      <w:r w:rsidRPr="00167CB2">
        <w:rPr>
          <w:spacing w:val="-4"/>
        </w:rPr>
        <w:t xml:space="preserve"> </w:t>
      </w:r>
      <w:r w:rsidRPr="00167CB2">
        <w:t>sunscreen</w:t>
      </w:r>
      <w:r w:rsidRPr="00167CB2">
        <w:rPr>
          <w:spacing w:val="-4"/>
        </w:rPr>
        <w:t xml:space="preserve"> </w:t>
      </w:r>
      <w:r w:rsidRPr="00167CB2">
        <w:t>than</w:t>
      </w:r>
      <w:r w:rsidRPr="00167CB2">
        <w:rPr>
          <w:spacing w:val="-2"/>
        </w:rPr>
        <w:t xml:space="preserve"> </w:t>
      </w:r>
      <w:r w:rsidRPr="00167CB2">
        <w:t>the</w:t>
      </w:r>
      <w:r w:rsidRPr="00167CB2">
        <w:rPr>
          <w:spacing w:val="-4"/>
        </w:rPr>
        <w:t xml:space="preserve"> </w:t>
      </w:r>
      <w:r w:rsidRPr="00167CB2">
        <w:t>older</w:t>
      </w:r>
      <w:r w:rsidRPr="00167CB2">
        <w:rPr>
          <w:spacing w:val="-3"/>
        </w:rPr>
        <w:t xml:space="preserve"> </w:t>
      </w:r>
      <w:r w:rsidRPr="00167CB2">
        <w:t>children</w:t>
      </w:r>
      <w:r w:rsidRPr="00167CB2">
        <w:rPr>
          <w:spacing w:val="-4"/>
        </w:rPr>
        <w:t xml:space="preserve"> </w:t>
      </w:r>
      <w:r w:rsidRPr="00167CB2">
        <w:t>(Diaz</w:t>
      </w:r>
      <w:r w:rsidRPr="00167CB2">
        <w:rPr>
          <w:spacing w:val="-3"/>
        </w:rPr>
        <w:t xml:space="preserve"> </w:t>
      </w:r>
      <w:r w:rsidRPr="00167CB2">
        <w:t>et</w:t>
      </w:r>
      <w:r w:rsidRPr="00167CB2">
        <w:rPr>
          <w:spacing w:val="-4"/>
        </w:rPr>
        <w:t xml:space="preserve"> </w:t>
      </w:r>
      <w:r w:rsidRPr="00167CB2">
        <w:t>al.</w:t>
      </w:r>
      <w:r w:rsidRPr="00167CB2">
        <w:rPr>
          <w:spacing w:val="-2"/>
        </w:rPr>
        <w:t xml:space="preserve"> </w:t>
      </w:r>
      <w:r w:rsidRPr="00167CB2">
        <w:t xml:space="preserve">2012). The authors recommended that educational interventions may help to improve sunscreen application thickness to maximise the protection received from sunscreen. The authors also commented that </w:t>
      </w:r>
      <w:r w:rsidRPr="00167CB2">
        <w:rPr>
          <w:color w:val="333333"/>
        </w:rPr>
        <w:t>sunscreen is often the only form of sun protection used by children, therefore, children may be less well protected from the sun than parents might expect.</w:t>
      </w:r>
    </w:p>
    <w:p w14:paraId="7F91BAEF" w14:textId="7055B383" w:rsidR="0005701B" w:rsidRPr="00167CB2" w:rsidRDefault="0005701B" w:rsidP="0005701B">
      <w:pPr>
        <w:pStyle w:val="BodyText"/>
        <w:spacing w:before="120" w:line="259" w:lineRule="auto"/>
        <w:ind w:right="160"/>
      </w:pPr>
      <w:r w:rsidRPr="00167CB2">
        <w:t>A survey conducted with 3,655 Queensland students (in grades 7, 9 and 11) reported that negative views of sun protection measures were associated with poorer sun protective behaviour; this association</w:t>
      </w:r>
      <w:r w:rsidRPr="00167CB2">
        <w:rPr>
          <w:spacing w:val="-4"/>
        </w:rPr>
        <w:t xml:space="preserve"> </w:t>
      </w:r>
      <w:r w:rsidRPr="00167CB2">
        <w:t>was</w:t>
      </w:r>
      <w:r w:rsidRPr="00167CB2">
        <w:rPr>
          <w:spacing w:val="-3"/>
        </w:rPr>
        <w:t xml:space="preserve"> </w:t>
      </w:r>
      <w:r w:rsidRPr="00167CB2">
        <w:t>strongest</w:t>
      </w:r>
      <w:r w:rsidRPr="00167CB2">
        <w:rPr>
          <w:spacing w:val="-2"/>
        </w:rPr>
        <w:t xml:space="preserve"> </w:t>
      </w:r>
      <w:r w:rsidRPr="00167CB2">
        <w:t>among</w:t>
      </w:r>
      <w:r w:rsidRPr="00167CB2">
        <w:rPr>
          <w:spacing w:val="-4"/>
        </w:rPr>
        <w:t xml:space="preserve"> </w:t>
      </w:r>
      <w:r w:rsidRPr="00167CB2">
        <w:t>older</w:t>
      </w:r>
      <w:r w:rsidRPr="00167CB2">
        <w:rPr>
          <w:spacing w:val="-3"/>
        </w:rPr>
        <w:t xml:space="preserve"> </w:t>
      </w:r>
      <w:r w:rsidRPr="00167CB2">
        <w:t>students</w:t>
      </w:r>
      <w:r w:rsidRPr="00167CB2">
        <w:rPr>
          <w:spacing w:val="-3"/>
        </w:rPr>
        <w:t xml:space="preserve"> </w:t>
      </w:r>
      <w:r w:rsidRPr="00167CB2">
        <w:t>and</w:t>
      </w:r>
      <w:r w:rsidRPr="00167CB2">
        <w:rPr>
          <w:spacing w:val="-4"/>
        </w:rPr>
        <w:t xml:space="preserve"> </w:t>
      </w:r>
      <w:r w:rsidRPr="00167CB2">
        <w:t>in</w:t>
      </w:r>
      <w:r w:rsidRPr="00167CB2">
        <w:rPr>
          <w:spacing w:val="-4"/>
        </w:rPr>
        <w:t xml:space="preserve"> </w:t>
      </w:r>
      <w:r w:rsidRPr="00167CB2">
        <w:t>larger</w:t>
      </w:r>
      <w:r w:rsidRPr="00167CB2">
        <w:rPr>
          <w:spacing w:val="-3"/>
        </w:rPr>
        <w:t xml:space="preserve"> </w:t>
      </w:r>
      <w:r w:rsidRPr="00167CB2">
        <w:t>schools</w:t>
      </w:r>
      <w:r w:rsidRPr="00167CB2">
        <w:rPr>
          <w:spacing w:val="-3"/>
        </w:rPr>
        <w:t xml:space="preserve"> </w:t>
      </w:r>
      <w:r w:rsidRPr="00167CB2">
        <w:t>(Balanda</w:t>
      </w:r>
      <w:r w:rsidRPr="00167CB2">
        <w:rPr>
          <w:spacing w:val="-2"/>
        </w:rPr>
        <w:t xml:space="preserve"> </w:t>
      </w:r>
      <w:r w:rsidRPr="00167CB2">
        <w:t>et</w:t>
      </w:r>
      <w:r w:rsidRPr="00167CB2">
        <w:rPr>
          <w:spacing w:val="-4"/>
        </w:rPr>
        <w:t xml:space="preserve"> </w:t>
      </w:r>
      <w:r w:rsidRPr="00167CB2">
        <w:t>al.</w:t>
      </w:r>
      <w:r w:rsidRPr="00167CB2">
        <w:rPr>
          <w:spacing w:val="-2"/>
        </w:rPr>
        <w:t xml:space="preserve"> </w:t>
      </w:r>
      <w:r w:rsidRPr="00167CB2">
        <w:t>1999)</w:t>
      </w:r>
      <w:r w:rsidR="00261C5D">
        <w:rPr>
          <w:spacing w:val="-2"/>
        </w:rPr>
        <w:t xml:space="preserve">. </w:t>
      </w:r>
      <w:r w:rsidRPr="00167CB2">
        <w:t>Similarly, lower perceived parental sun protective behaviour was associated with poorer sun protective behaviours and older students had poorer sun protective behaviours than younger students.</w:t>
      </w:r>
    </w:p>
    <w:p w14:paraId="36836544" w14:textId="77777777" w:rsidR="00133578" w:rsidRPr="004C2B0A" w:rsidRDefault="00133578" w:rsidP="00F47305">
      <w:pPr>
        <w:pStyle w:val="Heading4"/>
      </w:pPr>
      <w:bookmarkStart w:id="31" w:name="_Sunscreen_use_by"/>
      <w:bookmarkStart w:id="32" w:name="_Toc184730551"/>
      <w:bookmarkEnd w:id="31"/>
      <w:r w:rsidRPr="004C2B0A">
        <w:t>Sunscreen use by outdoor workers</w:t>
      </w:r>
      <w:bookmarkEnd w:id="32"/>
    </w:p>
    <w:p w14:paraId="69D0A908" w14:textId="47B596F3" w:rsidR="00133578" w:rsidRPr="00133578" w:rsidRDefault="00133578" w:rsidP="00133578">
      <w:pPr>
        <w:pStyle w:val="BodyText"/>
        <w:spacing w:before="137" w:line="259" w:lineRule="auto"/>
        <w:ind w:left="1" w:right="157"/>
      </w:pPr>
      <w:r w:rsidRPr="00133578">
        <w:t>An unpublished independent report commissioned by Safe Work Australia</w:t>
      </w:r>
      <w:r w:rsidR="005D1392">
        <w:rPr>
          <w:rStyle w:val="FootnoteReference"/>
        </w:rPr>
        <w:footnoteReference w:id="16"/>
      </w:r>
      <w:r w:rsidRPr="00133578">
        <w:rPr>
          <w:spacing w:val="30"/>
          <w:position w:val="6"/>
          <w:sz w:val="13"/>
        </w:rPr>
        <w:t xml:space="preserve"> </w:t>
      </w:r>
      <w:r w:rsidRPr="00133578">
        <w:t>conducted between January and July 2008 that comprised 4,500 telephone interviews with indoor and outdoor workers in all Australian industries, investigated the exposure to direct sunlight and the control measures provided</w:t>
      </w:r>
      <w:r w:rsidRPr="00133578">
        <w:rPr>
          <w:spacing w:val="-1"/>
        </w:rPr>
        <w:t xml:space="preserve"> </w:t>
      </w:r>
      <w:r w:rsidRPr="00133578">
        <w:t>in</w:t>
      </w:r>
      <w:r w:rsidRPr="00133578">
        <w:rPr>
          <w:spacing w:val="-1"/>
        </w:rPr>
        <w:t xml:space="preserve"> </w:t>
      </w:r>
      <w:r w:rsidRPr="00133578">
        <w:t>workplaces relating to direct</w:t>
      </w:r>
      <w:r w:rsidRPr="00133578">
        <w:rPr>
          <w:spacing w:val="-1"/>
        </w:rPr>
        <w:t xml:space="preserve"> </w:t>
      </w:r>
      <w:r w:rsidRPr="00133578">
        <w:t>sunlight exposure.</w:t>
      </w:r>
      <w:r w:rsidRPr="00133578">
        <w:rPr>
          <w:spacing w:val="-1"/>
        </w:rPr>
        <w:t xml:space="preserve"> </w:t>
      </w:r>
      <w:r w:rsidRPr="00133578">
        <w:t>Workers in</w:t>
      </w:r>
      <w:r w:rsidRPr="00133578">
        <w:rPr>
          <w:spacing w:val="-1"/>
        </w:rPr>
        <w:t xml:space="preserve"> </w:t>
      </w:r>
      <w:r w:rsidRPr="00133578">
        <w:t>northern</w:t>
      </w:r>
      <w:r w:rsidRPr="00133578">
        <w:rPr>
          <w:spacing w:val="-1"/>
        </w:rPr>
        <w:t xml:space="preserve"> </w:t>
      </w:r>
      <w:r w:rsidRPr="00133578">
        <w:t>states (QLD,</w:t>
      </w:r>
      <w:r w:rsidRPr="00133578">
        <w:rPr>
          <w:spacing w:val="-1"/>
        </w:rPr>
        <w:t xml:space="preserve"> </w:t>
      </w:r>
      <w:r w:rsidRPr="00133578">
        <w:t xml:space="preserve">NT, WA) exhibiting a 37% higher probability of high-level exposure to direct sunlight compared to southern states (NSW, ACT, SA, VIC, TAS). Male workers were 2.9 times more likely to be exposed than female workers. The disparity was more pronounced within industry sectors, with outdoor workers facing considerably higher exposure odds, being 18 times greater in agriculture, forestry, and fishing, and 8.8 times greater in construction, relative to manufacturing. The average daily exposure duration exceeded 4 hours for outdoor workers, with those in agriculture and construction experiencing upwards of 5.5 hours. Most common forms of protection were sunscreen, hats, or protective clothing. </w:t>
      </w:r>
      <w:r w:rsidRPr="00133578">
        <w:rPr>
          <w:color w:val="111111"/>
        </w:rPr>
        <w:t>Sunscreen was reported to be provided by over half of the workers in most industries. The likelihood</w:t>
      </w:r>
      <w:r w:rsidRPr="00133578">
        <w:rPr>
          <w:color w:val="111111"/>
          <w:spacing w:val="40"/>
        </w:rPr>
        <w:t xml:space="preserve"> </w:t>
      </w:r>
      <w:r w:rsidRPr="00133578">
        <w:rPr>
          <w:color w:val="111111"/>
        </w:rPr>
        <w:t>of sunscreen provision was 1.7 times higher in agriculture, forestry, and fishing (69% of workers provided with sunscreen), 2.4 times higher in construction (75</w:t>
      </w:r>
      <w:r w:rsidRPr="00133578">
        <w:rPr>
          <w:b/>
          <w:color w:val="111111"/>
        </w:rPr>
        <w:t>%</w:t>
      </w:r>
      <w:r w:rsidRPr="00133578">
        <w:rPr>
          <w:color w:val="111111"/>
        </w:rPr>
        <w:t>), and 6.2 times higher in government administration and defence (91%) compared to manufacturing (58%)</w:t>
      </w:r>
      <w:r w:rsidRPr="00133578">
        <w:t>. Protective clothing followed a similar trend, with 1.9 times higher provision in construction (76% of workers provided with protective clothing) and 4.1 times higher in government administration and defence (87%) compared to manufacturing.</w:t>
      </w:r>
      <w:r w:rsidRPr="00133578">
        <w:rPr>
          <w:spacing w:val="-3"/>
        </w:rPr>
        <w:t xml:space="preserve"> </w:t>
      </w:r>
      <w:r w:rsidRPr="00133578">
        <w:t>Notably,</w:t>
      </w:r>
      <w:r w:rsidRPr="00133578">
        <w:rPr>
          <w:spacing w:val="-3"/>
        </w:rPr>
        <w:t xml:space="preserve"> </w:t>
      </w:r>
      <w:r w:rsidRPr="00133578">
        <w:t>despite</w:t>
      </w:r>
      <w:r w:rsidRPr="00133578">
        <w:rPr>
          <w:spacing w:val="-4"/>
        </w:rPr>
        <w:t xml:space="preserve"> </w:t>
      </w:r>
      <w:r w:rsidRPr="00133578">
        <w:t>the</w:t>
      </w:r>
      <w:r w:rsidRPr="00133578">
        <w:rPr>
          <w:spacing w:val="-3"/>
        </w:rPr>
        <w:t xml:space="preserve"> </w:t>
      </w:r>
      <w:r w:rsidRPr="00133578">
        <w:t>high</w:t>
      </w:r>
      <w:r w:rsidRPr="00133578">
        <w:rPr>
          <w:spacing w:val="-4"/>
        </w:rPr>
        <w:t xml:space="preserve"> </w:t>
      </w:r>
      <w:r w:rsidRPr="00133578">
        <w:t>exposure</w:t>
      </w:r>
      <w:r w:rsidRPr="00133578">
        <w:rPr>
          <w:spacing w:val="-4"/>
        </w:rPr>
        <w:t xml:space="preserve"> </w:t>
      </w:r>
      <w:r w:rsidRPr="00133578">
        <w:t>risk</w:t>
      </w:r>
      <w:r w:rsidRPr="00133578">
        <w:rPr>
          <w:spacing w:val="-1"/>
        </w:rPr>
        <w:t xml:space="preserve"> </w:t>
      </w:r>
      <w:r w:rsidRPr="00133578">
        <w:t>in</w:t>
      </w:r>
      <w:r w:rsidRPr="00133578">
        <w:rPr>
          <w:spacing w:val="-3"/>
        </w:rPr>
        <w:t xml:space="preserve"> </w:t>
      </w:r>
      <w:r w:rsidRPr="00133578">
        <w:t>agriculture,</w:t>
      </w:r>
      <w:r w:rsidRPr="00133578">
        <w:rPr>
          <w:spacing w:val="-3"/>
        </w:rPr>
        <w:t xml:space="preserve"> </w:t>
      </w:r>
      <w:r w:rsidRPr="00133578">
        <w:t>forestry,</w:t>
      </w:r>
      <w:r w:rsidRPr="00133578">
        <w:rPr>
          <w:spacing w:val="-4"/>
        </w:rPr>
        <w:t xml:space="preserve"> </w:t>
      </w:r>
      <w:r w:rsidRPr="00133578">
        <w:t>and</w:t>
      </w:r>
      <w:r w:rsidRPr="00133578">
        <w:rPr>
          <w:spacing w:val="-3"/>
        </w:rPr>
        <w:t xml:space="preserve"> </w:t>
      </w:r>
      <w:r w:rsidRPr="00133578">
        <w:t>fishing,</w:t>
      </w:r>
      <w:r w:rsidRPr="00133578">
        <w:rPr>
          <w:spacing w:val="-3"/>
        </w:rPr>
        <w:t xml:space="preserve"> </w:t>
      </w:r>
      <w:r w:rsidRPr="00133578">
        <w:t>only</w:t>
      </w:r>
      <w:r w:rsidRPr="00133578">
        <w:rPr>
          <w:spacing w:val="-3"/>
        </w:rPr>
        <w:t xml:space="preserve"> </w:t>
      </w:r>
      <w:r w:rsidRPr="00133578">
        <w:t>68%</w:t>
      </w:r>
      <w:r w:rsidRPr="00133578">
        <w:rPr>
          <w:spacing w:val="-2"/>
        </w:rPr>
        <w:t xml:space="preserve"> </w:t>
      </w:r>
      <w:r w:rsidRPr="00133578">
        <w:t>of workers reported</w:t>
      </w:r>
      <w:r w:rsidRPr="00133578">
        <w:rPr>
          <w:spacing w:val="-1"/>
        </w:rPr>
        <w:t xml:space="preserve"> </w:t>
      </w:r>
      <w:r w:rsidRPr="00133578">
        <w:t>receiving protective</w:t>
      </w:r>
      <w:r w:rsidRPr="00133578">
        <w:rPr>
          <w:spacing w:val="-1"/>
        </w:rPr>
        <w:t xml:space="preserve"> </w:t>
      </w:r>
      <w:r w:rsidRPr="00133578">
        <w:t>clothing.</w:t>
      </w:r>
      <w:r w:rsidRPr="00133578">
        <w:rPr>
          <w:spacing w:val="-1"/>
        </w:rPr>
        <w:t xml:space="preserve"> </w:t>
      </w:r>
      <w:r w:rsidRPr="00133578">
        <w:t>The</w:t>
      </w:r>
      <w:r w:rsidRPr="00133578">
        <w:rPr>
          <w:spacing w:val="-1"/>
        </w:rPr>
        <w:t xml:space="preserve"> </w:t>
      </w:r>
      <w:r w:rsidRPr="00133578">
        <w:t>report</w:t>
      </w:r>
      <w:r w:rsidRPr="00133578">
        <w:rPr>
          <w:spacing w:val="-1"/>
        </w:rPr>
        <w:t xml:space="preserve"> </w:t>
      </w:r>
      <w:r w:rsidRPr="00133578">
        <w:t>concluded that</w:t>
      </w:r>
      <w:r w:rsidRPr="00133578">
        <w:rPr>
          <w:spacing w:val="-1"/>
        </w:rPr>
        <w:t xml:space="preserve"> </w:t>
      </w:r>
      <w:r w:rsidRPr="00133578">
        <w:t>there</w:t>
      </w:r>
      <w:r w:rsidRPr="00133578">
        <w:rPr>
          <w:spacing w:val="-1"/>
        </w:rPr>
        <w:t xml:space="preserve"> </w:t>
      </w:r>
      <w:r w:rsidRPr="00133578">
        <w:t>is limited</w:t>
      </w:r>
      <w:r w:rsidRPr="00133578">
        <w:rPr>
          <w:spacing w:val="-1"/>
        </w:rPr>
        <w:t xml:space="preserve"> </w:t>
      </w:r>
      <w:r w:rsidRPr="00133578">
        <w:t>evidence</w:t>
      </w:r>
      <w:r w:rsidRPr="00133578">
        <w:rPr>
          <w:spacing w:val="-1"/>
        </w:rPr>
        <w:t xml:space="preserve"> </w:t>
      </w:r>
      <w:r w:rsidRPr="00133578">
        <w:t>that workers exposed to longer durations of UV</w:t>
      </w:r>
      <w:r w:rsidR="00B034D8">
        <w:t>R</w:t>
      </w:r>
      <w:r w:rsidRPr="00133578">
        <w:t xml:space="preserve"> are more likely to have access to protective controls than workers with a low level of exposure.</w:t>
      </w:r>
    </w:p>
    <w:p w14:paraId="42F24104" w14:textId="4A841530" w:rsidR="00133578" w:rsidRPr="00133578" w:rsidRDefault="00133578" w:rsidP="00261C5D">
      <w:pPr>
        <w:pStyle w:val="BodyText"/>
        <w:spacing w:before="137" w:line="259" w:lineRule="auto"/>
        <w:ind w:left="1" w:right="157"/>
      </w:pPr>
      <w:r w:rsidRPr="00133578">
        <w:t>Another study by Girgis and colleagues investigated 184 outdoor workers’ sun protection behaviour when outdoors between 11 am and 3 pm when there was no rain (Girgis et al. 1994). A body region was</w:t>
      </w:r>
      <w:r w:rsidRPr="00133578">
        <w:rPr>
          <w:spacing w:val="-2"/>
        </w:rPr>
        <w:t xml:space="preserve"> </w:t>
      </w:r>
      <w:r w:rsidRPr="00133578">
        <w:t>considered</w:t>
      </w:r>
      <w:r w:rsidRPr="00133578">
        <w:rPr>
          <w:spacing w:val="-3"/>
        </w:rPr>
        <w:t xml:space="preserve"> </w:t>
      </w:r>
      <w:r w:rsidRPr="00133578">
        <w:t>adequately</w:t>
      </w:r>
      <w:r w:rsidRPr="00133578">
        <w:rPr>
          <w:spacing w:val="-2"/>
        </w:rPr>
        <w:t xml:space="preserve"> </w:t>
      </w:r>
      <w:r w:rsidRPr="00133578">
        <w:t>protected</w:t>
      </w:r>
      <w:r w:rsidRPr="00133578">
        <w:rPr>
          <w:spacing w:val="-1"/>
        </w:rPr>
        <w:t xml:space="preserve"> </w:t>
      </w:r>
      <w:r w:rsidRPr="00133578">
        <w:t>if</w:t>
      </w:r>
      <w:r w:rsidRPr="00133578">
        <w:rPr>
          <w:spacing w:val="-1"/>
        </w:rPr>
        <w:t xml:space="preserve"> </w:t>
      </w:r>
      <w:r w:rsidRPr="00133578">
        <w:t>it</w:t>
      </w:r>
      <w:r w:rsidRPr="00133578">
        <w:rPr>
          <w:spacing w:val="-3"/>
        </w:rPr>
        <w:t xml:space="preserve"> </w:t>
      </w:r>
      <w:r w:rsidRPr="00133578">
        <w:t>was</w:t>
      </w:r>
      <w:r w:rsidRPr="00133578">
        <w:rPr>
          <w:spacing w:val="-2"/>
        </w:rPr>
        <w:t xml:space="preserve"> </w:t>
      </w:r>
      <w:r w:rsidRPr="00133578">
        <w:t>fully</w:t>
      </w:r>
      <w:r w:rsidRPr="00133578">
        <w:rPr>
          <w:spacing w:val="-2"/>
        </w:rPr>
        <w:t xml:space="preserve"> </w:t>
      </w:r>
      <w:r w:rsidRPr="00133578">
        <w:t>covered</w:t>
      </w:r>
      <w:r w:rsidRPr="00133578">
        <w:rPr>
          <w:spacing w:val="-3"/>
        </w:rPr>
        <w:t xml:space="preserve"> </w:t>
      </w:r>
      <w:r w:rsidRPr="00133578">
        <w:t>by</w:t>
      </w:r>
      <w:r w:rsidRPr="00133578">
        <w:rPr>
          <w:spacing w:val="-2"/>
        </w:rPr>
        <w:t xml:space="preserve"> </w:t>
      </w:r>
      <w:r w:rsidRPr="00133578">
        <w:t>clothing/hat</w:t>
      </w:r>
      <w:r w:rsidRPr="00133578">
        <w:rPr>
          <w:spacing w:val="-1"/>
        </w:rPr>
        <w:t xml:space="preserve"> </w:t>
      </w:r>
      <w:r w:rsidRPr="00133578">
        <w:t>or</w:t>
      </w:r>
      <w:r w:rsidRPr="00133578">
        <w:rPr>
          <w:spacing w:val="-2"/>
        </w:rPr>
        <w:t xml:space="preserve"> </w:t>
      </w:r>
      <w:r w:rsidRPr="00133578">
        <w:t>shaded</w:t>
      </w:r>
      <w:r w:rsidRPr="00133578">
        <w:rPr>
          <w:spacing w:val="-1"/>
        </w:rPr>
        <w:t xml:space="preserve"> </w:t>
      </w:r>
      <w:r w:rsidRPr="00133578">
        <w:t>at</w:t>
      </w:r>
      <w:r w:rsidRPr="00133578">
        <w:rPr>
          <w:spacing w:val="-3"/>
        </w:rPr>
        <w:t xml:space="preserve"> </w:t>
      </w:r>
      <w:r w:rsidRPr="00133578">
        <w:t>the</w:t>
      </w:r>
      <w:r w:rsidRPr="00133578">
        <w:rPr>
          <w:spacing w:val="-3"/>
        </w:rPr>
        <w:t xml:space="preserve"> </w:t>
      </w:r>
      <w:r w:rsidRPr="00133578">
        <w:t>time of the interview, and/or if sunscreen with an SPF 15 or higher had been applied to that region.</w:t>
      </w:r>
      <w:r w:rsidR="00132D90">
        <w:t xml:space="preserve"> </w:t>
      </w:r>
      <w:r w:rsidRPr="00133578">
        <w:t>Participants</w:t>
      </w:r>
      <w:r w:rsidRPr="00133578">
        <w:rPr>
          <w:spacing w:val="-3"/>
        </w:rPr>
        <w:t xml:space="preserve"> </w:t>
      </w:r>
      <w:r w:rsidRPr="00133578">
        <w:t>who</w:t>
      </w:r>
      <w:r w:rsidRPr="00133578">
        <w:rPr>
          <w:spacing w:val="-2"/>
        </w:rPr>
        <w:t xml:space="preserve"> </w:t>
      </w:r>
      <w:r w:rsidRPr="00133578">
        <w:t>had</w:t>
      </w:r>
      <w:r w:rsidRPr="00133578">
        <w:rPr>
          <w:spacing w:val="-4"/>
        </w:rPr>
        <w:t xml:space="preserve"> </w:t>
      </w:r>
      <w:r w:rsidRPr="00133578">
        <w:t>more</w:t>
      </w:r>
      <w:r w:rsidRPr="00133578">
        <w:rPr>
          <w:spacing w:val="-2"/>
        </w:rPr>
        <w:t xml:space="preserve"> </w:t>
      </w:r>
      <w:r w:rsidRPr="00133578">
        <w:t>than</w:t>
      </w:r>
      <w:r w:rsidRPr="00133578">
        <w:rPr>
          <w:spacing w:val="-2"/>
        </w:rPr>
        <w:t xml:space="preserve"> </w:t>
      </w:r>
      <w:r w:rsidRPr="00133578">
        <w:t>75%</w:t>
      </w:r>
      <w:r w:rsidRPr="00133578">
        <w:rPr>
          <w:spacing w:val="-1"/>
        </w:rPr>
        <w:t xml:space="preserve"> </w:t>
      </w:r>
      <w:r w:rsidRPr="00133578">
        <w:t>of</w:t>
      </w:r>
      <w:r w:rsidRPr="00133578">
        <w:rPr>
          <w:spacing w:val="-4"/>
        </w:rPr>
        <w:t xml:space="preserve"> </w:t>
      </w:r>
      <w:r w:rsidRPr="00133578">
        <w:t>the</w:t>
      </w:r>
      <w:r w:rsidRPr="00133578">
        <w:rPr>
          <w:spacing w:val="-4"/>
        </w:rPr>
        <w:t xml:space="preserve"> </w:t>
      </w:r>
      <w:r w:rsidRPr="00133578">
        <w:t>body</w:t>
      </w:r>
      <w:r w:rsidRPr="00133578">
        <w:rPr>
          <w:spacing w:val="-3"/>
        </w:rPr>
        <w:t xml:space="preserve"> </w:t>
      </w:r>
      <w:r w:rsidRPr="00133578">
        <w:t>protected</w:t>
      </w:r>
      <w:r w:rsidRPr="00133578">
        <w:rPr>
          <w:spacing w:val="-4"/>
        </w:rPr>
        <w:t xml:space="preserve"> </w:t>
      </w:r>
      <w:r w:rsidRPr="00133578">
        <w:t>were</w:t>
      </w:r>
      <w:r w:rsidRPr="00133578">
        <w:rPr>
          <w:spacing w:val="-4"/>
        </w:rPr>
        <w:t xml:space="preserve"> </w:t>
      </w:r>
      <w:r w:rsidRPr="00133578">
        <w:t>classified</w:t>
      </w:r>
      <w:r w:rsidRPr="00133578">
        <w:rPr>
          <w:spacing w:val="-2"/>
        </w:rPr>
        <w:t xml:space="preserve"> </w:t>
      </w:r>
      <w:r w:rsidRPr="00133578">
        <w:t>as</w:t>
      </w:r>
      <w:r w:rsidRPr="00133578">
        <w:rPr>
          <w:spacing w:val="-3"/>
        </w:rPr>
        <w:t xml:space="preserve"> </w:t>
      </w:r>
      <w:r w:rsidRPr="00133578">
        <w:t>having</w:t>
      </w:r>
      <w:r w:rsidRPr="00133578">
        <w:rPr>
          <w:spacing w:val="-4"/>
        </w:rPr>
        <w:t xml:space="preserve"> </w:t>
      </w:r>
      <w:r w:rsidRPr="00133578">
        <w:t>high</w:t>
      </w:r>
      <w:r w:rsidRPr="00133578">
        <w:rPr>
          <w:spacing w:val="-2"/>
        </w:rPr>
        <w:t xml:space="preserve"> </w:t>
      </w:r>
      <w:r w:rsidRPr="00133578">
        <w:t>protection. The authors reported more than 49% participants used high level sun protection; however, the sunscreen use by outdoor workers was not reported.</w:t>
      </w:r>
    </w:p>
    <w:p w14:paraId="62B51B3B" w14:textId="77777777" w:rsidR="00133578" w:rsidRPr="00133578" w:rsidRDefault="00133578" w:rsidP="00F47305">
      <w:pPr>
        <w:pStyle w:val="Heading4"/>
      </w:pPr>
      <w:bookmarkStart w:id="33" w:name="_Toc184730552"/>
      <w:r w:rsidRPr="00133578">
        <w:t>Application</w:t>
      </w:r>
      <w:r w:rsidRPr="00133578">
        <w:rPr>
          <w:spacing w:val="-12"/>
        </w:rPr>
        <w:t xml:space="preserve"> </w:t>
      </w:r>
      <w:r w:rsidRPr="00133578">
        <w:t>thickness</w:t>
      </w:r>
      <w:r w:rsidRPr="00133578">
        <w:rPr>
          <w:spacing w:val="-9"/>
        </w:rPr>
        <w:t xml:space="preserve"> </w:t>
      </w:r>
      <w:r w:rsidRPr="00133578">
        <w:t>of</w:t>
      </w:r>
      <w:r w:rsidRPr="00133578">
        <w:rPr>
          <w:spacing w:val="-9"/>
        </w:rPr>
        <w:t xml:space="preserve"> </w:t>
      </w:r>
      <w:r w:rsidRPr="00133578">
        <w:rPr>
          <w:spacing w:val="-2"/>
        </w:rPr>
        <w:t>sunscreens</w:t>
      </w:r>
      <w:bookmarkEnd w:id="33"/>
    </w:p>
    <w:p w14:paraId="58E28C09" w14:textId="7ED9E49B" w:rsidR="00133578" w:rsidRPr="00133578" w:rsidRDefault="00133578" w:rsidP="00133578">
      <w:pPr>
        <w:pStyle w:val="BodyText"/>
        <w:spacing w:before="139" w:line="259" w:lineRule="auto"/>
        <w:ind w:left="1" w:right="205"/>
      </w:pPr>
      <w:r w:rsidRPr="00133578">
        <w:t>There is some limited contemporary research indicating that Australians apply, on average, a thickness</w:t>
      </w:r>
      <w:r w:rsidRPr="00133578">
        <w:rPr>
          <w:spacing w:val="-3"/>
        </w:rPr>
        <w:t xml:space="preserve"> </w:t>
      </w:r>
      <w:r w:rsidRPr="00133578">
        <w:t>that</w:t>
      </w:r>
      <w:r w:rsidRPr="00133578">
        <w:rPr>
          <w:spacing w:val="-4"/>
        </w:rPr>
        <w:t xml:space="preserve"> </w:t>
      </w:r>
      <w:r w:rsidRPr="00133578">
        <w:t>was less</w:t>
      </w:r>
      <w:r w:rsidRPr="00133578">
        <w:rPr>
          <w:spacing w:val="-3"/>
        </w:rPr>
        <w:t xml:space="preserve"> </w:t>
      </w:r>
      <w:r w:rsidRPr="00133578">
        <w:t>than</w:t>
      </w:r>
      <w:r w:rsidRPr="00133578">
        <w:rPr>
          <w:spacing w:val="-4"/>
        </w:rPr>
        <w:t xml:space="preserve"> </w:t>
      </w:r>
      <w:r w:rsidRPr="00133578">
        <w:t>the</w:t>
      </w:r>
      <w:r w:rsidRPr="00133578">
        <w:rPr>
          <w:spacing w:val="-2"/>
        </w:rPr>
        <w:t xml:space="preserve"> </w:t>
      </w:r>
      <w:r w:rsidRPr="00133578">
        <w:t>2</w:t>
      </w:r>
      <w:r w:rsidRPr="00133578">
        <w:rPr>
          <w:spacing w:val="-4"/>
        </w:rPr>
        <w:t xml:space="preserve"> </w:t>
      </w:r>
      <w:r w:rsidRPr="00133578">
        <w:t>mg/cm</w:t>
      </w:r>
      <w:r w:rsidRPr="00133578">
        <w:rPr>
          <w:position w:val="6"/>
          <w:sz w:val="13"/>
        </w:rPr>
        <w:t>2</w:t>
      </w:r>
      <w:r w:rsidRPr="00133578">
        <w:rPr>
          <w:spacing w:val="15"/>
          <w:position w:val="6"/>
          <w:sz w:val="13"/>
        </w:rPr>
        <w:t xml:space="preserve"> </w:t>
      </w:r>
      <w:r w:rsidRPr="00133578">
        <w:t>sunscreen</w:t>
      </w:r>
      <w:r w:rsidRPr="00133578">
        <w:rPr>
          <w:spacing w:val="-2"/>
        </w:rPr>
        <w:t xml:space="preserve"> </w:t>
      </w:r>
      <w:r w:rsidRPr="00133578">
        <w:t>needed</w:t>
      </w:r>
      <w:r w:rsidRPr="00133578">
        <w:rPr>
          <w:spacing w:val="-4"/>
        </w:rPr>
        <w:t xml:space="preserve"> </w:t>
      </w:r>
      <w:r w:rsidRPr="00133578">
        <w:t>to</w:t>
      </w:r>
      <w:r w:rsidRPr="00133578">
        <w:rPr>
          <w:spacing w:val="-4"/>
        </w:rPr>
        <w:t xml:space="preserve"> </w:t>
      </w:r>
      <w:r w:rsidRPr="00133578">
        <w:t>achieve</w:t>
      </w:r>
      <w:r w:rsidRPr="00133578">
        <w:rPr>
          <w:spacing w:val="-4"/>
        </w:rPr>
        <w:t xml:space="preserve"> </w:t>
      </w:r>
      <w:r w:rsidRPr="00133578">
        <w:t>the</w:t>
      </w:r>
      <w:r w:rsidRPr="00133578">
        <w:rPr>
          <w:spacing w:val="-2"/>
        </w:rPr>
        <w:t xml:space="preserve"> </w:t>
      </w:r>
      <w:r w:rsidRPr="00133578">
        <w:t>labelled</w:t>
      </w:r>
      <w:r w:rsidRPr="00133578">
        <w:rPr>
          <w:spacing w:val="-2"/>
        </w:rPr>
        <w:t xml:space="preserve"> </w:t>
      </w:r>
      <w:r w:rsidRPr="00133578">
        <w:t>SPF</w:t>
      </w:r>
      <w:r w:rsidRPr="00133578">
        <w:rPr>
          <w:spacing w:val="-3"/>
        </w:rPr>
        <w:t xml:space="preserve"> </w:t>
      </w:r>
      <w:r w:rsidRPr="00133578">
        <w:t>rating.</w:t>
      </w:r>
      <w:r w:rsidRPr="00133578">
        <w:rPr>
          <w:spacing w:val="-4"/>
        </w:rPr>
        <w:t xml:space="preserve"> </w:t>
      </w:r>
      <w:r w:rsidRPr="00133578">
        <w:t xml:space="preserve">The amount of sunscreen used also depends on the formulation and dispenser type, for example roll-on versus pump-pack (Diaz et al. 2012; Neale et al. 2002) and could be influenced by how much the user perceives needs to be applied based on its visual appearance and feel after application. </w:t>
      </w:r>
      <w:r w:rsidRPr="00133578">
        <w:rPr>
          <w:color w:val="232323"/>
        </w:rPr>
        <w:t>While research indicates an approximate average application thickness between 0.5 mg/cm</w:t>
      </w:r>
      <w:r w:rsidRPr="00133578">
        <w:rPr>
          <w:color w:val="232323"/>
          <w:position w:val="6"/>
          <w:sz w:val="13"/>
        </w:rPr>
        <w:t>2</w:t>
      </w:r>
      <w:r w:rsidRPr="00133578">
        <w:rPr>
          <w:color w:val="232323"/>
          <w:spacing w:val="28"/>
          <w:position w:val="6"/>
          <w:sz w:val="13"/>
        </w:rPr>
        <w:t xml:space="preserve"> </w:t>
      </w:r>
      <w:r w:rsidRPr="00133578">
        <w:rPr>
          <w:color w:val="232323"/>
        </w:rPr>
        <w:t>and 0.99 mg/cm</w:t>
      </w:r>
      <w:r w:rsidRPr="00133578">
        <w:rPr>
          <w:color w:val="232323"/>
          <w:position w:val="6"/>
          <w:sz w:val="13"/>
        </w:rPr>
        <w:t xml:space="preserve">2 </w:t>
      </w:r>
      <w:r w:rsidRPr="00133578">
        <w:rPr>
          <w:color w:val="232323"/>
        </w:rPr>
        <w:t>(</w:t>
      </w:r>
      <w:r w:rsidRPr="00133578">
        <w:t>Diaz et al. 2012; Neale et al. 2002</w:t>
      </w:r>
      <w:r w:rsidRPr="00133578">
        <w:rPr>
          <w:color w:val="232323"/>
        </w:rPr>
        <w:t>) and Diaz et al. commented that an application thickness of</w:t>
      </w:r>
      <w:r w:rsidRPr="00133578">
        <w:rPr>
          <w:color w:val="232323"/>
          <w:spacing w:val="-2"/>
        </w:rPr>
        <w:t xml:space="preserve"> </w:t>
      </w:r>
      <w:r w:rsidRPr="00133578">
        <w:rPr>
          <w:color w:val="232323"/>
        </w:rPr>
        <w:t>2 mg/cm</w:t>
      </w:r>
      <w:r w:rsidRPr="00133578">
        <w:rPr>
          <w:color w:val="232323"/>
          <w:position w:val="6"/>
          <w:sz w:val="13"/>
        </w:rPr>
        <w:t>2</w:t>
      </w:r>
      <w:r w:rsidRPr="00133578">
        <w:rPr>
          <w:color w:val="232323"/>
          <w:spacing w:val="20"/>
          <w:position w:val="6"/>
          <w:sz w:val="13"/>
        </w:rPr>
        <w:t xml:space="preserve"> </w:t>
      </w:r>
      <w:r w:rsidRPr="00133578">
        <w:rPr>
          <w:color w:val="232323"/>
        </w:rPr>
        <w:t>in</w:t>
      </w:r>
      <w:r w:rsidRPr="00133578">
        <w:rPr>
          <w:color w:val="232323"/>
          <w:spacing w:val="-2"/>
        </w:rPr>
        <w:t xml:space="preserve"> </w:t>
      </w:r>
      <w:r w:rsidRPr="00133578">
        <w:rPr>
          <w:color w:val="232323"/>
        </w:rPr>
        <w:t>children was infeasible, both</w:t>
      </w:r>
      <w:r w:rsidRPr="00133578">
        <w:rPr>
          <w:color w:val="232323"/>
          <w:spacing w:val="-2"/>
        </w:rPr>
        <w:t xml:space="preserve"> </w:t>
      </w:r>
      <w:r w:rsidRPr="00133578">
        <w:rPr>
          <w:color w:val="232323"/>
        </w:rPr>
        <w:t>studies</w:t>
      </w:r>
      <w:r w:rsidRPr="00133578">
        <w:rPr>
          <w:color w:val="232323"/>
          <w:spacing w:val="-1"/>
        </w:rPr>
        <w:t xml:space="preserve"> </w:t>
      </w:r>
      <w:r w:rsidRPr="00133578">
        <w:rPr>
          <w:color w:val="232323"/>
        </w:rPr>
        <w:t>report</w:t>
      </w:r>
      <w:r w:rsidRPr="00133578">
        <w:rPr>
          <w:color w:val="232323"/>
          <w:spacing w:val="-2"/>
        </w:rPr>
        <w:t xml:space="preserve"> </w:t>
      </w:r>
      <w:r w:rsidRPr="00133578">
        <w:rPr>
          <w:color w:val="232323"/>
        </w:rPr>
        <w:t>that some participants</w:t>
      </w:r>
      <w:r w:rsidRPr="00133578">
        <w:rPr>
          <w:color w:val="232323"/>
          <w:spacing w:val="-1"/>
        </w:rPr>
        <w:t xml:space="preserve"> </w:t>
      </w:r>
      <w:r w:rsidRPr="00133578">
        <w:rPr>
          <w:color w:val="232323"/>
        </w:rPr>
        <w:t>actually</w:t>
      </w:r>
      <w:r w:rsidRPr="00133578">
        <w:rPr>
          <w:color w:val="232323"/>
          <w:spacing w:val="-1"/>
        </w:rPr>
        <w:t xml:space="preserve"> </w:t>
      </w:r>
      <w:r w:rsidRPr="00133578">
        <w:rPr>
          <w:color w:val="232323"/>
        </w:rPr>
        <w:t>applied</w:t>
      </w:r>
      <w:r w:rsidRPr="00133578">
        <w:rPr>
          <w:color w:val="232323"/>
          <w:spacing w:val="-2"/>
        </w:rPr>
        <w:t xml:space="preserve"> </w:t>
      </w:r>
      <w:r w:rsidRPr="00133578">
        <w:rPr>
          <w:color w:val="232323"/>
        </w:rPr>
        <w:t>the correct thickness of 2 mg/cm</w:t>
      </w:r>
      <w:r w:rsidRPr="00133578">
        <w:rPr>
          <w:color w:val="232323"/>
          <w:position w:val="6"/>
          <w:sz w:val="13"/>
        </w:rPr>
        <w:t>2</w:t>
      </w:r>
      <w:r w:rsidRPr="00133578">
        <w:rPr>
          <w:color w:val="232323"/>
          <w:spacing w:val="27"/>
          <w:position w:val="6"/>
          <w:sz w:val="13"/>
        </w:rPr>
        <w:t xml:space="preserve"> </w:t>
      </w:r>
      <w:r w:rsidRPr="00133578">
        <w:rPr>
          <w:color w:val="232323"/>
        </w:rPr>
        <w:t>or more. Further, another Australian study using spectrophotometric analysis estimated an average application thickness of 1.4 mg/cm</w:t>
      </w:r>
      <w:r w:rsidRPr="00133578">
        <w:rPr>
          <w:color w:val="232323"/>
          <w:position w:val="6"/>
          <w:sz w:val="13"/>
        </w:rPr>
        <w:t>2</w:t>
      </w:r>
      <w:r w:rsidRPr="00133578">
        <w:rPr>
          <w:color w:val="232323"/>
        </w:rPr>
        <w:t>, with some participants also meeting the ideal application rate of 2 mg/cm</w:t>
      </w:r>
      <w:r w:rsidRPr="00133578">
        <w:rPr>
          <w:color w:val="232323"/>
          <w:position w:val="6"/>
          <w:sz w:val="13"/>
        </w:rPr>
        <w:t>2</w:t>
      </w:r>
      <w:r w:rsidRPr="00133578">
        <w:rPr>
          <w:color w:val="232323"/>
          <w:spacing w:val="29"/>
          <w:position w:val="6"/>
          <w:sz w:val="13"/>
        </w:rPr>
        <w:t xml:space="preserve"> </w:t>
      </w:r>
      <w:r w:rsidRPr="00133578">
        <w:rPr>
          <w:color w:val="232323"/>
        </w:rPr>
        <w:t>(</w:t>
      </w:r>
      <w:r w:rsidRPr="00133578">
        <w:t>Bauer et al. 2010</w:t>
      </w:r>
      <w:r w:rsidRPr="00133578">
        <w:rPr>
          <w:color w:val="232323"/>
        </w:rPr>
        <w:t>).</w:t>
      </w:r>
    </w:p>
    <w:p w14:paraId="04BFE814" w14:textId="77777777" w:rsidR="0092301D" w:rsidRPr="0092301D" w:rsidRDefault="0092301D" w:rsidP="004813EC">
      <w:pPr>
        <w:pStyle w:val="Heading3"/>
      </w:pPr>
      <w:bookmarkStart w:id="34" w:name="_Toc184730553"/>
      <w:r w:rsidRPr="0092301D">
        <w:t>Correct</w:t>
      </w:r>
      <w:r w:rsidRPr="0092301D">
        <w:rPr>
          <w:spacing w:val="-14"/>
        </w:rPr>
        <w:t xml:space="preserve"> </w:t>
      </w:r>
      <w:r w:rsidRPr="0092301D">
        <w:t>sunscreen</w:t>
      </w:r>
      <w:r w:rsidRPr="0092301D">
        <w:rPr>
          <w:spacing w:val="-12"/>
        </w:rPr>
        <w:t xml:space="preserve"> </w:t>
      </w:r>
      <w:r w:rsidRPr="0092301D">
        <w:rPr>
          <w:spacing w:val="-2"/>
        </w:rPr>
        <w:t>application</w:t>
      </w:r>
      <w:bookmarkEnd w:id="34"/>
    </w:p>
    <w:p w14:paraId="2D7F15C7" w14:textId="422852E9" w:rsidR="0092301D" w:rsidRDefault="0092301D" w:rsidP="0092301D">
      <w:pPr>
        <w:pStyle w:val="BodyText"/>
        <w:spacing w:before="118" w:line="259" w:lineRule="auto"/>
        <w:ind w:left="1" w:right="113"/>
      </w:pPr>
      <w:r w:rsidRPr="0092301D">
        <w:t>The level of protection provided by sunscreens, and therefore the ability to reduce the risk of skin cancer, is determined not only by the labelled sun protection factor (SPF)</w:t>
      </w:r>
      <w:r w:rsidR="005D1392">
        <w:rPr>
          <w:rStyle w:val="FootnoteReference"/>
        </w:rPr>
        <w:footnoteReference w:id="17"/>
      </w:r>
      <w:r w:rsidRPr="0092301D">
        <w:rPr>
          <w:spacing w:val="26"/>
          <w:position w:val="6"/>
          <w:sz w:val="13"/>
        </w:rPr>
        <w:t xml:space="preserve"> </w:t>
      </w:r>
      <w:r w:rsidRPr="0092301D">
        <w:t>rating but also by the amount</w:t>
      </w:r>
      <w:r w:rsidRPr="0092301D">
        <w:rPr>
          <w:spacing w:val="-3"/>
        </w:rPr>
        <w:t xml:space="preserve"> </w:t>
      </w:r>
      <w:r w:rsidRPr="0092301D">
        <w:t>of</w:t>
      </w:r>
      <w:r w:rsidRPr="0092301D">
        <w:rPr>
          <w:spacing w:val="-3"/>
        </w:rPr>
        <w:t xml:space="preserve"> </w:t>
      </w:r>
      <w:r w:rsidRPr="0092301D">
        <w:t>product</w:t>
      </w:r>
      <w:r w:rsidRPr="0092301D">
        <w:rPr>
          <w:spacing w:val="-3"/>
        </w:rPr>
        <w:t xml:space="preserve"> </w:t>
      </w:r>
      <w:r w:rsidRPr="0092301D">
        <w:t>applied</w:t>
      </w:r>
      <w:r w:rsidRPr="0092301D">
        <w:rPr>
          <w:spacing w:val="-1"/>
        </w:rPr>
        <w:t xml:space="preserve"> </w:t>
      </w:r>
      <w:r w:rsidRPr="0092301D">
        <w:t>and</w:t>
      </w:r>
      <w:r w:rsidRPr="0092301D">
        <w:rPr>
          <w:spacing w:val="-1"/>
        </w:rPr>
        <w:t xml:space="preserve"> </w:t>
      </w:r>
      <w:r w:rsidRPr="0092301D">
        <w:t>its</w:t>
      </w:r>
      <w:r w:rsidRPr="0092301D">
        <w:rPr>
          <w:spacing w:val="-2"/>
        </w:rPr>
        <w:t xml:space="preserve"> </w:t>
      </w:r>
      <w:r w:rsidRPr="0092301D">
        <w:t>conditions</w:t>
      </w:r>
      <w:r w:rsidRPr="0092301D">
        <w:rPr>
          <w:spacing w:val="-2"/>
        </w:rPr>
        <w:t xml:space="preserve"> </w:t>
      </w:r>
      <w:r w:rsidRPr="0092301D">
        <w:t>of</w:t>
      </w:r>
      <w:r w:rsidRPr="0092301D">
        <w:rPr>
          <w:spacing w:val="-3"/>
        </w:rPr>
        <w:t xml:space="preserve"> </w:t>
      </w:r>
      <w:r w:rsidRPr="0092301D">
        <w:t>use. As</w:t>
      </w:r>
      <w:r w:rsidRPr="0092301D">
        <w:rPr>
          <w:spacing w:val="-2"/>
        </w:rPr>
        <w:t xml:space="preserve"> </w:t>
      </w:r>
      <w:r w:rsidRPr="0092301D">
        <w:t>such,</w:t>
      </w:r>
      <w:r w:rsidRPr="0092301D">
        <w:rPr>
          <w:spacing w:val="-3"/>
        </w:rPr>
        <w:t xml:space="preserve"> </w:t>
      </w:r>
      <w:r w:rsidRPr="0092301D">
        <w:t>it</w:t>
      </w:r>
      <w:r w:rsidRPr="0092301D">
        <w:rPr>
          <w:spacing w:val="-1"/>
        </w:rPr>
        <w:t xml:space="preserve"> </w:t>
      </w:r>
      <w:r w:rsidRPr="0092301D">
        <w:t>is</w:t>
      </w:r>
      <w:r w:rsidRPr="0092301D">
        <w:rPr>
          <w:spacing w:val="-2"/>
        </w:rPr>
        <w:t xml:space="preserve"> </w:t>
      </w:r>
      <w:r w:rsidRPr="0092301D">
        <w:t>important</w:t>
      </w:r>
      <w:r w:rsidRPr="0092301D">
        <w:rPr>
          <w:spacing w:val="-3"/>
        </w:rPr>
        <w:t xml:space="preserve"> </w:t>
      </w:r>
      <w:r w:rsidRPr="0092301D">
        <w:t>they are</w:t>
      </w:r>
      <w:r w:rsidRPr="0092301D">
        <w:rPr>
          <w:spacing w:val="-3"/>
        </w:rPr>
        <w:t xml:space="preserve"> </w:t>
      </w:r>
      <w:r w:rsidRPr="0092301D">
        <w:t>safe</w:t>
      </w:r>
      <w:r w:rsidRPr="0092301D">
        <w:rPr>
          <w:spacing w:val="-1"/>
        </w:rPr>
        <w:t xml:space="preserve"> </w:t>
      </w:r>
      <w:r w:rsidRPr="0092301D">
        <w:t>and</w:t>
      </w:r>
      <w:r w:rsidRPr="0092301D">
        <w:rPr>
          <w:spacing w:val="-1"/>
        </w:rPr>
        <w:t xml:space="preserve"> </w:t>
      </w:r>
      <w:r w:rsidRPr="0092301D">
        <w:t>effective for</w:t>
      </w:r>
      <w:r w:rsidRPr="0092301D">
        <w:rPr>
          <w:spacing w:val="-4"/>
        </w:rPr>
        <w:t xml:space="preserve"> </w:t>
      </w:r>
      <w:r w:rsidRPr="0092301D">
        <w:t>their</w:t>
      </w:r>
      <w:r w:rsidRPr="0092301D">
        <w:rPr>
          <w:spacing w:val="-4"/>
        </w:rPr>
        <w:t xml:space="preserve"> </w:t>
      </w:r>
      <w:r w:rsidRPr="0092301D">
        <w:t>intended</w:t>
      </w:r>
      <w:r w:rsidRPr="0092301D">
        <w:rPr>
          <w:spacing w:val="-3"/>
        </w:rPr>
        <w:t xml:space="preserve"> </w:t>
      </w:r>
      <w:r w:rsidRPr="0092301D">
        <w:t>uses.</w:t>
      </w:r>
      <w:r w:rsidRPr="0092301D">
        <w:rPr>
          <w:spacing w:val="-5"/>
        </w:rPr>
        <w:t xml:space="preserve"> </w:t>
      </w:r>
      <w:r w:rsidRPr="0092301D">
        <w:t>The</w:t>
      </w:r>
      <w:r w:rsidRPr="0092301D">
        <w:rPr>
          <w:spacing w:val="-3"/>
        </w:rPr>
        <w:t xml:space="preserve"> </w:t>
      </w:r>
      <w:r w:rsidRPr="0092301D">
        <w:t>effectiveness</w:t>
      </w:r>
      <w:r w:rsidRPr="0092301D">
        <w:rPr>
          <w:spacing w:val="-4"/>
        </w:rPr>
        <w:t xml:space="preserve"> </w:t>
      </w:r>
      <w:r w:rsidRPr="0092301D">
        <w:t>is</w:t>
      </w:r>
      <w:r w:rsidRPr="0092301D">
        <w:rPr>
          <w:spacing w:val="-4"/>
        </w:rPr>
        <w:t xml:space="preserve"> </w:t>
      </w:r>
      <w:r w:rsidRPr="0092301D">
        <w:t>significantly</w:t>
      </w:r>
      <w:r w:rsidRPr="0092301D">
        <w:rPr>
          <w:spacing w:val="-3"/>
        </w:rPr>
        <w:t xml:space="preserve"> </w:t>
      </w:r>
      <w:r w:rsidRPr="0092301D">
        <w:t>reduced</w:t>
      </w:r>
      <w:r w:rsidRPr="0092301D">
        <w:rPr>
          <w:spacing w:val="-5"/>
        </w:rPr>
        <w:t xml:space="preserve"> </w:t>
      </w:r>
      <w:r w:rsidRPr="0092301D">
        <w:t>by</w:t>
      </w:r>
      <w:r w:rsidRPr="0092301D">
        <w:rPr>
          <w:spacing w:val="-1"/>
        </w:rPr>
        <w:t xml:space="preserve"> </w:t>
      </w:r>
      <w:r w:rsidRPr="0092301D">
        <w:t>inadequate</w:t>
      </w:r>
      <w:r w:rsidRPr="0092301D">
        <w:rPr>
          <w:spacing w:val="-5"/>
        </w:rPr>
        <w:t xml:space="preserve"> </w:t>
      </w:r>
      <w:r w:rsidRPr="0092301D">
        <w:t>application,</w:t>
      </w:r>
      <w:r w:rsidRPr="0092301D">
        <w:rPr>
          <w:spacing w:val="-3"/>
        </w:rPr>
        <w:t xml:space="preserve"> </w:t>
      </w:r>
      <w:r w:rsidRPr="0092301D">
        <w:t>infrequent reapplication, and loss of product due to sweat, swimming, or friction from clothing or towel drying.</w:t>
      </w:r>
    </w:p>
    <w:p w14:paraId="4401EAEC" w14:textId="3D2C11F3" w:rsidR="0092301D" w:rsidRPr="00B94FE2" w:rsidRDefault="0092301D" w:rsidP="0092301D">
      <w:pPr>
        <w:pStyle w:val="BodyText"/>
        <w:spacing w:before="118" w:line="259" w:lineRule="auto"/>
        <w:ind w:left="1" w:right="113"/>
        <w:rPr>
          <w:vertAlign w:val="superscript"/>
        </w:rPr>
      </w:pPr>
      <w:r w:rsidRPr="0092301D">
        <w:t>Most</w:t>
      </w:r>
      <w:r w:rsidRPr="0092301D">
        <w:rPr>
          <w:spacing w:val="-4"/>
        </w:rPr>
        <w:t xml:space="preserve"> </w:t>
      </w:r>
      <w:r w:rsidRPr="0092301D">
        <w:t>people</w:t>
      </w:r>
      <w:r w:rsidRPr="0092301D">
        <w:rPr>
          <w:spacing w:val="-2"/>
        </w:rPr>
        <w:t xml:space="preserve"> </w:t>
      </w:r>
      <w:r w:rsidRPr="0092301D">
        <w:t>do</w:t>
      </w:r>
      <w:r w:rsidRPr="0092301D">
        <w:rPr>
          <w:spacing w:val="-4"/>
        </w:rPr>
        <w:t xml:space="preserve"> </w:t>
      </w:r>
      <w:r w:rsidRPr="0092301D">
        <w:t>not</w:t>
      </w:r>
      <w:r w:rsidRPr="0092301D">
        <w:rPr>
          <w:spacing w:val="-4"/>
        </w:rPr>
        <w:t xml:space="preserve"> </w:t>
      </w:r>
      <w:r w:rsidRPr="0092301D">
        <w:t>apply</w:t>
      </w:r>
      <w:r w:rsidRPr="0092301D">
        <w:rPr>
          <w:spacing w:val="-3"/>
        </w:rPr>
        <w:t xml:space="preserve"> </w:t>
      </w:r>
      <w:r w:rsidRPr="0092301D">
        <w:t>enough</w:t>
      </w:r>
      <w:r w:rsidRPr="0092301D">
        <w:rPr>
          <w:spacing w:val="-4"/>
        </w:rPr>
        <w:t xml:space="preserve"> </w:t>
      </w:r>
      <w:r w:rsidRPr="0092301D">
        <w:t>sunscreen</w:t>
      </w:r>
      <w:r w:rsidRPr="0092301D">
        <w:rPr>
          <w:spacing w:val="-2"/>
        </w:rPr>
        <w:t xml:space="preserve"> </w:t>
      </w:r>
      <w:r w:rsidRPr="0092301D">
        <w:t>or</w:t>
      </w:r>
      <w:r w:rsidRPr="0092301D">
        <w:rPr>
          <w:spacing w:val="-3"/>
        </w:rPr>
        <w:t xml:space="preserve"> </w:t>
      </w:r>
      <w:r w:rsidRPr="0092301D">
        <w:t>reapply</w:t>
      </w:r>
      <w:r w:rsidRPr="0092301D">
        <w:rPr>
          <w:spacing w:val="-3"/>
        </w:rPr>
        <w:t xml:space="preserve"> </w:t>
      </w:r>
      <w:r w:rsidRPr="0092301D">
        <w:t>frequently</w:t>
      </w:r>
      <w:r w:rsidRPr="0092301D">
        <w:rPr>
          <w:spacing w:val="-3"/>
        </w:rPr>
        <w:t xml:space="preserve"> </w:t>
      </w:r>
      <w:r w:rsidRPr="0092301D">
        <w:t>enough</w:t>
      </w:r>
      <w:r w:rsidRPr="0092301D">
        <w:rPr>
          <w:spacing w:val="-4"/>
        </w:rPr>
        <w:t xml:space="preserve"> </w:t>
      </w:r>
      <w:r w:rsidRPr="0092301D">
        <w:t>which</w:t>
      </w:r>
      <w:r w:rsidRPr="0092301D">
        <w:rPr>
          <w:spacing w:val="-2"/>
        </w:rPr>
        <w:t xml:space="preserve"> </w:t>
      </w:r>
      <w:r w:rsidRPr="0092301D">
        <w:t>can</w:t>
      </w:r>
      <w:r w:rsidRPr="0092301D">
        <w:rPr>
          <w:spacing w:val="-3"/>
        </w:rPr>
        <w:t xml:space="preserve"> </w:t>
      </w:r>
      <w:r w:rsidRPr="0092301D">
        <w:t>result</w:t>
      </w:r>
      <w:r w:rsidRPr="0092301D">
        <w:rPr>
          <w:spacing w:val="-2"/>
        </w:rPr>
        <w:t xml:space="preserve"> </w:t>
      </w:r>
      <w:r w:rsidRPr="0092301D">
        <w:t>in</w:t>
      </w:r>
      <w:r w:rsidRPr="0092301D">
        <w:rPr>
          <w:spacing w:val="-2"/>
        </w:rPr>
        <w:t xml:space="preserve"> </w:t>
      </w:r>
      <w:r w:rsidRPr="0092301D">
        <w:t>an</w:t>
      </w:r>
      <w:r w:rsidRPr="0092301D">
        <w:rPr>
          <w:spacing w:val="-2"/>
        </w:rPr>
        <w:t xml:space="preserve"> </w:t>
      </w:r>
      <w:r w:rsidRPr="0092301D">
        <w:t xml:space="preserve">SPF that is 20-50% less than what is specified on the product label (Diaz et al. 2012; Stokes and Diffey </w:t>
      </w:r>
      <w:r w:rsidRPr="0092301D">
        <w:rPr>
          <w:spacing w:val="-2"/>
        </w:rPr>
        <w:t>1997</w:t>
      </w:r>
      <w:r w:rsidR="00261C5D">
        <w:rPr>
          <w:spacing w:val="-2"/>
        </w:rPr>
        <w:t>)</w:t>
      </w:r>
      <w:r w:rsidRPr="0092301D">
        <w:rPr>
          <w:spacing w:val="-2"/>
        </w:rPr>
        <w:t>.</w:t>
      </w:r>
    </w:p>
    <w:p w14:paraId="189E3215" w14:textId="77777777" w:rsidR="0092301D" w:rsidRPr="0092301D" w:rsidRDefault="0092301D" w:rsidP="00F47305">
      <w:pPr>
        <w:pStyle w:val="Heading4"/>
      </w:pPr>
      <w:bookmarkStart w:id="35" w:name="_Current_evidence-based_sunscreen"/>
      <w:bookmarkStart w:id="36" w:name="_Toc184730554"/>
      <w:bookmarkEnd w:id="35"/>
      <w:r w:rsidRPr="0092301D">
        <w:t>Current</w:t>
      </w:r>
      <w:r w:rsidRPr="0092301D">
        <w:rPr>
          <w:spacing w:val="-10"/>
        </w:rPr>
        <w:t xml:space="preserve"> </w:t>
      </w:r>
      <w:r w:rsidRPr="0092301D">
        <w:t>evidence-based</w:t>
      </w:r>
      <w:r w:rsidRPr="0092301D">
        <w:rPr>
          <w:spacing w:val="-10"/>
        </w:rPr>
        <w:t xml:space="preserve"> </w:t>
      </w:r>
      <w:r w:rsidRPr="0092301D">
        <w:t>sunscreen</w:t>
      </w:r>
      <w:r w:rsidRPr="0092301D">
        <w:rPr>
          <w:spacing w:val="-10"/>
        </w:rPr>
        <w:t xml:space="preserve"> </w:t>
      </w:r>
      <w:r w:rsidRPr="0092301D">
        <w:t>use</w:t>
      </w:r>
      <w:r w:rsidRPr="0092301D">
        <w:rPr>
          <w:spacing w:val="-11"/>
        </w:rPr>
        <w:t xml:space="preserve"> </w:t>
      </w:r>
      <w:r w:rsidRPr="0092301D">
        <w:rPr>
          <w:spacing w:val="-2"/>
        </w:rPr>
        <w:t>guidelines</w:t>
      </w:r>
      <w:bookmarkEnd w:id="36"/>
    </w:p>
    <w:p w14:paraId="07F41B03" w14:textId="0A731064" w:rsidR="0092301D" w:rsidRPr="0092301D" w:rsidRDefault="0092301D" w:rsidP="0092301D">
      <w:pPr>
        <w:pStyle w:val="BodyText"/>
        <w:spacing w:before="140" w:line="259" w:lineRule="auto"/>
        <w:ind w:right="205"/>
      </w:pPr>
      <w:r w:rsidRPr="0092301D">
        <w:t>In the 1960s the risks of overexposure to UV</w:t>
      </w:r>
      <w:r w:rsidR="00B034D8">
        <w:t>R</w:t>
      </w:r>
      <w:r w:rsidRPr="0092301D">
        <w:t xml:space="preserve"> were first identified in Australia. Twenty years later,</w:t>
      </w:r>
      <w:r w:rsidRPr="0092301D">
        <w:rPr>
          <w:spacing w:val="-2"/>
        </w:rPr>
        <w:t xml:space="preserve"> </w:t>
      </w:r>
      <w:r w:rsidRPr="0092301D">
        <w:t>the</w:t>
      </w:r>
      <w:r w:rsidRPr="0092301D">
        <w:rPr>
          <w:spacing w:val="-2"/>
        </w:rPr>
        <w:t xml:space="preserve"> </w:t>
      </w:r>
      <w:r w:rsidRPr="0092301D">
        <w:t>iconic</w:t>
      </w:r>
      <w:r w:rsidRPr="0092301D">
        <w:rPr>
          <w:spacing w:val="-3"/>
        </w:rPr>
        <w:t xml:space="preserve"> </w:t>
      </w:r>
      <w:r w:rsidR="00D20E48">
        <w:t>“</w:t>
      </w:r>
      <w:r w:rsidRPr="0092301D">
        <w:t>Slip!</w:t>
      </w:r>
      <w:r w:rsidRPr="0092301D">
        <w:rPr>
          <w:spacing w:val="-2"/>
        </w:rPr>
        <w:t xml:space="preserve"> </w:t>
      </w:r>
      <w:r w:rsidRPr="0092301D">
        <w:t>Slop! Slap!</w:t>
      </w:r>
      <w:r w:rsidR="00D20E48">
        <w:t>”</w:t>
      </w:r>
      <w:r w:rsidRPr="0092301D">
        <w:rPr>
          <w:spacing w:val="-3"/>
        </w:rPr>
        <w:t xml:space="preserve"> </w:t>
      </w:r>
      <w:r w:rsidRPr="0092301D">
        <w:t>campaign</w:t>
      </w:r>
      <w:r w:rsidRPr="0092301D">
        <w:rPr>
          <w:spacing w:val="-4"/>
        </w:rPr>
        <w:t xml:space="preserve"> </w:t>
      </w:r>
      <w:r w:rsidRPr="0092301D">
        <w:t>was</w:t>
      </w:r>
      <w:r w:rsidRPr="0092301D">
        <w:rPr>
          <w:spacing w:val="-3"/>
        </w:rPr>
        <w:t xml:space="preserve"> </w:t>
      </w:r>
      <w:r w:rsidRPr="0092301D">
        <w:t>launched</w:t>
      </w:r>
      <w:r w:rsidRPr="0092301D">
        <w:rPr>
          <w:spacing w:val="-2"/>
        </w:rPr>
        <w:t xml:space="preserve"> </w:t>
      </w:r>
      <w:r w:rsidRPr="0092301D">
        <w:t>in</w:t>
      </w:r>
      <w:r w:rsidRPr="0092301D">
        <w:rPr>
          <w:spacing w:val="-2"/>
        </w:rPr>
        <w:t xml:space="preserve"> </w:t>
      </w:r>
      <w:r w:rsidRPr="0092301D">
        <w:t>1980</w:t>
      </w:r>
      <w:r w:rsidRPr="0092301D">
        <w:rPr>
          <w:spacing w:val="-4"/>
        </w:rPr>
        <w:t xml:space="preserve"> </w:t>
      </w:r>
      <w:r w:rsidRPr="0092301D">
        <w:t>to</w:t>
      </w:r>
      <w:r w:rsidRPr="0092301D">
        <w:rPr>
          <w:spacing w:val="-3"/>
        </w:rPr>
        <w:t xml:space="preserve"> </w:t>
      </w:r>
      <w:r w:rsidRPr="0092301D">
        <w:t>raise</w:t>
      </w:r>
      <w:r w:rsidRPr="0092301D">
        <w:rPr>
          <w:spacing w:val="-2"/>
        </w:rPr>
        <w:t xml:space="preserve"> </w:t>
      </w:r>
      <w:r w:rsidRPr="0092301D">
        <w:t>awareness</w:t>
      </w:r>
      <w:r w:rsidRPr="0092301D">
        <w:rPr>
          <w:spacing w:val="-3"/>
        </w:rPr>
        <w:t xml:space="preserve"> </w:t>
      </w:r>
      <w:r w:rsidRPr="0092301D">
        <w:t>of</w:t>
      </w:r>
      <w:r w:rsidRPr="0092301D">
        <w:rPr>
          <w:spacing w:val="-4"/>
        </w:rPr>
        <w:t xml:space="preserve"> </w:t>
      </w:r>
      <w:r w:rsidRPr="0092301D">
        <w:t>the</w:t>
      </w:r>
      <w:r w:rsidRPr="0092301D">
        <w:rPr>
          <w:spacing w:val="-4"/>
        </w:rPr>
        <w:t xml:space="preserve"> </w:t>
      </w:r>
      <w:r w:rsidRPr="0092301D">
        <w:t xml:space="preserve">dangers of UV, featuring Sid the Seagull. This campaign is credited with playing a key role in changing sun protection attitudes and behaviour in Australia. In 2007, the messaging was updated to </w:t>
      </w:r>
      <w:r w:rsidR="00D20E48">
        <w:t>“</w:t>
      </w:r>
      <w:r w:rsidRPr="0092301D">
        <w:t>Slip, Slop, Slap, Seek, Slide</w:t>
      </w:r>
      <w:r w:rsidR="00D20E48">
        <w:t>”</w:t>
      </w:r>
      <w:r w:rsidRPr="0092301D">
        <w:t>, with which many Australians are familiar with.</w:t>
      </w:r>
    </w:p>
    <w:p w14:paraId="3ABCEB3A" w14:textId="77777777" w:rsidR="0092301D" w:rsidRPr="0092301D" w:rsidRDefault="0092301D" w:rsidP="0092301D">
      <w:pPr>
        <w:pStyle w:val="BodyText"/>
        <w:spacing w:before="119" w:line="259" w:lineRule="auto"/>
        <w:ind w:right="150"/>
      </w:pPr>
      <w:r w:rsidRPr="0092301D">
        <w:t>The</w:t>
      </w:r>
      <w:r w:rsidRPr="0092301D">
        <w:rPr>
          <w:spacing w:val="-4"/>
        </w:rPr>
        <w:t xml:space="preserve"> </w:t>
      </w:r>
      <w:r w:rsidRPr="0092301D">
        <w:t>Australian</w:t>
      </w:r>
      <w:r w:rsidRPr="0092301D">
        <w:rPr>
          <w:spacing w:val="-2"/>
        </w:rPr>
        <w:t xml:space="preserve"> </w:t>
      </w:r>
      <w:r w:rsidRPr="0092301D">
        <w:t>Government</w:t>
      </w:r>
      <w:r w:rsidRPr="0092301D">
        <w:rPr>
          <w:spacing w:val="-3"/>
        </w:rPr>
        <w:t xml:space="preserve"> </w:t>
      </w:r>
      <w:r w:rsidRPr="0092301D">
        <w:t>has</w:t>
      </w:r>
      <w:r w:rsidRPr="0092301D">
        <w:rPr>
          <w:spacing w:val="-3"/>
        </w:rPr>
        <w:t xml:space="preserve"> </w:t>
      </w:r>
      <w:r w:rsidRPr="0092301D">
        <w:t>delivered</w:t>
      </w:r>
      <w:r w:rsidRPr="0092301D">
        <w:rPr>
          <w:spacing w:val="-4"/>
        </w:rPr>
        <w:t xml:space="preserve"> </w:t>
      </w:r>
      <w:r w:rsidRPr="0092301D">
        <w:t>a</w:t>
      </w:r>
      <w:r w:rsidRPr="0092301D">
        <w:rPr>
          <w:spacing w:val="-2"/>
        </w:rPr>
        <w:t xml:space="preserve"> </w:t>
      </w:r>
      <w:r w:rsidRPr="0092301D">
        <w:t>National</w:t>
      </w:r>
      <w:r w:rsidRPr="0092301D">
        <w:rPr>
          <w:spacing w:val="-3"/>
        </w:rPr>
        <w:t xml:space="preserve"> </w:t>
      </w:r>
      <w:r w:rsidRPr="0092301D">
        <w:t>Skin</w:t>
      </w:r>
      <w:r w:rsidRPr="0092301D">
        <w:rPr>
          <w:spacing w:val="-4"/>
        </w:rPr>
        <w:t xml:space="preserve"> </w:t>
      </w:r>
      <w:r w:rsidRPr="0092301D">
        <w:t>Cancer</w:t>
      </w:r>
      <w:r w:rsidRPr="0092301D">
        <w:rPr>
          <w:spacing w:val="-3"/>
        </w:rPr>
        <w:t xml:space="preserve"> </w:t>
      </w:r>
      <w:r w:rsidRPr="0092301D">
        <w:t>Prevention</w:t>
      </w:r>
      <w:r w:rsidRPr="0092301D">
        <w:rPr>
          <w:spacing w:val="-4"/>
        </w:rPr>
        <w:t xml:space="preserve"> </w:t>
      </w:r>
      <w:r w:rsidRPr="0092301D">
        <w:t>Campaign</w:t>
      </w:r>
      <w:r w:rsidRPr="0092301D">
        <w:rPr>
          <w:spacing w:val="-2"/>
        </w:rPr>
        <w:t xml:space="preserve"> </w:t>
      </w:r>
      <w:r w:rsidRPr="0092301D">
        <w:t>in</w:t>
      </w:r>
      <w:r w:rsidRPr="0092301D">
        <w:rPr>
          <w:spacing w:val="-4"/>
        </w:rPr>
        <w:t xml:space="preserve"> </w:t>
      </w:r>
      <w:r w:rsidRPr="0092301D">
        <w:t>partnership with Cancer Council Australia each summer since 2021-22. State and territory governments also fund skin cancer prevention activities, as do a number of non-government organisations. Funding of $15 million has been provided in the May 2024 Budget for a national skin cancer prevention campaign targeting groups most at risk, including men over 40 and young adults with activity to occur over the 2024-26 summers.</w:t>
      </w:r>
    </w:p>
    <w:p w14:paraId="7C98DF31" w14:textId="744D0872" w:rsidR="0092301D" w:rsidRPr="0092301D" w:rsidRDefault="0092301D" w:rsidP="0092301D">
      <w:pPr>
        <w:pStyle w:val="BodyText"/>
        <w:spacing w:before="117" w:line="259" w:lineRule="auto"/>
        <w:ind w:right="160"/>
      </w:pPr>
      <w:r w:rsidRPr="0092301D">
        <w:t>As the amount of sun protection is based on the amount of sunscreen applied, there is a concerted effort from government, researchers and other organisations through education and campaigns (such as</w:t>
      </w:r>
      <w:r w:rsidRPr="0092301D">
        <w:rPr>
          <w:spacing w:val="-3"/>
        </w:rPr>
        <w:t xml:space="preserve"> </w:t>
      </w:r>
      <w:r w:rsidRPr="0092301D">
        <w:t>the</w:t>
      </w:r>
      <w:r w:rsidRPr="0092301D">
        <w:rPr>
          <w:spacing w:val="-4"/>
        </w:rPr>
        <w:t xml:space="preserve"> </w:t>
      </w:r>
      <w:r w:rsidRPr="0092301D">
        <w:t>Cancer</w:t>
      </w:r>
      <w:r w:rsidRPr="0092301D">
        <w:rPr>
          <w:spacing w:val="-3"/>
        </w:rPr>
        <w:t xml:space="preserve"> </w:t>
      </w:r>
      <w:r w:rsidRPr="0092301D">
        <w:t>Council</w:t>
      </w:r>
      <w:r w:rsidRPr="0092301D">
        <w:rPr>
          <w:spacing w:val="-2"/>
        </w:rPr>
        <w:t xml:space="preserve"> </w:t>
      </w:r>
      <w:r w:rsidRPr="0092301D">
        <w:t>Australia’s</w:t>
      </w:r>
      <w:r w:rsidRPr="0092301D">
        <w:rPr>
          <w:spacing w:val="-3"/>
        </w:rPr>
        <w:t xml:space="preserve"> </w:t>
      </w:r>
      <w:r w:rsidRPr="0092301D">
        <w:t>well-known</w:t>
      </w:r>
      <w:r w:rsidRPr="0092301D">
        <w:rPr>
          <w:spacing w:val="-2"/>
        </w:rPr>
        <w:t xml:space="preserve"> </w:t>
      </w:r>
      <w:r w:rsidRPr="0092301D">
        <w:t>SunSmart</w:t>
      </w:r>
      <w:r w:rsidRPr="0092301D">
        <w:rPr>
          <w:spacing w:val="-4"/>
        </w:rPr>
        <w:t xml:space="preserve"> </w:t>
      </w:r>
      <w:r w:rsidRPr="0092301D">
        <w:t>program</w:t>
      </w:r>
      <w:r w:rsidRPr="0092301D">
        <w:rPr>
          <w:spacing w:val="-2"/>
        </w:rPr>
        <w:t xml:space="preserve"> </w:t>
      </w:r>
      <w:r w:rsidRPr="0092301D">
        <w:t>(Cancer</w:t>
      </w:r>
      <w:r w:rsidRPr="0092301D">
        <w:rPr>
          <w:spacing w:val="-3"/>
        </w:rPr>
        <w:t xml:space="preserve"> </w:t>
      </w:r>
      <w:r w:rsidRPr="0092301D">
        <w:t>Council</w:t>
      </w:r>
      <w:r w:rsidRPr="0092301D">
        <w:rPr>
          <w:spacing w:val="-3"/>
        </w:rPr>
        <w:t xml:space="preserve"> </w:t>
      </w:r>
      <w:r w:rsidRPr="0092301D">
        <w:t>Australia</w:t>
      </w:r>
      <w:r w:rsidRPr="0092301D">
        <w:rPr>
          <w:spacing w:val="-2"/>
        </w:rPr>
        <w:t xml:space="preserve"> </w:t>
      </w:r>
      <w:r w:rsidRPr="0092301D">
        <w:t>n.d.</w:t>
      </w:r>
      <w:r w:rsidRPr="0092301D">
        <w:rPr>
          <w:spacing w:val="-4"/>
        </w:rPr>
        <w:t xml:space="preserve"> </w:t>
      </w:r>
      <w:r w:rsidRPr="0092301D">
        <w:t>-</w:t>
      </w:r>
      <w:r w:rsidRPr="0092301D">
        <w:rPr>
          <w:spacing w:val="-3"/>
        </w:rPr>
        <w:t xml:space="preserve"> </w:t>
      </w:r>
      <w:r w:rsidRPr="0092301D">
        <w:t>a)</w:t>
      </w:r>
      <w:r w:rsidRPr="0092301D">
        <w:rPr>
          <w:spacing w:val="-3"/>
        </w:rPr>
        <w:t xml:space="preserve"> </w:t>
      </w:r>
      <w:r w:rsidRPr="0092301D">
        <w:t>to encourage the correct application of sunscreen. For example, leading Australian organisations, including the Cancer Council Australia (2024a)</w:t>
      </w:r>
      <w:r w:rsidR="00261C5D">
        <w:t xml:space="preserve">, </w:t>
      </w:r>
      <w:r w:rsidRPr="0092301D">
        <w:t>Melanoma Institute Australia (n.d.)</w:t>
      </w:r>
      <w:r w:rsidR="00E01AA1">
        <w:t xml:space="preserve">, </w:t>
      </w:r>
      <w:r w:rsidRPr="0092301D">
        <w:t>Australasian College of Dermatologists (2019)</w:t>
      </w:r>
      <w:r w:rsidR="00E01AA1">
        <w:t xml:space="preserve">, </w:t>
      </w:r>
      <w:r w:rsidRPr="0092301D">
        <w:t>Safe Work Australia (2019)</w:t>
      </w:r>
      <w:r w:rsidR="00E01AA1">
        <w:t xml:space="preserve">, </w:t>
      </w:r>
      <w:r w:rsidRPr="0092301D">
        <w:t>and Surf Life Saving Australia (2006)</w:t>
      </w:r>
      <w:r w:rsidR="00261C5D">
        <w:t xml:space="preserve">, </w:t>
      </w:r>
      <w:r w:rsidRPr="0092301D">
        <w:t>provide evidence-based recommendations on proper sunscreen usage to ensure effective sun protection. Consumers expect sunscreens to be safe for daily use in Australia (Cancer Council Australia 2017).</w:t>
      </w:r>
    </w:p>
    <w:p w14:paraId="0FB753D0" w14:textId="14DDF95A" w:rsidR="0092301D" w:rsidRPr="0092301D" w:rsidRDefault="0092301D" w:rsidP="0092301D">
      <w:pPr>
        <w:pStyle w:val="BodyText"/>
        <w:spacing w:before="119" w:line="259" w:lineRule="auto"/>
        <w:ind w:right="160"/>
      </w:pPr>
      <w:r w:rsidRPr="0092301D">
        <w:t>The Cancer Council Australia (n.d. - b) recommends adults use a teaspoon for the face, neck and ears; a teaspoon for each arm and leg; and a teaspoon each for the front and back of the body. It is also recommended to reapply every 2 hours or after activities that may remove the product, such as swimming,</w:t>
      </w:r>
      <w:r w:rsidRPr="0092301D">
        <w:rPr>
          <w:spacing w:val="-4"/>
        </w:rPr>
        <w:t xml:space="preserve"> </w:t>
      </w:r>
      <w:r w:rsidRPr="0092301D">
        <w:t>sweating</w:t>
      </w:r>
      <w:r w:rsidRPr="0092301D">
        <w:rPr>
          <w:spacing w:val="-4"/>
        </w:rPr>
        <w:t xml:space="preserve"> </w:t>
      </w:r>
      <w:r w:rsidRPr="0092301D">
        <w:t>or</w:t>
      </w:r>
      <w:r w:rsidRPr="0092301D">
        <w:rPr>
          <w:spacing w:val="-3"/>
        </w:rPr>
        <w:t xml:space="preserve"> </w:t>
      </w:r>
      <w:r w:rsidRPr="0092301D">
        <w:t>towel</w:t>
      </w:r>
      <w:r w:rsidRPr="0092301D">
        <w:rPr>
          <w:spacing w:val="-5"/>
        </w:rPr>
        <w:t xml:space="preserve"> </w:t>
      </w:r>
      <w:r w:rsidRPr="0092301D">
        <w:t>drying</w:t>
      </w:r>
      <w:r w:rsidRPr="0092301D">
        <w:rPr>
          <w:spacing w:val="-4"/>
        </w:rPr>
        <w:t xml:space="preserve"> </w:t>
      </w:r>
      <w:r w:rsidRPr="0092301D">
        <w:t>(</w:t>
      </w:r>
      <w:r w:rsidRPr="0092301D">
        <w:rPr>
          <w:color w:val="232323"/>
        </w:rPr>
        <w:t>Cancer</w:t>
      </w:r>
      <w:r w:rsidRPr="0092301D">
        <w:rPr>
          <w:color w:val="232323"/>
          <w:spacing w:val="-3"/>
        </w:rPr>
        <w:t xml:space="preserve"> </w:t>
      </w:r>
      <w:r w:rsidRPr="0092301D">
        <w:rPr>
          <w:color w:val="232323"/>
        </w:rPr>
        <w:t>Council</w:t>
      </w:r>
      <w:r w:rsidRPr="0092301D">
        <w:rPr>
          <w:color w:val="232323"/>
          <w:spacing w:val="-3"/>
        </w:rPr>
        <w:t xml:space="preserve"> </w:t>
      </w:r>
      <w:r w:rsidRPr="0092301D">
        <w:rPr>
          <w:color w:val="232323"/>
        </w:rPr>
        <w:t>Queensland</w:t>
      </w:r>
      <w:r w:rsidRPr="0092301D">
        <w:rPr>
          <w:color w:val="232323"/>
          <w:spacing w:val="-2"/>
        </w:rPr>
        <w:t xml:space="preserve"> </w:t>
      </w:r>
      <w:r w:rsidRPr="0092301D">
        <w:rPr>
          <w:color w:val="232323"/>
        </w:rPr>
        <w:t>n.d.)</w:t>
      </w:r>
      <w:r w:rsidRPr="0092301D">
        <w:t>.</w:t>
      </w:r>
      <w:r w:rsidRPr="0092301D">
        <w:rPr>
          <w:spacing w:val="-4"/>
        </w:rPr>
        <w:t xml:space="preserve"> </w:t>
      </w:r>
      <w:r w:rsidRPr="0092301D">
        <w:t>The</w:t>
      </w:r>
      <w:r w:rsidRPr="0092301D">
        <w:rPr>
          <w:spacing w:val="-2"/>
        </w:rPr>
        <w:t xml:space="preserve"> </w:t>
      </w:r>
      <w:r w:rsidRPr="0092301D">
        <w:t>Cancer</w:t>
      </w:r>
      <w:r w:rsidRPr="0092301D">
        <w:rPr>
          <w:spacing w:val="-3"/>
        </w:rPr>
        <w:t xml:space="preserve"> </w:t>
      </w:r>
      <w:r w:rsidRPr="0092301D">
        <w:t>Council</w:t>
      </w:r>
      <w:r w:rsidRPr="0092301D">
        <w:rPr>
          <w:spacing w:val="-3"/>
        </w:rPr>
        <w:t xml:space="preserve"> </w:t>
      </w:r>
      <w:r w:rsidRPr="0092301D">
        <w:t>Australia does not recommend sunscreen as the only method of protection even if the UV is 3 or above every day of the year and encourage the five forms of sun protection:</w:t>
      </w:r>
    </w:p>
    <w:p w14:paraId="07171387" w14:textId="77777777" w:rsidR="0092301D" w:rsidRPr="00C564D3" w:rsidRDefault="0092301D" w:rsidP="006D28D0">
      <w:pPr>
        <w:pStyle w:val="ListBullet"/>
      </w:pPr>
      <w:r w:rsidRPr="00C564D3">
        <w:t>slipping on sun protective clothing</w:t>
      </w:r>
    </w:p>
    <w:p w14:paraId="1B54E807" w14:textId="77777777" w:rsidR="0092301D" w:rsidRPr="00C564D3" w:rsidRDefault="0092301D" w:rsidP="006D28D0">
      <w:pPr>
        <w:pStyle w:val="ListBullet"/>
      </w:pPr>
      <w:r w:rsidRPr="00C564D3">
        <w:t>slopping on SPF 30 or above broad-spectrum water-resistant sunscreen</w:t>
      </w:r>
    </w:p>
    <w:p w14:paraId="2356210C" w14:textId="77777777" w:rsidR="0092301D" w:rsidRPr="00C564D3" w:rsidRDefault="0092301D" w:rsidP="006D28D0">
      <w:pPr>
        <w:pStyle w:val="ListBullet"/>
      </w:pPr>
      <w:r w:rsidRPr="00C564D3">
        <w:t>slapping on a broad brim hat</w:t>
      </w:r>
    </w:p>
    <w:p w14:paraId="3A3E8E4B" w14:textId="77777777" w:rsidR="0092301D" w:rsidRPr="00C564D3" w:rsidRDefault="0092301D" w:rsidP="006D28D0">
      <w:pPr>
        <w:pStyle w:val="ListBullet"/>
      </w:pPr>
      <w:r w:rsidRPr="00C564D3">
        <w:t>seeking shade when possible</w:t>
      </w:r>
    </w:p>
    <w:p w14:paraId="0CE5B149" w14:textId="77777777" w:rsidR="0092301D" w:rsidRPr="00432555" w:rsidRDefault="0092301D" w:rsidP="006D28D0">
      <w:pPr>
        <w:pStyle w:val="ListBullet"/>
      </w:pPr>
      <w:r w:rsidRPr="00C564D3">
        <w:t>sliding on</w:t>
      </w:r>
      <w:r w:rsidRPr="00D20E48">
        <w:t xml:space="preserve"> sunglasses</w:t>
      </w:r>
      <w:r w:rsidRPr="00432555">
        <w:t>.</w:t>
      </w:r>
    </w:p>
    <w:p w14:paraId="2516D6E0" w14:textId="60D17AC9" w:rsidR="002C0445" w:rsidRPr="0010058F" w:rsidRDefault="0092301D" w:rsidP="002C0445">
      <w:pPr>
        <w:pStyle w:val="BodyText"/>
        <w:spacing w:before="136" w:line="259" w:lineRule="auto"/>
        <w:ind w:right="118"/>
      </w:pPr>
      <w:r w:rsidRPr="0092301D">
        <w:t>In</w:t>
      </w:r>
      <w:r w:rsidRPr="0092301D">
        <w:rPr>
          <w:spacing w:val="-4"/>
        </w:rPr>
        <w:t xml:space="preserve"> </w:t>
      </w:r>
      <w:r w:rsidRPr="0092301D">
        <w:t>the</w:t>
      </w:r>
      <w:r w:rsidRPr="0092301D">
        <w:rPr>
          <w:spacing w:val="-4"/>
        </w:rPr>
        <w:t xml:space="preserve"> </w:t>
      </w:r>
      <w:r w:rsidRPr="0092301D">
        <w:t>2023</w:t>
      </w:r>
      <w:r w:rsidRPr="0092301D">
        <w:rPr>
          <w:spacing w:val="-2"/>
        </w:rPr>
        <w:t xml:space="preserve"> </w:t>
      </w:r>
      <w:r w:rsidRPr="0092301D">
        <w:t>position</w:t>
      </w:r>
      <w:r w:rsidRPr="0092301D">
        <w:rPr>
          <w:spacing w:val="-2"/>
        </w:rPr>
        <w:t xml:space="preserve"> </w:t>
      </w:r>
      <w:r w:rsidRPr="0092301D">
        <w:t>statement</w:t>
      </w:r>
      <w:r w:rsidRPr="0092301D">
        <w:rPr>
          <w:spacing w:val="-4"/>
        </w:rPr>
        <w:t xml:space="preserve"> </w:t>
      </w:r>
      <w:r w:rsidRPr="0092301D">
        <w:t>by Australian</w:t>
      </w:r>
      <w:r w:rsidRPr="0092301D">
        <w:rPr>
          <w:spacing w:val="-2"/>
        </w:rPr>
        <w:t xml:space="preserve"> </w:t>
      </w:r>
      <w:r w:rsidRPr="0092301D">
        <w:t>Skin</w:t>
      </w:r>
      <w:r w:rsidRPr="0092301D">
        <w:rPr>
          <w:spacing w:val="-2"/>
        </w:rPr>
        <w:t xml:space="preserve"> </w:t>
      </w:r>
      <w:r w:rsidRPr="0092301D">
        <w:t>and</w:t>
      </w:r>
      <w:r w:rsidRPr="0092301D">
        <w:rPr>
          <w:spacing w:val="-2"/>
        </w:rPr>
        <w:t xml:space="preserve"> </w:t>
      </w:r>
      <w:r w:rsidRPr="0092301D">
        <w:t>Skin</w:t>
      </w:r>
      <w:r w:rsidRPr="0092301D">
        <w:rPr>
          <w:spacing w:val="-4"/>
        </w:rPr>
        <w:t xml:space="preserve"> </w:t>
      </w:r>
      <w:r w:rsidRPr="0092301D">
        <w:t>Cancer</w:t>
      </w:r>
      <w:r w:rsidRPr="0092301D">
        <w:rPr>
          <w:spacing w:val="-3"/>
        </w:rPr>
        <w:t xml:space="preserve"> </w:t>
      </w:r>
      <w:r w:rsidRPr="0092301D">
        <w:t>Research</w:t>
      </w:r>
      <w:r w:rsidRPr="0092301D">
        <w:rPr>
          <w:spacing w:val="-4"/>
        </w:rPr>
        <w:t xml:space="preserve"> </w:t>
      </w:r>
      <w:r w:rsidRPr="0092301D">
        <w:t>Centre</w:t>
      </w:r>
      <w:r w:rsidRPr="0092301D">
        <w:rPr>
          <w:spacing w:val="-4"/>
        </w:rPr>
        <w:t xml:space="preserve"> </w:t>
      </w:r>
      <w:r w:rsidRPr="0092301D">
        <w:t>(ASSC)</w:t>
      </w:r>
      <w:r w:rsidRPr="0092301D">
        <w:rPr>
          <w:spacing w:val="-3"/>
        </w:rPr>
        <w:t xml:space="preserve"> </w:t>
      </w:r>
      <w:r w:rsidRPr="0092301D">
        <w:t>aimed</w:t>
      </w:r>
      <w:r w:rsidRPr="0092301D">
        <w:rPr>
          <w:spacing w:val="-2"/>
        </w:rPr>
        <w:t xml:space="preserve"> </w:t>
      </w:r>
      <w:r w:rsidRPr="0092301D">
        <w:t>at balancing the risks and benefits of sun exposure, it is recommended that sun protection behaviour should be tailored to the individual’s risk of skin cancer (ASSC 2023). People who are at high risk of skin cancer (i.e. very pale skin and/or olive/pale brown skin but with other risk factors) are advised to adopt</w:t>
      </w:r>
      <w:r w:rsidRPr="0092301D">
        <w:rPr>
          <w:spacing w:val="-3"/>
        </w:rPr>
        <w:t xml:space="preserve"> </w:t>
      </w:r>
      <w:r w:rsidRPr="0092301D">
        <w:t>an</w:t>
      </w:r>
      <w:r w:rsidRPr="0092301D">
        <w:rPr>
          <w:spacing w:val="-1"/>
        </w:rPr>
        <w:t xml:space="preserve"> </w:t>
      </w:r>
      <w:r w:rsidRPr="0092301D">
        <w:t>extremely</w:t>
      </w:r>
      <w:r w:rsidRPr="0092301D">
        <w:rPr>
          <w:spacing w:val="-2"/>
        </w:rPr>
        <w:t xml:space="preserve"> </w:t>
      </w:r>
      <w:r w:rsidRPr="0092301D">
        <w:t>cautious</w:t>
      </w:r>
      <w:r w:rsidRPr="0092301D">
        <w:rPr>
          <w:spacing w:val="-2"/>
        </w:rPr>
        <w:t xml:space="preserve"> </w:t>
      </w:r>
      <w:r w:rsidRPr="0092301D">
        <w:t>approach</w:t>
      </w:r>
      <w:r w:rsidRPr="0092301D">
        <w:rPr>
          <w:spacing w:val="-1"/>
        </w:rPr>
        <w:t xml:space="preserve"> </w:t>
      </w:r>
      <w:r w:rsidRPr="0092301D">
        <w:t>to</w:t>
      </w:r>
      <w:r w:rsidRPr="0092301D">
        <w:rPr>
          <w:spacing w:val="-3"/>
        </w:rPr>
        <w:t xml:space="preserve"> </w:t>
      </w:r>
      <w:r w:rsidRPr="0092301D">
        <w:t>sun</w:t>
      </w:r>
      <w:r w:rsidRPr="0092301D">
        <w:rPr>
          <w:spacing w:val="-3"/>
        </w:rPr>
        <w:t xml:space="preserve"> </w:t>
      </w:r>
      <w:r w:rsidRPr="0092301D">
        <w:t>exposure</w:t>
      </w:r>
      <w:r w:rsidRPr="0092301D">
        <w:rPr>
          <w:spacing w:val="-3"/>
        </w:rPr>
        <w:t xml:space="preserve"> </w:t>
      </w:r>
      <w:r w:rsidRPr="0092301D">
        <w:t>including</w:t>
      </w:r>
      <w:r w:rsidRPr="0092301D">
        <w:rPr>
          <w:spacing w:val="-1"/>
        </w:rPr>
        <w:t xml:space="preserve"> </w:t>
      </w:r>
      <w:r w:rsidRPr="0092301D">
        <w:t>avoiding</w:t>
      </w:r>
      <w:r w:rsidRPr="0092301D">
        <w:rPr>
          <w:spacing w:val="-3"/>
        </w:rPr>
        <w:t xml:space="preserve"> </w:t>
      </w:r>
      <w:r w:rsidRPr="0092301D">
        <w:t>time</w:t>
      </w:r>
      <w:r w:rsidRPr="0092301D">
        <w:rPr>
          <w:spacing w:val="-3"/>
        </w:rPr>
        <w:t xml:space="preserve"> </w:t>
      </w:r>
      <w:r w:rsidRPr="0092301D">
        <w:t>outdoors</w:t>
      </w:r>
      <w:r w:rsidRPr="0092301D">
        <w:rPr>
          <w:spacing w:val="-2"/>
        </w:rPr>
        <w:t xml:space="preserve"> </w:t>
      </w:r>
      <w:r w:rsidRPr="0092301D">
        <w:t>when</w:t>
      </w:r>
      <w:r w:rsidRPr="0092301D">
        <w:rPr>
          <w:spacing w:val="-1"/>
        </w:rPr>
        <w:t xml:space="preserve"> </w:t>
      </w:r>
      <w:r w:rsidRPr="0092301D">
        <w:t>the</w:t>
      </w:r>
      <w:r w:rsidRPr="0092301D">
        <w:rPr>
          <w:spacing w:val="-1"/>
        </w:rPr>
        <w:t xml:space="preserve"> </w:t>
      </w:r>
      <w:r w:rsidRPr="0092301D">
        <w:t>UV index is ≥3. On days when the UV index is forecast to reach ≥3, irrespective of the length of time, sunscreen of at least SPF 30 should be used in the mornings as part of the usual daily routine and</w:t>
      </w:r>
      <w:r w:rsidR="002C0445">
        <w:t xml:space="preserve"> </w:t>
      </w:r>
      <w:r w:rsidR="002C0445" w:rsidRPr="0010058F">
        <w:t>applied to all parts of the body not covered by clothing. Sun protection should also be used if these people planned to spend &gt;2 hours (cumulatively across the day) outdoors when the UV index is between</w:t>
      </w:r>
      <w:r w:rsidR="002C0445" w:rsidRPr="0010058F">
        <w:rPr>
          <w:spacing w:val="-2"/>
        </w:rPr>
        <w:t xml:space="preserve"> </w:t>
      </w:r>
      <w:r w:rsidR="002C0445" w:rsidRPr="0010058F">
        <w:t>1</w:t>
      </w:r>
      <w:r w:rsidR="002C0445" w:rsidRPr="0010058F">
        <w:rPr>
          <w:spacing w:val="-4"/>
        </w:rPr>
        <w:t xml:space="preserve"> </w:t>
      </w:r>
      <w:r w:rsidR="002C0445" w:rsidRPr="0010058F">
        <w:t>and</w:t>
      </w:r>
      <w:r w:rsidR="002C0445" w:rsidRPr="0010058F">
        <w:rPr>
          <w:spacing w:val="-4"/>
        </w:rPr>
        <w:t xml:space="preserve"> </w:t>
      </w:r>
      <w:r w:rsidR="002C0445" w:rsidRPr="0010058F">
        <w:t>3,</w:t>
      </w:r>
      <w:r w:rsidR="002C0445" w:rsidRPr="0010058F">
        <w:rPr>
          <w:spacing w:val="-2"/>
        </w:rPr>
        <w:t xml:space="preserve"> </w:t>
      </w:r>
      <w:r w:rsidR="002C0445" w:rsidRPr="0010058F">
        <w:t>and</w:t>
      </w:r>
      <w:r w:rsidR="002C0445" w:rsidRPr="0010058F">
        <w:rPr>
          <w:spacing w:val="-4"/>
        </w:rPr>
        <w:t xml:space="preserve"> </w:t>
      </w:r>
      <w:r w:rsidR="002C0445" w:rsidRPr="0010058F">
        <w:t>outdoor</w:t>
      </w:r>
      <w:r w:rsidR="002C0445" w:rsidRPr="0010058F">
        <w:rPr>
          <w:spacing w:val="-3"/>
        </w:rPr>
        <w:t xml:space="preserve"> </w:t>
      </w:r>
      <w:r w:rsidR="002C0445" w:rsidRPr="0010058F">
        <w:t>workers</w:t>
      </w:r>
      <w:r w:rsidR="002C0445" w:rsidRPr="0010058F">
        <w:rPr>
          <w:spacing w:val="-3"/>
        </w:rPr>
        <w:t xml:space="preserve"> </w:t>
      </w:r>
      <w:r w:rsidR="002C0445" w:rsidRPr="0010058F">
        <w:t>always</w:t>
      </w:r>
      <w:r w:rsidR="002C0445" w:rsidRPr="0010058F">
        <w:rPr>
          <w:spacing w:val="-3"/>
        </w:rPr>
        <w:t xml:space="preserve"> </w:t>
      </w:r>
      <w:r w:rsidR="002C0445" w:rsidRPr="0010058F">
        <w:t>use</w:t>
      </w:r>
      <w:r w:rsidR="002C0445" w:rsidRPr="0010058F">
        <w:rPr>
          <w:spacing w:val="-4"/>
        </w:rPr>
        <w:t xml:space="preserve"> </w:t>
      </w:r>
      <w:r w:rsidR="002C0445" w:rsidRPr="0010058F">
        <w:t>sun</w:t>
      </w:r>
      <w:r w:rsidR="002C0445" w:rsidRPr="0010058F">
        <w:rPr>
          <w:spacing w:val="-4"/>
        </w:rPr>
        <w:t xml:space="preserve"> </w:t>
      </w:r>
      <w:r w:rsidR="002C0445" w:rsidRPr="0010058F">
        <w:t>protection,</w:t>
      </w:r>
      <w:r w:rsidR="002C0445" w:rsidRPr="0010058F">
        <w:rPr>
          <w:spacing w:val="-4"/>
        </w:rPr>
        <w:t xml:space="preserve"> </w:t>
      </w:r>
      <w:r w:rsidR="002C0445" w:rsidRPr="0010058F">
        <w:t>irrespective</w:t>
      </w:r>
      <w:r w:rsidR="002C0445" w:rsidRPr="0010058F">
        <w:rPr>
          <w:spacing w:val="-4"/>
        </w:rPr>
        <w:t xml:space="preserve"> </w:t>
      </w:r>
      <w:r w:rsidR="002C0445" w:rsidRPr="0010058F">
        <w:t>of</w:t>
      </w:r>
      <w:r w:rsidR="002C0445" w:rsidRPr="0010058F">
        <w:rPr>
          <w:spacing w:val="-2"/>
        </w:rPr>
        <w:t xml:space="preserve"> </w:t>
      </w:r>
      <w:r w:rsidR="002C0445" w:rsidRPr="0010058F">
        <w:t>the</w:t>
      </w:r>
      <w:r w:rsidR="002C0445" w:rsidRPr="0010058F">
        <w:rPr>
          <w:spacing w:val="-4"/>
        </w:rPr>
        <w:t xml:space="preserve"> </w:t>
      </w:r>
      <w:r w:rsidR="002C0445" w:rsidRPr="0010058F">
        <w:t>UV</w:t>
      </w:r>
      <w:r w:rsidR="002C0445" w:rsidRPr="0010058F">
        <w:rPr>
          <w:spacing w:val="-2"/>
        </w:rPr>
        <w:t xml:space="preserve"> </w:t>
      </w:r>
      <w:r w:rsidR="002C0445" w:rsidRPr="0010058F">
        <w:t>index</w:t>
      </w:r>
      <w:r w:rsidR="002C0445" w:rsidRPr="0010058F">
        <w:rPr>
          <w:spacing w:val="-2"/>
        </w:rPr>
        <w:t xml:space="preserve"> </w:t>
      </w:r>
      <w:r w:rsidR="002C0445" w:rsidRPr="0010058F">
        <w:t xml:space="preserve">(ASSC </w:t>
      </w:r>
      <w:r w:rsidR="002C0445" w:rsidRPr="0010058F">
        <w:rPr>
          <w:spacing w:val="-2"/>
        </w:rPr>
        <w:t>2023).</w:t>
      </w:r>
    </w:p>
    <w:p w14:paraId="783E1A86" w14:textId="5F604E87" w:rsidR="002C0445" w:rsidRPr="0010058F" w:rsidRDefault="002C0445" w:rsidP="002C0445">
      <w:pPr>
        <w:pStyle w:val="BodyText"/>
        <w:spacing w:before="118" w:line="259" w:lineRule="auto"/>
        <w:ind w:right="150"/>
      </w:pPr>
      <w:r w:rsidRPr="0010058F">
        <w:t>Sunscreen, often viewed as a protective measure for prolonged sun exposure during outdoor activities, but also the last line of UV</w:t>
      </w:r>
      <w:r w:rsidR="00B034D8">
        <w:t>R</w:t>
      </w:r>
      <w:r w:rsidRPr="0010058F">
        <w:t xml:space="preserve"> defence, is equally essential for daily protection against the often-overlooked incidental UV exposure that occurs during everyday tasks such as running errands</w:t>
      </w:r>
      <w:r w:rsidRPr="0010058F">
        <w:rPr>
          <w:spacing w:val="-3"/>
        </w:rPr>
        <w:t xml:space="preserve"> </w:t>
      </w:r>
      <w:r w:rsidRPr="0010058F">
        <w:t>or</w:t>
      </w:r>
      <w:r w:rsidRPr="0010058F">
        <w:rPr>
          <w:spacing w:val="-3"/>
        </w:rPr>
        <w:t xml:space="preserve"> </w:t>
      </w:r>
      <w:r w:rsidRPr="0010058F">
        <w:t>commuting.</w:t>
      </w:r>
      <w:r w:rsidRPr="0010058F">
        <w:rPr>
          <w:spacing w:val="-4"/>
        </w:rPr>
        <w:t xml:space="preserve"> </w:t>
      </w:r>
      <w:r w:rsidRPr="0010058F">
        <w:t>In</w:t>
      </w:r>
      <w:r w:rsidRPr="0010058F">
        <w:rPr>
          <w:spacing w:val="-2"/>
        </w:rPr>
        <w:t xml:space="preserve"> </w:t>
      </w:r>
      <w:r w:rsidRPr="0010058F">
        <w:t>2019,</w:t>
      </w:r>
      <w:r w:rsidRPr="0010058F">
        <w:rPr>
          <w:spacing w:val="-2"/>
        </w:rPr>
        <w:t xml:space="preserve"> </w:t>
      </w:r>
      <w:r w:rsidRPr="0010058F">
        <w:t>an</w:t>
      </w:r>
      <w:r w:rsidRPr="0010058F">
        <w:rPr>
          <w:spacing w:val="-2"/>
        </w:rPr>
        <w:t xml:space="preserve"> </w:t>
      </w:r>
      <w:r w:rsidRPr="0010058F">
        <w:t>Australian</w:t>
      </w:r>
      <w:r w:rsidRPr="0010058F">
        <w:rPr>
          <w:spacing w:val="-4"/>
        </w:rPr>
        <w:t xml:space="preserve"> </w:t>
      </w:r>
      <w:r w:rsidRPr="0010058F">
        <w:t>and</w:t>
      </w:r>
      <w:r w:rsidRPr="0010058F">
        <w:rPr>
          <w:spacing w:val="-4"/>
        </w:rPr>
        <w:t xml:space="preserve"> </w:t>
      </w:r>
      <w:r w:rsidRPr="0010058F">
        <w:t>New</w:t>
      </w:r>
      <w:r w:rsidRPr="0010058F">
        <w:rPr>
          <w:spacing w:val="-4"/>
        </w:rPr>
        <w:t xml:space="preserve"> </w:t>
      </w:r>
      <w:r w:rsidRPr="0010058F">
        <w:t>Zealand</w:t>
      </w:r>
      <w:r w:rsidRPr="0010058F">
        <w:rPr>
          <w:spacing w:val="-4"/>
        </w:rPr>
        <w:t xml:space="preserve"> </w:t>
      </w:r>
      <w:r w:rsidRPr="0010058F">
        <w:t>evidence-based</w:t>
      </w:r>
      <w:r w:rsidRPr="0010058F">
        <w:rPr>
          <w:spacing w:val="-2"/>
        </w:rPr>
        <w:t xml:space="preserve"> </w:t>
      </w:r>
      <w:r w:rsidRPr="0010058F">
        <w:t>consensus</w:t>
      </w:r>
      <w:r w:rsidRPr="0010058F">
        <w:rPr>
          <w:spacing w:val="-3"/>
        </w:rPr>
        <w:t xml:space="preserve"> </w:t>
      </w:r>
      <w:r w:rsidRPr="0010058F">
        <w:t>statement was published recommending routine sunscreen application for adults and children on body parts not covered by clothing when the UV index is predicted to be 3 or above irrespective of their anticipated activities</w:t>
      </w:r>
      <w:r w:rsidRPr="0010058F">
        <w:rPr>
          <w:spacing w:val="-2"/>
        </w:rPr>
        <w:t xml:space="preserve"> </w:t>
      </w:r>
      <w:r w:rsidRPr="0010058F">
        <w:t>(Whiteman</w:t>
      </w:r>
      <w:r w:rsidRPr="0010058F">
        <w:rPr>
          <w:spacing w:val="-3"/>
        </w:rPr>
        <w:t xml:space="preserve"> </w:t>
      </w:r>
      <w:r w:rsidRPr="0010058F">
        <w:t>et</w:t>
      </w:r>
      <w:r w:rsidRPr="0010058F">
        <w:rPr>
          <w:spacing w:val="-1"/>
        </w:rPr>
        <w:t xml:space="preserve"> </w:t>
      </w:r>
      <w:r w:rsidRPr="0010058F">
        <w:t>al.</w:t>
      </w:r>
      <w:r w:rsidRPr="0010058F">
        <w:rPr>
          <w:spacing w:val="-1"/>
        </w:rPr>
        <w:t xml:space="preserve"> </w:t>
      </w:r>
      <w:r w:rsidRPr="0010058F">
        <w:t>2019).</w:t>
      </w:r>
      <w:r w:rsidRPr="0010058F">
        <w:rPr>
          <w:spacing w:val="-3"/>
        </w:rPr>
        <w:t xml:space="preserve"> </w:t>
      </w:r>
      <w:r w:rsidRPr="0010058F">
        <w:t>This</w:t>
      </w:r>
      <w:r w:rsidRPr="0010058F">
        <w:rPr>
          <w:spacing w:val="-2"/>
        </w:rPr>
        <w:t xml:space="preserve"> </w:t>
      </w:r>
      <w:r w:rsidRPr="0010058F">
        <w:t>recommendation</w:t>
      </w:r>
      <w:r w:rsidRPr="0010058F">
        <w:rPr>
          <w:spacing w:val="-1"/>
        </w:rPr>
        <w:t xml:space="preserve"> </w:t>
      </w:r>
      <w:r w:rsidRPr="0010058F">
        <w:t>aims</w:t>
      </w:r>
      <w:r w:rsidRPr="0010058F">
        <w:rPr>
          <w:spacing w:val="-2"/>
        </w:rPr>
        <w:t xml:space="preserve"> </w:t>
      </w:r>
      <w:r w:rsidRPr="0010058F">
        <w:t>to</w:t>
      </w:r>
      <w:r w:rsidRPr="0010058F">
        <w:rPr>
          <w:spacing w:val="-3"/>
        </w:rPr>
        <w:t xml:space="preserve"> </w:t>
      </w:r>
      <w:r w:rsidRPr="0010058F">
        <w:t>reduce</w:t>
      </w:r>
      <w:r w:rsidRPr="0010058F">
        <w:rPr>
          <w:spacing w:val="-3"/>
        </w:rPr>
        <w:t xml:space="preserve"> </w:t>
      </w:r>
      <w:r w:rsidRPr="0010058F">
        <w:t>the</w:t>
      </w:r>
      <w:r w:rsidRPr="0010058F">
        <w:rPr>
          <w:spacing w:val="-3"/>
        </w:rPr>
        <w:t xml:space="preserve"> </w:t>
      </w:r>
      <w:r w:rsidRPr="0010058F">
        <w:t>incidence</w:t>
      </w:r>
      <w:r w:rsidRPr="0010058F">
        <w:rPr>
          <w:spacing w:val="-3"/>
        </w:rPr>
        <w:t xml:space="preserve"> </w:t>
      </w:r>
      <w:r w:rsidRPr="0010058F">
        <w:t>of</w:t>
      </w:r>
      <w:r w:rsidRPr="0010058F">
        <w:rPr>
          <w:spacing w:val="-3"/>
        </w:rPr>
        <w:t xml:space="preserve"> </w:t>
      </w:r>
      <w:r w:rsidRPr="0010058F">
        <w:t>skin</w:t>
      </w:r>
      <w:r w:rsidRPr="0010058F">
        <w:rPr>
          <w:spacing w:val="-3"/>
        </w:rPr>
        <w:t xml:space="preserve"> </w:t>
      </w:r>
      <w:r w:rsidRPr="0010058F">
        <w:t>cancer</w:t>
      </w:r>
      <w:r w:rsidRPr="0010058F">
        <w:rPr>
          <w:spacing w:val="-2"/>
        </w:rPr>
        <w:t xml:space="preserve"> </w:t>
      </w:r>
      <w:r w:rsidRPr="0010058F">
        <w:t>by accounting for incidental UV exposure resulting in cumulative skin damage, such as from everyday activities such as shopping, travelling to work, or household chores.</w:t>
      </w:r>
    </w:p>
    <w:p w14:paraId="083071A4" w14:textId="0CB18543" w:rsidR="002C0445" w:rsidRDefault="002C0445" w:rsidP="002C0445">
      <w:pPr>
        <w:pStyle w:val="BodyText"/>
        <w:spacing w:before="119" w:line="259" w:lineRule="auto"/>
        <w:ind w:right="256"/>
        <w:rPr>
          <w:color w:val="232323"/>
          <w:spacing w:val="-2"/>
        </w:rPr>
      </w:pPr>
      <w:r w:rsidRPr="0010058F">
        <w:t>The</w:t>
      </w:r>
      <w:r w:rsidRPr="0010058F">
        <w:rPr>
          <w:spacing w:val="-1"/>
        </w:rPr>
        <w:t xml:space="preserve"> </w:t>
      </w:r>
      <w:r w:rsidRPr="0010058F">
        <w:t>Australian and</w:t>
      </w:r>
      <w:r w:rsidRPr="0010058F">
        <w:rPr>
          <w:spacing w:val="-1"/>
        </w:rPr>
        <w:t xml:space="preserve"> </w:t>
      </w:r>
      <w:r w:rsidRPr="0010058F">
        <w:t>New Zealand</w:t>
      </w:r>
      <w:r w:rsidRPr="0010058F">
        <w:rPr>
          <w:spacing w:val="-1"/>
        </w:rPr>
        <w:t xml:space="preserve"> </w:t>
      </w:r>
      <w:r w:rsidRPr="0010058F">
        <w:t>evidence-based consensus statement on when</w:t>
      </w:r>
      <w:r w:rsidRPr="0010058F">
        <w:rPr>
          <w:spacing w:val="-1"/>
        </w:rPr>
        <w:t xml:space="preserve"> </w:t>
      </w:r>
      <w:r w:rsidRPr="0010058F">
        <w:t>to</w:t>
      </w:r>
      <w:r w:rsidRPr="0010058F">
        <w:rPr>
          <w:spacing w:val="-1"/>
        </w:rPr>
        <w:t xml:space="preserve"> </w:t>
      </w:r>
      <w:r w:rsidRPr="0010058F">
        <w:t>apply sunscreen is relevant year-round for parts of Australia where the UV index consistently exceeds 3, such as Darwin,</w:t>
      </w:r>
      <w:r w:rsidRPr="0010058F">
        <w:rPr>
          <w:spacing w:val="-2"/>
        </w:rPr>
        <w:t xml:space="preserve"> </w:t>
      </w:r>
      <w:r w:rsidRPr="0010058F">
        <w:t>Brisbane,</w:t>
      </w:r>
      <w:r w:rsidRPr="0010058F">
        <w:rPr>
          <w:spacing w:val="-4"/>
        </w:rPr>
        <w:t xml:space="preserve"> </w:t>
      </w:r>
      <w:r w:rsidRPr="0010058F">
        <w:t>and</w:t>
      </w:r>
      <w:r w:rsidRPr="0010058F">
        <w:rPr>
          <w:spacing w:val="-2"/>
        </w:rPr>
        <w:t xml:space="preserve"> </w:t>
      </w:r>
      <w:r w:rsidRPr="0010058F">
        <w:t>Perth</w:t>
      </w:r>
      <w:r w:rsidRPr="0010058F">
        <w:rPr>
          <w:spacing w:val="-4"/>
        </w:rPr>
        <w:t xml:space="preserve"> </w:t>
      </w:r>
      <w:r w:rsidRPr="00775332">
        <w:t>(</w:t>
      </w:r>
      <w:hyperlink w:anchor="Table3" w:history="1">
        <w:r w:rsidRPr="00775332">
          <w:rPr>
            <w:color w:val="0000FF"/>
            <w:u w:val="single" w:color="0000FF"/>
          </w:rPr>
          <w:t>Table</w:t>
        </w:r>
        <w:r w:rsidR="002868E4" w:rsidRPr="00775332">
          <w:rPr>
            <w:color w:val="0000FF"/>
            <w:u w:val="single" w:color="0000FF"/>
          </w:rPr>
          <w:t xml:space="preserve"> </w:t>
        </w:r>
      </w:hyperlink>
      <w:r w:rsidR="00775332" w:rsidRPr="00775332">
        <w:rPr>
          <w:color w:val="0000FF"/>
          <w:u w:val="single" w:color="0000FF"/>
        </w:rPr>
        <w:t>3</w:t>
      </w:r>
      <w:r w:rsidRPr="00775332">
        <w:t>)</w:t>
      </w:r>
      <w:r w:rsidRPr="0010058F">
        <w:rPr>
          <w:spacing w:val="-1"/>
        </w:rPr>
        <w:t xml:space="preserve"> </w:t>
      </w:r>
      <w:r w:rsidRPr="0010058F">
        <w:t>and</w:t>
      </w:r>
      <w:r w:rsidRPr="0010058F">
        <w:rPr>
          <w:spacing w:val="-2"/>
        </w:rPr>
        <w:t xml:space="preserve"> </w:t>
      </w:r>
      <w:r w:rsidRPr="0010058F">
        <w:t>where</w:t>
      </w:r>
      <w:r w:rsidRPr="0010058F">
        <w:rPr>
          <w:spacing w:val="-4"/>
        </w:rPr>
        <w:t xml:space="preserve"> </w:t>
      </w:r>
      <w:r w:rsidRPr="0010058F">
        <w:t>the</w:t>
      </w:r>
      <w:r w:rsidRPr="0010058F">
        <w:rPr>
          <w:spacing w:val="-2"/>
        </w:rPr>
        <w:t xml:space="preserve"> </w:t>
      </w:r>
      <w:r w:rsidRPr="0010058F">
        <w:t>UV</w:t>
      </w:r>
      <w:r w:rsidRPr="0010058F">
        <w:rPr>
          <w:spacing w:val="-4"/>
        </w:rPr>
        <w:t xml:space="preserve"> </w:t>
      </w:r>
      <w:r w:rsidRPr="0010058F">
        <w:t>index</w:t>
      </w:r>
      <w:r w:rsidRPr="0010058F">
        <w:rPr>
          <w:spacing w:val="-3"/>
        </w:rPr>
        <w:t xml:space="preserve"> </w:t>
      </w:r>
      <w:r w:rsidRPr="0010058F">
        <w:t>reaches</w:t>
      </w:r>
      <w:r w:rsidRPr="0010058F">
        <w:rPr>
          <w:spacing w:val="-3"/>
        </w:rPr>
        <w:t xml:space="preserve"> </w:t>
      </w:r>
      <w:r w:rsidRPr="0010058F">
        <w:t>above</w:t>
      </w:r>
      <w:r w:rsidRPr="0010058F">
        <w:rPr>
          <w:spacing w:val="-2"/>
        </w:rPr>
        <w:t xml:space="preserve"> </w:t>
      </w:r>
      <w:r w:rsidRPr="0010058F">
        <w:t>3</w:t>
      </w:r>
      <w:r w:rsidRPr="0010058F">
        <w:rPr>
          <w:spacing w:val="-1"/>
        </w:rPr>
        <w:t xml:space="preserve"> </w:t>
      </w:r>
      <w:r w:rsidRPr="0010058F">
        <w:t>between</w:t>
      </w:r>
      <w:r w:rsidRPr="0010058F">
        <w:rPr>
          <w:spacing w:val="-2"/>
        </w:rPr>
        <w:t xml:space="preserve"> </w:t>
      </w:r>
      <w:r w:rsidRPr="0010058F">
        <w:t>11</w:t>
      </w:r>
      <w:r w:rsidRPr="0010058F">
        <w:rPr>
          <w:spacing w:val="-4"/>
        </w:rPr>
        <w:t xml:space="preserve"> </w:t>
      </w:r>
      <w:r w:rsidRPr="0010058F">
        <w:t>am</w:t>
      </w:r>
      <w:r w:rsidRPr="0010058F">
        <w:rPr>
          <w:spacing w:val="-4"/>
        </w:rPr>
        <w:t xml:space="preserve"> </w:t>
      </w:r>
      <w:r w:rsidRPr="0010058F">
        <w:t xml:space="preserve">and 1 pm </w:t>
      </w:r>
      <w:r w:rsidRPr="00775332">
        <w:t>(</w:t>
      </w:r>
      <w:hyperlink w:anchor="Figure2" w:history="1">
        <w:r w:rsidRPr="00775332">
          <w:rPr>
            <w:color w:val="0000FF"/>
            <w:u w:val="single" w:color="0000FF"/>
          </w:rPr>
          <w:t>Figure 2</w:t>
        </w:r>
      </w:hyperlink>
      <w:r w:rsidRPr="00775332">
        <w:t>).</w:t>
      </w:r>
      <w:r w:rsidRPr="0010058F">
        <w:t xml:space="preserve"> Darwin for instance has a very high average UV index at solar noon above 8 every month of the year; however, the recommendation may not apply to lower latitudes where the sun is lower in the sky such as Kingston in Tasmania during the 4 months it experiences an average UV index</w:t>
      </w:r>
      <w:r w:rsidRPr="0010058F">
        <w:rPr>
          <w:spacing w:val="-6"/>
        </w:rPr>
        <w:t xml:space="preserve"> </w:t>
      </w:r>
      <w:r w:rsidRPr="0010058F">
        <w:t>below</w:t>
      </w:r>
      <w:r w:rsidRPr="0010058F">
        <w:rPr>
          <w:spacing w:val="-4"/>
        </w:rPr>
        <w:t xml:space="preserve"> </w:t>
      </w:r>
      <w:r w:rsidRPr="0010058F">
        <w:t>3</w:t>
      </w:r>
      <w:r w:rsidRPr="0010058F">
        <w:rPr>
          <w:spacing w:val="-7"/>
        </w:rPr>
        <w:t xml:space="preserve"> </w:t>
      </w:r>
      <w:r w:rsidRPr="0010058F">
        <w:rPr>
          <w:color w:val="232323"/>
        </w:rPr>
        <w:t>(</w:t>
      </w:r>
      <w:r w:rsidRPr="0010058F">
        <w:t>ARPANSA</w:t>
      </w:r>
      <w:r w:rsidRPr="0010058F">
        <w:rPr>
          <w:spacing w:val="-6"/>
        </w:rPr>
        <w:t xml:space="preserve"> </w:t>
      </w:r>
      <w:r w:rsidRPr="0010058F">
        <w:rPr>
          <w:spacing w:val="-2"/>
        </w:rPr>
        <w:t>2024</w:t>
      </w:r>
      <w:r w:rsidRPr="0010058F">
        <w:rPr>
          <w:color w:val="232323"/>
          <w:spacing w:val="-2"/>
        </w:rPr>
        <w:t>).</w:t>
      </w:r>
    </w:p>
    <w:p w14:paraId="458459AD" w14:textId="668404FE" w:rsidR="002C0445" w:rsidRDefault="00EF5316" w:rsidP="005A34C6">
      <w:pPr>
        <w:pStyle w:val="Tabletitle"/>
        <w:spacing w:before="0"/>
      </w:pPr>
      <w:bookmarkStart w:id="37" w:name="Table3"/>
      <w:r w:rsidRPr="004678CE">
        <w:rPr>
          <w:noProof/>
          <w:highlight w:val="lightGray"/>
          <w:lang w:eastAsia="en-AU"/>
        </w:rPr>
        <w:drawing>
          <wp:anchor distT="0" distB="0" distL="0" distR="0" simplePos="0" relativeHeight="251699200" behindDoc="1" locked="0" layoutInCell="1" allowOverlap="1" wp14:anchorId="2BADEC52" wp14:editId="475CF6F6">
            <wp:simplePos x="0" y="0"/>
            <wp:positionH relativeFrom="margin">
              <wp:posOffset>238125</wp:posOffset>
            </wp:positionH>
            <wp:positionV relativeFrom="paragraph">
              <wp:posOffset>376555</wp:posOffset>
            </wp:positionV>
            <wp:extent cx="5118735" cy="3089910"/>
            <wp:effectExtent l="19050" t="19050" r="24765" b="15240"/>
            <wp:wrapTopAndBottom/>
            <wp:docPr id="24" name="Image 24" descr="A screenshot of a calenda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alendar  Description automatically generated "/>
                    <pic:cNvPicPr/>
                  </pic:nvPicPr>
                  <pic:blipFill>
                    <a:blip r:embed="rId25" cstate="print"/>
                    <a:stretch>
                      <a:fillRect/>
                    </a:stretch>
                  </pic:blipFill>
                  <pic:spPr>
                    <a:xfrm>
                      <a:off x="0" y="0"/>
                      <a:ext cx="5118735" cy="308991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10058F">
        <w:t>Table</w:t>
      </w:r>
      <w:r w:rsidRPr="0010058F">
        <w:rPr>
          <w:spacing w:val="-4"/>
        </w:rPr>
        <w:t xml:space="preserve"> </w:t>
      </w:r>
      <w:r>
        <w:t>3</w:t>
      </w:r>
      <w:r w:rsidRPr="0010058F">
        <w:t>:</w:t>
      </w:r>
      <w:r w:rsidRPr="0010058F">
        <w:rPr>
          <w:spacing w:val="-2"/>
        </w:rPr>
        <w:t xml:space="preserve"> </w:t>
      </w:r>
      <w:bookmarkEnd w:id="37"/>
      <w:r w:rsidRPr="0010058F">
        <w:t>Average</w:t>
      </w:r>
      <w:r w:rsidRPr="0010058F">
        <w:rPr>
          <w:spacing w:val="-4"/>
        </w:rPr>
        <w:t xml:space="preserve"> </w:t>
      </w:r>
      <w:r w:rsidRPr="0010058F">
        <w:t>daily</w:t>
      </w:r>
      <w:r w:rsidRPr="0010058F">
        <w:rPr>
          <w:spacing w:val="-3"/>
        </w:rPr>
        <w:t xml:space="preserve"> </w:t>
      </w:r>
      <w:r w:rsidRPr="0010058F">
        <w:t>maximum</w:t>
      </w:r>
      <w:r w:rsidRPr="0010058F">
        <w:rPr>
          <w:spacing w:val="-4"/>
        </w:rPr>
        <w:t xml:space="preserve"> </w:t>
      </w:r>
      <w:r w:rsidRPr="0010058F">
        <w:t>UV</w:t>
      </w:r>
      <w:r w:rsidRPr="0010058F">
        <w:rPr>
          <w:spacing w:val="-4"/>
        </w:rPr>
        <w:t xml:space="preserve"> </w:t>
      </w:r>
      <w:r w:rsidRPr="0010058F">
        <w:t>index</w:t>
      </w:r>
      <w:r w:rsidRPr="0010058F">
        <w:rPr>
          <w:spacing w:val="-3"/>
        </w:rPr>
        <w:t xml:space="preserve"> </w:t>
      </w:r>
      <w:r w:rsidRPr="0010058F">
        <w:t>for</w:t>
      </w:r>
      <w:r w:rsidRPr="0010058F">
        <w:rPr>
          <w:spacing w:val="-3"/>
        </w:rPr>
        <w:t xml:space="preserve"> </w:t>
      </w:r>
      <w:r w:rsidRPr="0010058F">
        <w:t>Australia</w:t>
      </w:r>
      <w:r w:rsidRPr="0010058F">
        <w:rPr>
          <w:spacing w:val="-4"/>
        </w:rPr>
        <w:t xml:space="preserve"> </w:t>
      </w:r>
      <w:r w:rsidRPr="0010058F">
        <w:t>by</w:t>
      </w:r>
      <w:r w:rsidRPr="0010058F">
        <w:rPr>
          <w:spacing w:val="-3"/>
        </w:rPr>
        <w:t xml:space="preserve"> </w:t>
      </w:r>
      <w:r w:rsidRPr="0010058F">
        <w:t>month</w:t>
      </w:r>
      <w:r w:rsidRPr="0010058F">
        <w:rPr>
          <w:spacing w:val="-2"/>
        </w:rPr>
        <w:t xml:space="preserve"> </w:t>
      </w:r>
      <w:r w:rsidRPr="0010058F">
        <w:t>and</w:t>
      </w:r>
      <w:r w:rsidRPr="0010058F">
        <w:rPr>
          <w:spacing w:val="-4"/>
        </w:rPr>
        <w:t xml:space="preserve"> </w:t>
      </w:r>
      <w:r w:rsidRPr="0010058F">
        <w:t>city,</w:t>
      </w:r>
      <w:r w:rsidRPr="0010058F">
        <w:rPr>
          <w:spacing w:val="-4"/>
        </w:rPr>
        <w:t xml:space="preserve"> </w:t>
      </w:r>
      <w:r w:rsidRPr="0010058F">
        <w:t>reproduced</w:t>
      </w:r>
      <w:r w:rsidRPr="0010058F">
        <w:rPr>
          <w:spacing w:val="-4"/>
        </w:rPr>
        <w:t xml:space="preserve"> </w:t>
      </w:r>
      <w:r w:rsidRPr="0010058F">
        <w:t>from Whiteman et al. (2019)</w:t>
      </w:r>
      <w:bookmarkStart w:id="38" w:name="_bookmark18"/>
      <w:bookmarkEnd w:id="38"/>
    </w:p>
    <w:p w14:paraId="01C14A56" w14:textId="7C300D77" w:rsidR="00EF5316" w:rsidRPr="00EF5316" w:rsidRDefault="00EF5316" w:rsidP="00EF5316"/>
    <w:p w14:paraId="6652299B" w14:textId="7D4B1596" w:rsidR="00775332" w:rsidRDefault="00775332" w:rsidP="00775332">
      <w:pPr>
        <w:pStyle w:val="Tabletitle"/>
      </w:pPr>
      <w:bookmarkStart w:id="39" w:name="Figure2"/>
      <w:r>
        <w:t>Figure 2</w:t>
      </w:r>
      <w:bookmarkEnd w:id="39"/>
      <w:r>
        <w:t>: Average annual UV Index for Australia, for 1979-2007 under cloud-free conditions at local noon. These values are also representative of UV Index expected between 11 am and 1 pm local time (12 pm and 2 pm daylight saving time) under clear skies (BOM 2024a).</w:t>
      </w:r>
    </w:p>
    <w:tbl>
      <w:tblPr>
        <w:tblStyle w:val="TableGrid"/>
        <w:tblW w:w="0" w:type="auto"/>
        <w:tblLook w:val="04A0" w:firstRow="1" w:lastRow="0" w:firstColumn="1" w:lastColumn="0" w:noHBand="0" w:noVBand="1"/>
      </w:tblPr>
      <w:tblGrid>
        <w:gridCol w:w="9016"/>
      </w:tblGrid>
      <w:tr w:rsidR="00775332" w14:paraId="56206F4A" w14:textId="77777777" w:rsidTr="00775332">
        <w:tc>
          <w:tcPr>
            <w:tcW w:w="9016" w:type="dxa"/>
            <w:tcBorders>
              <w:top w:val="nil"/>
              <w:left w:val="nil"/>
              <w:bottom w:val="nil"/>
              <w:right w:val="nil"/>
            </w:tcBorders>
          </w:tcPr>
          <w:p w14:paraId="3BDAA1F9" w14:textId="50B7DF61" w:rsidR="00775332" w:rsidRDefault="003B1D44" w:rsidP="00EF5316">
            <w:r w:rsidRPr="004678CE">
              <w:rPr>
                <w:noProof/>
                <w:highlight w:val="lightGray"/>
              </w:rPr>
              <w:drawing>
                <wp:anchor distT="0" distB="0" distL="0" distR="0" simplePos="0" relativeHeight="251688960" behindDoc="1" locked="0" layoutInCell="1" allowOverlap="1" wp14:anchorId="23793FFA" wp14:editId="68B47CFE">
                  <wp:simplePos x="0" y="0"/>
                  <wp:positionH relativeFrom="page">
                    <wp:posOffset>405130</wp:posOffset>
                  </wp:positionH>
                  <wp:positionV relativeFrom="paragraph">
                    <wp:posOffset>19050</wp:posOffset>
                  </wp:positionV>
                  <wp:extent cx="4693285" cy="3105785"/>
                  <wp:effectExtent l="19050" t="19050" r="12065" b="18415"/>
                  <wp:wrapTight wrapText="bothSides">
                    <wp:wrapPolygon edited="0">
                      <wp:start x="-88" y="-132"/>
                      <wp:lineTo x="-88" y="21596"/>
                      <wp:lineTo x="21568" y="21596"/>
                      <wp:lineTo x="21568" y="-132"/>
                      <wp:lineTo x="-88" y="-132"/>
                    </wp:wrapPolygon>
                  </wp:wrapTight>
                  <wp:docPr id="29" name="Image 25" descr="Ultra violet index -   - Annu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Ultra violet index -   - Annual "/>
                          <pic:cNvPicPr/>
                        </pic:nvPicPr>
                        <pic:blipFill>
                          <a:blip r:embed="rId26" cstate="print"/>
                          <a:stretch>
                            <a:fillRect/>
                          </a:stretch>
                        </pic:blipFill>
                        <pic:spPr>
                          <a:xfrm>
                            <a:off x="0" y="0"/>
                            <a:ext cx="4693285" cy="3105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5833714" w14:textId="77777777" w:rsidR="00775332" w:rsidRDefault="00775332" w:rsidP="00EF5316"/>
          <w:p w14:paraId="46ACC15A" w14:textId="77777777" w:rsidR="00775332" w:rsidRDefault="00775332" w:rsidP="00775332">
            <w:pPr>
              <w:ind w:left="720"/>
            </w:pPr>
          </w:p>
          <w:p w14:paraId="62E7C854" w14:textId="77777777" w:rsidR="00775332" w:rsidRDefault="00775332" w:rsidP="00775332">
            <w:pPr>
              <w:ind w:left="720"/>
            </w:pPr>
          </w:p>
          <w:p w14:paraId="3BBB48C7" w14:textId="77777777" w:rsidR="00775332" w:rsidRDefault="00775332" w:rsidP="00775332">
            <w:pPr>
              <w:ind w:left="720"/>
            </w:pPr>
          </w:p>
          <w:p w14:paraId="3205E5BF" w14:textId="77777777" w:rsidR="00775332" w:rsidRDefault="00775332" w:rsidP="00775332">
            <w:pPr>
              <w:ind w:left="720"/>
            </w:pPr>
          </w:p>
          <w:p w14:paraId="1D74FD3E" w14:textId="77777777" w:rsidR="00775332" w:rsidRDefault="00775332" w:rsidP="00775332">
            <w:pPr>
              <w:ind w:left="720"/>
            </w:pPr>
          </w:p>
          <w:p w14:paraId="7CBD0A7D" w14:textId="77777777" w:rsidR="00775332" w:rsidRDefault="00775332" w:rsidP="00775332">
            <w:pPr>
              <w:ind w:left="720"/>
            </w:pPr>
          </w:p>
          <w:p w14:paraId="24024D5A" w14:textId="77777777" w:rsidR="00775332" w:rsidRDefault="00775332" w:rsidP="00775332">
            <w:pPr>
              <w:ind w:left="720"/>
            </w:pPr>
          </w:p>
          <w:p w14:paraId="43838177" w14:textId="77777777" w:rsidR="00775332" w:rsidRDefault="00775332" w:rsidP="00775332">
            <w:pPr>
              <w:ind w:left="720"/>
            </w:pPr>
          </w:p>
          <w:p w14:paraId="5ADA5E24" w14:textId="77777777" w:rsidR="00775332" w:rsidRDefault="00775332" w:rsidP="00775332">
            <w:pPr>
              <w:ind w:left="720"/>
            </w:pPr>
          </w:p>
          <w:p w14:paraId="566B0B32" w14:textId="77777777" w:rsidR="00775332" w:rsidRDefault="00775332" w:rsidP="00775332">
            <w:pPr>
              <w:ind w:left="720"/>
            </w:pPr>
          </w:p>
          <w:p w14:paraId="0D9D082D" w14:textId="77777777" w:rsidR="00775332" w:rsidRDefault="00775332" w:rsidP="00775332">
            <w:pPr>
              <w:ind w:left="720"/>
            </w:pPr>
          </w:p>
          <w:p w14:paraId="6B0207A6" w14:textId="77777777" w:rsidR="00775332" w:rsidRDefault="00775332" w:rsidP="00775332">
            <w:pPr>
              <w:ind w:left="720"/>
            </w:pPr>
          </w:p>
          <w:p w14:paraId="53723125" w14:textId="77777777" w:rsidR="00775332" w:rsidRDefault="00775332" w:rsidP="00775332">
            <w:pPr>
              <w:ind w:left="720"/>
            </w:pPr>
          </w:p>
          <w:p w14:paraId="1048C6EC" w14:textId="77777777" w:rsidR="00775332" w:rsidRDefault="00775332" w:rsidP="00775332">
            <w:pPr>
              <w:ind w:left="720"/>
            </w:pPr>
          </w:p>
          <w:p w14:paraId="2DDEC460" w14:textId="272C0FD8" w:rsidR="00775332" w:rsidRDefault="00775332" w:rsidP="00EF5316"/>
        </w:tc>
      </w:tr>
    </w:tbl>
    <w:p w14:paraId="75806B5D" w14:textId="6A592963" w:rsidR="00894D5E" w:rsidRDefault="00C114BE" w:rsidP="00C114BE">
      <w:pPr>
        <w:pStyle w:val="BodyText"/>
        <w:spacing w:before="179" w:line="259" w:lineRule="auto"/>
        <w:ind w:right="205"/>
        <w:rPr>
          <w:color w:val="232323"/>
        </w:rPr>
      </w:pPr>
      <w:r w:rsidRPr="00C114BE">
        <w:t xml:space="preserve">Northern regions of Australia are closer to the equator and typically have warmer climates </w:t>
      </w:r>
      <w:r w:rsidRPr="00775332">
        <w:t>(</w:t>
      </w:r>
      <w:hyperlink w:anchor="Figure3" w:history="1">
        <w:r w:rsidRPr="00775332">
          <w:rPr>
            <w:color w:val="0000FF"/>
            <w:u w:val="single" w:color="0000FF"/>
          </w:rPr>
          <w:t>Figure 3</w:t>
        </w:r>
      </w:hyperlink>
      <w:r w:rsidRPr="00775332">
        <w:t>) that</w:t>
      </w:r>
      <w:r w:rsidRPr="00C114BE">
        <w:t xml:space="preserve"> encourage lighter clothing and increased time outdoors. With last year ranking as Australia's equal eighth-warmest on record (BOM 2024b), and the projected trend towards warmer climates continuing (BOM 2024c), sunscreen will continue to be an important sun protection measure in the future.</w:t>
      </w:r>
      <w:r w:rsidRPr="00C114BE">
        <w:rPr>
          <w:spacing w:val="-4"/>
        </w:rPr>
        <w:t xml:space="preserve"> </w:t>
      </w:r>
      <w:r w:rsidRPr="00C114BE">
        <w:rPr>
          <w:color w:val="232323"/>
        </w:rPr>
        <w:t>This</w:t>
      </w:r>
      <w:r w:rsidRPr="00C114BE">
        <w:rPr>
          <w:color w:val="232323"/>
          <w:spacing w:val="-3"/>
        </w:rPr>
        <w:t xml:space="preserve"> </w:t>
      </w:r>
      <w:r w:rsidRPr="00C114BE">
        <w:rPr>
          <w:color w:val="232323"/>
        </w:rPr>
        <w:t>geographical</w:t>
      </w:r>
      <w:r w:rsidRPr="00C114BE">
        <w:rPr>
          <w:color w:val="232323"/>
          <w:spacing w:val="-5"/>
        </w:rPr>
        <w:t xml:space="preserve"> </w:t>
      </w:r>
      <w:r w:rsidRPr="00C114BE">
        <w:rPr>
          <w:color w:val="232323"/>
        </w:rPr>
        <w:t>variance</w:t>
      </w:r>
      <w:r w:rsidRPr="00C114BE">
        <w:rPr>
          <w:color w:val="232323"/>
          <w:spacing w:val="-3"/>
        </w:rPr>
        <w:t xml:space="preserve"> </w:t>
      </w:r>
      <w:r w:rsidRPr="00C114BE">
        <w:rPr>
          <w:color w:val="232323"/>
        </w:rPr>
        <w:t>in</w:t>
      </w:r>
      <w:r w:rsidRPr="00C114BE">
        <w:rPr>
          <w:color w:val="232323"/>
          <w:spacing w:val="-3"/>
        </w:rPr>
        <w:t xml:space="preserve"> </w:t>
      </w:r>
      <w:r w:rsidRPr="00C114BE">
        <w:rPr>
          <w:color w:val="232323"/>
        </w:rPr>
        <w:t>UV</w:t>
      </w:r>
      <w:r w:rsidRPr="00C114BE">
        <w:rPr>
          <w:color w:val="232323"/>
          <w:spacing w:val="-3"/>
        </w:rPr>
        <w:t xml:space="preserve"> </w:t>
      </w:r>
      <w:r w:rsidRPr="00C114BE">
        <w:rPr>
          <w:color w:val="232323"/>
        </w:rPr>
        <w:t>exposure</w:t>
      </w:r>
      <w:r w:rsidRPr="00C114BE">
        <w:rPr>
          <w:color w:val="232323"/>
          <w:spacing w:val="-3"/>
        </w:rPr>
        <w:t xml:space="preserve"> </w:t>
      </w:r>
      <w:r w:rsidRPr="00C114BE">
        <w:rPr>
          <w:color w:val="232323"/>
        </w:rPr>
        <w:t>and</w:t>
      </w:r>
      <w:r w:rsidRPr="00C114BE">
        <w:rPr>
          <w:color w:val="232323"/>
          <w:spacing w:val="-4"/>
        </w:rPr>
        <w:t xml:space="preserve"> </w:t>
      </w:r>
      <w:r w:rsidRPr="00C114BE">
        <w:rPr>
          <w:color w:val="232323"/>
        </w:rPr>
        <w:t>climate</w:t>
      </w:r>
      <w:r w:rsidRPr="00C114BE">
        <w:rPr>
          <w:color w:val="232323"/>
          <w:spacing w:val="-3"/>
        </w:rPr>
        <w:t xml:space="preserve"> </w:t>
      </w:r>
      <w:r w:rsidRPr="00C114BE">
        <w:rPr>
          <w:color w:val="232323"/>
        </w:rPr>
        <w:t>conditions</w:t>
      </w:r>
      <w:r w:rsidRPr="00C114BE">
        <w:rPr>
          <w:color w:val="232323"/>
          <w:spacing w:val="-3"/>
        </w:rPr>
        <w:t xml:space="preserve"> </w:t>
      </w:r>
      <w:r w:rsidRPr="00C114BE">
        <w:rPr>
          <w:color w:val="232323"/>
        </w:rPr>
        <w:t>highlights</w:t>
      </w:r>
      <w:r w:rsidRPr="00C114BE">
        <w:rPr>
          <w:color w:val="232323"/>
          <w:spacing w:val="-3"/>
        </w:rPr>
        <w:t xml:space="preserve"> </w:t>
      </w:r>
      <w:r w:rsidRPr="00C114BE">
        <w:rPr>
          <w:color w:val="232323"/>
        </w:rPr>
        <w:t>the</w:t>
      </w:r>
      <w:r w:rsidRPr="00C114BE">
        <w:rPr>
          <w:color w:val="232323"/>
          <w:spacing w:val="-3"/>
        </w:rPr>
        <w:t xml:space="preserve"> </w:t>
      </w:r>
      <w:r w:rsidRPr="00C114BE">
        <w:rPr>
          <w:color w:val="232323"/>
        </w:rPr>
        <w:t>importance</w:t>
      </w:r>
      <w:r w:rsidRPr="00C114BE">
        <w:rPr>
          <w:color w:val="232323"/>
          <w:spacing w:val="-4"/>
        </w:rPr>
        <w:t xml:space="preserve"> </w:t>
      </w:r>
      <w:r w:rsidRPr="00C114BE">
        <w:rPr>
          <w:color w:val="232323"/>
        </w:rPr>
        <w:t>of a model that ensures adequate protection for all Australians, regardless of their location.</w:t>
      </w:r>
    </w:p>
    <w:p w14:paraId="1F475378" w14:textId="6E24F60B" w:rsidR="00C114BE" w:rsidRPr="00C114BE" w:rsidRDefault="00894D5E" w:rsidP="004813EC">
      <w:pPr>
        <w:pStyle w:val="Tabletitle"/>
      </w:pPr>
      <w:bookmarkStart w:id="40" w:name="_bookmark20"/>
      <w:bookmarkStart w:id="41" w:name="Figure3"/>
      <w:bookmarkEnd w:id="40"/>
      <w:r w:rsidRPr="00C114BE">
        <w:t>Figure</w:t>
      </w:r>
      <w:r w:rsidRPr="00C114BE">
        <w:rPr>
          <w:spacing w:val="-8"/>
        </w:rPr>
        <w:t xml:space="preserve"> </w:t>
      </w:r>
      <w:r w:rsidRPr="00C114BE">
        <w:t>3</w:t>
      </w:r>
      <w:bookmarkEnd w:id="41"/>
      <w:r w:rsidRPr="00C114BE">
        <w:t>:</w:t>
      </w:r>
      <w:r w:rsidRPr="00C114BE">
        <w:rPr>
          <w:spacing w:val="-5"/>
        </w:rPr>
        <w:t xml:space="preserve"> </w:t>
      </w:r>
      <w:r w:rsidRPr="00C114BE">
        <w:t>Average</w:t>
      </w:r>
      <w:r w:rsidRPr="00C114BE">
        <w:rPr>
          <w:spacing w:val="-7"/>
        </w:rPr>
        <w:t xml:space="preserve"> </w:t>
      </w:r>
      <w:r w:rsidRPr="00C114BE">
        <w:t>annual</w:t>
      </w:r>
      <w:r w:rsidRPr="00C114BE">
        <w:rPr>
          <w:spacing w:val="-6"/>
        </w:rPr>
        <w:t xml:space="preserve"> </w:t>
      </w:r>
      <w:r w:rsidRPr="00C114BE">
        <w:t>maximum</w:t>
      </w:r>
      <w:r w:rsidRPr="00C114BE">
        <w:rPr>
          <w:spacing w:val="-7"/>
        </w:rPr>
        <w:t xml:space="preserve"> </w:t>
      </w:r>
      <w:r w:rsidRPr="00C114BE">
        <w:t>temperatures</w:t>
      </w:r>
      <w:r w:rsidRPr="00C114BE">
        <w:rPr>
          <w:spacing w:val="-6"/>
        </w:rPr>
        <w:t xml:space="preserve"> </w:t>
      </w:r>
      <w:r w:rsidRPr="00C114BE">
        <w:t>over</w:t>
      </w:r>
      <w:r w:rsidRPr="00C114BE">
        <w:rPr>
          <w:spacing w:val="-6"/>
        </w:rPr>
        <w:t xml:space="preserve"> </w:t>
      </w:r>
      <w:r w:rsidRPr="00C114BE">
        <w:t>the</w:t>
      </w:r>
      <w:r w:rsidRPr="00C114BE">
        <w:rPr>
          <w:spacing w:val="-5"/>
        </w:rPr>
        <w:t xml:space="preserve"> </w:t>
      </w:r>
      <w:r w:rsidRPr="00C114BE">
        <w:t>period</w:t>
      </w:r>
      <w:r w:rsidRPr="00C114BE">
        <w:rPr>
          <w:spacing w:val="-7"/>
        </w:rPr>
        <w:t xml:space="preserve"> </w:t>
      </w:r>
      <w:r w:rsidRPr="00C114BE">
        <w:t>1991</w:t>
      </w:r>
      <w:r w:rsidRPr="00C114BE">
        <w:rPr>
          <w:spacing w:val="-6"/>
        </w:rPr>
        <w:t xml:space="preserve"> </w:t>
      </w:r>
      <w:r w:rsidRPr="00C114BE">
        <w:t>to</w:t>
      </w:r>
      <w:r w:rsidRPr="00C114BE">
        <w:rPr>
          <w:spacing w:val="-5"/>
        </w:rPr>
        <w:t xml:space="preserve"> </w:t>
      </w:r>
      <w:r w:rsidRPr="00C114BE">
        <w:t>2020</w:t>
      </w:r>
      <w:r w:rsidRPr="00C114BE">
        <w:rPr>
          <w:spacing w:val="-4"/>
        </w:rPr>
        <w:t xml:space="preserve"> </w:t>
      </w:r>
      <w:r w:rsidRPr="00C114BE">
        <w:t>(BOM</w:t>
      </w:r>
      <w:r w:rsidRPr="00C114BE">
        <w:rPr>
          <w:spacing w:val="-7"/>
        </w:rPr>
        <w:t xml:space="preserve"> </w:t>
      </w:r>
      <w:r w:rsidRPr="00C114BE">
        <w:rPr>
          <w:spacing w:val="-2"/>
        </w:rPr>
        <w:t>2024d).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114BE" w14:paraId="1F024B72" w14:textId="77777777" w:rsidTr="00775332">
        <w:tc>
          <w:tcPr>
            <w:tcW w:w="9016" w:type="dxa"/>
          </w:tcPr>
          <w:p w14:paraId="1A4688FF" w14:textId="6214EC1A" w:rsidR="00C114BE" w:rsidRDefault="007B59B9" w:rsidP="006F1022">
            <w:pPr>
              <w:pStyle w:val="BodyText"/>
              <w:spacing w:before="152"/>
              <w:ind w:right="680"/>
            </w:pPr>
            <w:r w:rsidRPr="004678CE">
              <w:rPr>
                <w:noProof/>
                <w:highlight w:val="lightGray"/>
                <w:lang w:val="en-AU"/>
              </w:rPr>
              <w:drawing>
                <wp:anchor distT="0" distB="0" distL="0" distR="0" simplePos="0" relativeHeight="251665408" behindDoc="1" locked="0" layoutInCell="1" allowOverlap="1" wp14:anchorId="57B29176" wp14:editId="23119848">
                  <wp:simplePos x="0" y="0"/>
                  <wp:positionH relativeFrom="page">
                    <wp:posOffset>429260</wp:posOffset>
                  </wp:positionH>
                  <wp:positionV relativeFrom="paragraph">
                    <wp:posOffset>117475</wp:posOffset>
                  </wp:positionV>
                  <wp:extent cx="4869815" cy="3132455"/>
                  <wp:effectExtent l="0" t="0" r="6985" b="0"/>
                  <wp:wrapTopAndBottom/>
                  <wp:docPr id="26" name="Image 26" descr="Temperature  - annual - Maximum temperature - Austral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emperature  - annual - Maximum temperature - Australia "/>
                          <pic:cNvPicPr/>
                        </pic:nvPicPr>
                        <pic:blipFill>
                          <a:blip r:embed="rId27" cstate="print"/>
                          <a:stretch>
                            <a:fillRect/>
                          </a:stretch>
                        </pic:blipFill>
                        <pic:spPr>
                          <a:xfrm>
                            <a:off x="0" y="0"/>
                            <a:ext cx="4869815" cy="3132455"/>
                          </a:xfrm>
                          <a:prstGeom prst="rect">
                            <a:avLst/>
                          </a:prstGeom>
                        </pic:spPr>
                      </pic:pic>
                    </a:graphicData>
                  </a:graphic>
                  <wp14:sizeRelH relativeFrom="margin">
                    <wp14:pctWidth>0</wp14:pctWidth>
                  </wp14:sizeRelH>
                  <wp14:sizeRelV relativeFrom="margin">
                    <wp14:pctHeight>0</wp14:pctHeight>
                  </wp14:sizeRelV>
                </wp:anchor>
              </w:drawing>
            </w:r>
          </w:p>
        </w:tc>
      </w:tr>
    </w:tbl>
    <w:p w14:paraId="1F839221" w14:textId="4B7576FA" w:rsidR="0001038F" w:rsidRPr="0001038F" w:rsidRDefault="0001038F" w:rsidP="00F47305">
      <w:pPr>
        <w:pStyle w:val="Heading4"/>
      </w:pPr>
      <w:bookmarkStart w:id="42" w:name="_How_sunscreens_should"/>
      <w:bookmarkStart w:id="43" w:name="_Toc184730555"/>
      <w:bookmarkEnd w:id="42"/>
      <w:r w:rsidRPr="0001038F">
        <w:t>How</w:t>
      </w:r>
      <w:r w:rsidRPr="0001038F">
        <w:rPr>
          <w:spacing w:val="-7"/>
        </w:rPr>
        <w:t xml:space="preserve"> </w:t>
      </w:r>
      <w:r w:rsidRPr="0001038F">
        <w:t>sunscreens</w:t>
      </w:r>
      <w:r w:rsidRPr="0001038F">
        <w:rPr>
          <w:spacing w:val="-5"/>
        </w:rPr>
        <w:t xml:space="preserve"> </w:t>
      </w:r>
      <w:r w:rsidRPr="0001038F">
        <w:t>should</w:t>
      </w:r>
      <w:r w:rsidRPr="0001038F">
        <w:rPr>
          <w:spacing w:val="-4"/>
        </w:rPr>
        <w:t xml:space="preserve"> </w:t>
      </w:r>
      <w:r w:rsidRPr="0001038F">
        <w:t>be</w:t>
      </w:r>
      <w:r w:rsidRPr="0001038F">
        <w:rPr>
          <w:spacing w:val="-7"/>
        </w:rPr>
        <w:t xml:space="preserve"> </w:t>
      </w:r>
      <w:r w:rsidRPr="0001038F">
        <w:t>used</w:t>
      </w:r>
      <w:r w:rsidRPr="0001038F">
        <w:rPr>
          <w:spacing w:val="-6"/>
        </w:rPr>
        <w:t xml:space="preserve"> </w:t>
      </w:r>
      <w:r w:rsidRPr="0001038F">
        <w:t>to</w:t>
      </w:r>
      <w:r w:rsidRPr="0001038F">
        <w:rPr>
          <w:spacing w:val="-6"/>
        </w:rPr>
        <w:t xml:space="preserve"> </w:t>
      </w:r>
      <w:r w:rsidRPr="0001038F">
        <w:t>achieve</w:t>
      </w:r>
      <w:r w:rsidRPr="0001038F">
        <w:rPr>
          <w:spacing w:val="-7"/>
        </w:rPr>
        <w:t xml:space="preserve"> </w:t>
      </w:r>
      <w:r w:rsidRPr="0001038F">
        <w:t>the</w:t>
      </w:r>
      <w:r w:rsidRPr="0001038F">
        <w:rPr>
          <w:spacing w:val="-7"/>
        </w:rPr>
        <w:t xml:space="preserve"> </w:t>
      </w:r>
      <w:r w:rsidRPr="0001038F">
        <w:t>labelled</w:t>
      </w:r>
      <w:r w:rsidRPr="0001038F">
        <w:rPr>
          <w:spacing w:val="-5"/>
        </w:rPr>
        <w:t xml:space="preserve"> </w:t>
      </w:r>
      <w:r w:rsidRPr="0001038F">
        <w:t>SPF</w:t>
      </w:r>
      <w:r w:rsidRPr="0001038F">
        <w:rPr>
          <w:spacing w:val="-4"/>
        </w:rPr>
        <w:t xml:space="preserve"> </w:t>
      </w:r>
      <w:r w:rsidRPr="0001038F">
        <w:rPr>
          <w:spacing w:val="-2"/>
        </w:rPr>
        <w:t>rating</w:t>
      </w:r>
      <w:bookmarkEnd w:id="43"/>
    </w:p>
    <w:p w14:paraId="1589B1CA" w14:textId="7026B424" w:rsidR="0001038F" w:rsidRPr="0001038F" w:rsidRDefault="0001038F" w:rsidP="0001038F">
      <w:pPr>
        <w:pStyle w:val="BodyText"/>
        <w:spacing w:before="137" w:line="259" w:lineRule="auto"/>
        <w:ind w:right="160"/>
      </w:pPr>
      <w:r w:rsidRPr="0001038F">
        <w:t xml:space="preserve">Therapeutic sunscreens must comply with the requirements of the </w:t>
      </w:r>
      <w:r w:rsidR="005A34C6" w:rsidRPr="009649FC">
        <w:rPr>
          <w:i/>
          <w:iCs/>
        </w:rPr>
        <w:t>Australian/New Zealand Standard: Sunscreen products – Evaluation and classification</w:t>
      </w:r>
      <w:r w:rsidR="005A34C6" w:rsidRPr="009649FC">
        <w:rPr>
          <w:i/>
          <w:iCs/>
          <w:spacing w:val="-3"/>
        </w:rPr>
        <w:t xml:space="preserve"> </w:t>
      </w:r>
      <w:r w:rsidR="005A34C6" w:rsidRPr="009649FC">
        <w:rPr>
          <w:i/>
          <w:iCs/>
        </w:rPr>
        <w:t>(AS/NZS</w:t>
      </w:r>
      <w:r w:rsidR="005A34C6" w:rsidRPr="009649FC">
        <w:rPr>
          <w:i/>
          <w:iCs/>
          <w:spacing w:val="-3"/>
        </w:rPr>
        <w:t xml:space="preserve"> </w:t>
      </w:r>
      <w:r w:rsidR="005A34C6" w:rsidRPr="009649FC">
        <w:rPr>
          <w:i/>
          <w:iCs/>
        </w:rPr>
        <w:t>2604:2021)</w:t>
      </w:r>
      <w:r w:rsidR="005A34C6" w:rsidRPr="009649FC">
        <w:rPr>
          <w:i/>
          <w:iCs/>
          <w:spacing w:val="-4"/>
        </w:rPr>
        <w:t xml:space="preserve"> </w:t>
      </w:r>
      <w:r w:rsidR="005A34C6" w:rsidRPr="009649FC">
        <w:rPr>
          <w:i/>
          <w:iCs/>
        </w:rPr>
        <w:t>(amended)</w:t>
      </w:r>
      <w:r w:rsidR="005A34C6" w:rsidRPr="009649FC">
        <w:rPr>
          <w:i/>
          <w:iCs/>
          <w:spacing w:val="-4"/>
        </w:rPr>
        <w:t xml:space="preserve"> </w:t>
      </w:r>
      <w:r w:rsidR="005A34C6" w:rsidRPr="009649FC">
        <w:rPr>
          <w:i/>
          <w:iCs/>
        </w:rPr>
        <w:t>(the</w:t>
      </w:r>
      <w:r w:rsidR="005A34C6" w:rsidRPr="009649FC">
        <w:rPr>
          <w:i/>
          <w:iCs/>
          <w:spacing w:val="-5"/>
        </w:rPr>
        <w:t xml:space="preserve"> Australian </w:t>
      </w:r>
      <w:r w:rsidR="005A34C6" w:rsidRPr="009649FC">
        <w:rPr>
          <w:i/>
          <w:iCs/>
        </w:rPr>
        <w:t>Sunscreen</w:t>
      </w:r>
      <w:r w:rsidR="005A34C6" w:rsidRPr="009649FC">
        <w:rPr>
          <w:i/>
          <w:iCs/>
          <w:spacing w:val="-5"/>
        </w:rPr>
        <w:t xml:space="preserve"> </w:t>
      </w:r>
      <w:r w:rsidR="005A34C6" w:rsidRPr="009649FC">
        <w:rPr>
          <w:i/>
          <w:iCs/>
        </w:rPr>
        <w:t>Standard</w:t>
      </w:r>
      <w:r w:rsidR="005A34C6" w:rsidRPr="0001038F">
        <w:t>)</w:t>
      </w:r>
      <w:r w:rsidRPr="0001038F">
        <w:t xml:space="preserve">. The </w:t>
      </w:r>
      <w:r w:rsidR="002868E4" w:rsidRPr="009649FC">
        <w:rPr>
          <w:i/>
          <w:iCs/>
          <w:spacing w:val="-5"/>
        </w:rPr>
        <w:t xml:space="preserve">Australian </w:t>
      </w:r>
      <w:r w:rsidRPr="009649FC">
        <w:rPr>
          <w:i/>
          <w:iCs/>
        </w:rPr>
        <w:t>Sunscreen</w:t>
      </w:r>
      <w:r w:rsidRPr="009649FC">
        <w:rPr>
          <w:i/>
          <w:iCs/>
          <w:spacing w:val="-5"/>
        </w:rPr>
        <w:t xml:space="preserve"> </w:t>
      </w:r>
      <w:r w:rsidRPr="009649FC">
        <w:rPr>
          <w:i/>
          <w:iCs/>
        </w:rPr>
        <w:t>Standard</w:t>
      </w:r>
      <w:r w:rsidR="005A34C6">
        <w:t xml:space="preserve"> </w:t>
      </w:r>
      <w:r w:rsidRPr="0001038F">
        <w:t>was</w:t>
      </w:r>
      <w:r w:rsidRPr="0001038F">
        <w:rPr>
          <w:spacing w:val="-1"/>
        </w:rPr>
        <w:t xml:space="preserve"> </w:t>
      </w:r>
      <w:hyperlink r:id="rId28">
        <w:r w:rsidRPr="0001038F">
          <w:rPr>
            <w:color w:val="0000FF"/>
            <w:u w:val="single" w:color="0000FF"/>
          </w:rPr>
          <w:t>adopted</w:t>
        </w:r>
        <w:r w:rsidRPr="0001038F">
          <w:rPr>
            <w:color w:val="0000FF"/>
            <w:spacing w:val="-3"/>
            <w:u w:val="single" w:color="0000FF"/>
          </w:rPr>
          <w:t xml:space="preserve"> </w:t>
        </w:r>
        <w:r w:rsidRPr="0001038F">
          <w:rPr>
            <w:color w:val="0000FF"/>
            <w:u w:val="single" w:color="0000FF"/>
          </w:rPr>
          <w:t>into</w:t>
        </w:r>
        <w:r w:rsidRPr="0001038F">
          <w:rPr>
            <w:color w:val="0000FF"/>
            <w:spacing w:val="-5"/>
            <w:u w:val="single" w:color="0000FF"/>
          </w:rPr>
          <w:t xml:space="preserve"> </w:t>
        </w:r>
        <w:r w:rsidRPr="0001038F">
          <w:rPr>
            <w:color w:val="0000FF"/>
            <w:u w:val="single" w:color="0000FF"/>
          </w:rPr>
          <w:t>therapeutic</w:t>
        </w:r>
      </w:hyperlink>
      <w:r w:rsidRPr="0001038F">
        <w:rPr>
          <w:color w:val="0000FF"/>
        </w:rPr>
        <w:t xml:space="preserve"> </w:t>
      </w:r>
      <w:hyperlink r:id="rId29">
        <w:r w:rsidRPr="0001038F">
          <w:rPr>
            <w:color w:val="0000FF"/>
            <w:u w:val="single" w:color="0000FF"/>
          </w:rPr>
          <w:t>goods legislation</w:t>
        </w:r>
      </w:hyperlink>
      <w:r w:rsidRPr="0001038F">
        <w:rPr>
          <w:color w:val="0000FF"/>
        </w:rPr>
        <w:t xml:space="preserve"> </w:t>
      </w:r>
      <w:r w:rsidR="009649FC">
        <w:t>on</w:t>
      </w:r>
      <w:r w:rsidR="005A34C6">
        <w:t xml:space="preserve"> </w:t>
      </w:r>
      <w:r w:rsidRPr="0001038F">
        <w:t>1 July 2024.</w:t>
      </w:r>
    </w:p>
    <w:p w14:paraId="5E7655E4" w14:textId="32DCBA86" w:rsidR="0001038F" w:rsidRPr="0001038F" w:rsidRDefault="0001038F" w:rsidP="0001038F">
      <w:pPr>
        <w:pStyle w:val="BodyText"/>
        <w:spacing w:before="120" w:line="259" w:lineRule="auto"/>
        <w:ind w:right="118"/>
      </w:pPr>
      <w:r w:rsidRPr="0001038F">
        <w:t xml:space="preserve">The </w:t>
      </w:r>
      <w:r w:rsidR="009649FC">
        <w:t xml:space="preserve">standard </w:t>
      </w:r>
      <w:r w:rsidRPr="0001038F">
        <w:t>acknowledges that in circumstances where the dosage used in the measurement of the SPF (2 mg/cm</w:t>
      </w:r>
      <w:r w:rsidRPr="0001038F">
        <w:rPr>
          <w:position w:val="6"/>
          <w:sz w:val="13"/>
        </w:rPr>
        <w:t>2</w:t>
      </w:r>
      <w:r w:rsidRPr="0001038F">
        <w:t xml:space="preserve">) is not applied, the expected sun protection will not be achieved. This is supported by research that demonstrates reduced application thickness exponentially decreases the SPF (Faurschou and Wulf 2007; Schalka et al. 2009). The </w:t>
      </w:r>
      <w:r w:rsidR="009649FC">
        <w:t xml:space="preserve">standard </w:t>
      </w:r>
      <w:r w:rsidRPr="0001038F">
        <w:t>also requires primary</w:t>
      </w:r>
      <w:r w:rsidRPr="0001038F">
        <w:rPr>
          <w:spacing w:val="-3"/>
        </w:rPr>
        <w:t xml:space="preserve"> </w:t>
      </w:r>
      <w:r w:rsidRPr="0001038F">
        <w:t>sunscreens</w:t>
      </w:r>
      <w:r w:rsidRPr="0001038F">
        <w:rPr>
          <w:spacing w:val="-3"/>
        </w:rPr>
        <w:t xml:space="preserve"> </w:t>
      </w:r>
      <w:r w:rsidRPr="0001038F">
        <w:t>to</w:t>
      </w:r>
      <w:r w:rsidRPr="0001038F">
        <w:rPr>
          <w:spacing w:val="-4"/>
        </w:rPr>
        <w:t xml:space="preserve"> </w:t>
      </w:r>
      <w:r w:rsidRPr="0001038F">
        <w:t>be</w:t>
      </w:r>
      <w:r w:rsidRPr="0001038F">
        <w:rPr>
          <w:spacing w:val="-2"/>
        </w:rPr>
        <w:t xml:space="preserve"> </w:t>
      </w:r>
      <w:r w:rsidRPr="0001038F">
        <w:t>labelled</w:t>
      </w:r>
      <w:r w:rsidRPr="0001038F">
        <w:rPr>
          <w:spacing w:val="-4"/>
        </w:rPr>
        <w:t xml:space="preserve"> </w:t>
      </w:r>
      <w:r w:rsidRPr="0001038F">
        <w:t>with</w:t>
      </w:r>
      <w:r w:rsidRPr="0001038F">
        <w:rPr>
          <w:spacing w:val="-4"/>
        </w:rPr>
        <w:t xml:space="preserve"> </w:t>
      </w:r>
      <w:r w:rsidRPr="0001038F">
        <w:t>clear</w:t>
      </w:r>
      <w:r w:rsidRPr="0001038F">
        <w:rPr>
          <w:spacing w:val="-3"/>
        </w:rPr>
        <w:t xml:space="preserve"> </w:t>
      </w:r>
      <w:r w:rsidRPr="0001038F">
        <w:t>and</w:t>
      </w:r>
      <w:r w:rsidRPr="0001038F">
        <w:rPr>
          <w:spacing w:val="-4"/>
        </w:rPr>
        <w:t xml:space="preserve"> </w:t>
      </w:r>
      <w:r w:rsidRPr="0001038F">
        <w:t>appropriate</w:t>
      </w:r>
      <w:r w:rsidRPr="0001038F">
        <w:rPr>
          <w:spacing w:val="-2"/>
        </w:rPr>
        <w:t xml:space="preserve"> </w:t>
      </w:r>
      <w:r w:rsidRPr="0001038F">
        <w:t>directions</w:t>
      </w:r>
      <w:r w:rsidRPr="0001038F">
        <w:rPr>
          <w:spacing w:val="-3"/>
        </w:rPr>
        <w:t xml:space="preserve"> </w:t>
      </w:r>
      <w:r w:rsidRPr="0001038F">
        <w:t>so</w:t>
      </w:r>
      <w:r w:rsidRPr="0001038F">
        <w:rPr>
          <w:spacing w:val="-4"/>
        </w:rPr>
        <w:t xml:space="preserve"> </w:t>
      </w:r>
      <w:r w:rsidRPr="0001038F">
        <w:t>the</w:t>
      </w:r>
      <w:r w:rsidRPr="0001038F">
        <w:rPr>
          <w:spacing w:val="-1"/>
        </w:rPr>
        <w:t xml:space="preserve"> </w:t>
      </w:r>
      <w:r w:rsidRPr="0001038F">
        <w:t>labelled</w:t>
      </w:r>
      <w:r w:rsidRPr="0001038F">
        <w:rPr>
          <w:spacing w:val="-4"/>
        </w:rPr>
        <w:t xml:space="preserve"> </w:t>
      </w:r>
      <w:r w:rsidRPr="0001038F">
        <w:t>claims will</w:t>
      </w:r>
      <w:r w:rsidRPr="0001038F">
        <w:rPr>
          <w:spacing w:val="-1"/>
        </w:rPr>
        <w:t xml:space="preserve"> </w:t>
      </w:r>
      <w:r w:rsidRPr="0001038F">
        <w:t>be achieved, advising that the instructions should state the product should be applied generously. The SunSmart 2024</w:t>
      </w:r>
      <w:r w:rsidR="00FE12C3">
        <w:rPr>
          <w:rStyle w:val="FootnoteReference"/>
        </w:rPr>
        <w:footnoteReference w:id="18"/>
      </w:r>
      <w:r w:rsidRPr="0001038F">
        <w:t xml:space="preserve"> guidelines </w:t>
      </w:r>
      <w:r w:rsidRPr="0001038F">
        <w:rPr>
          <w:color w:val="232323"/>
        </w:rPr>
        <w:t>also recommend applying more sunscreen than one might think is necessary to achieve adequate application.</w:t>
      </w:r>
    </w:p>
    <w:p w14:paraId="7CC9FEEA" w14:textId="77777777" w:rsidR="0001038F" w:rsidRPr="0001038F" w:rsidRDefault="0001038F" w:rsidP="0001038F">
      <w:pPr>
        <w:spacing w:before="118"/>
        <w:rPr>
          <w:b/>
        </w:rPr>
      </w:pPr>
      <w:r w:rsidRPr="0001038F">
        <w:rPr>
          <w:b/>
          <w:color w:val="232323"/>
        </w:rPr>
        <w:t>Sunscreen</w:t>
      </w:r>
      <w:r w:rsidRPr="0001038F">
        <w:rPr>
          <w:b/>
          <w:color w:val="232323"/>
          <w:spacing w:val="-6"/>
        </w:rPr>
        <w:t xml:space="preserve"> </w:t>
      </w:r>
      <w:r w:rsidRPr="0001038F">
        <w:rPr>
          <w:b/>
          <w:color w:val="232323"/>
        </w:rPr>
        <w:t>for</w:t>
      </w:r>
      <w:r w:rsidRPr="0001038F">
        <w:rPr>
          <w:b/>
          <w:color w:val="232323"/>
          <w:spacing w:val="-5"/>
        </w:rPr>
        <w:t xml:space="preserve"> </w:t>
      </w:r>
      <w:r w:rsidRPr="0001038F">
        <w:rPr>
          <w:b/>
          <w:color w:val="232323"/>
        </w:rPr>
        <w:t>infants</w:t>
      </w:r>
      <w:r w:rsidRPr="0001038F">
        <w:rPr>
          <w:b/>
          <w:color w:val="232323"/>
          <w:spacing w:val="-7"/>
        </w:rPr>
        <w:t xml:space="preserve"> </w:t>
      </w:r>
      <w:r w:rsidRPr="0001038F">
        <w:rPr>
          <w:b/>
          <w:color w:val="232323"/>
        </w:rPr>
        <w:t>(birth</w:t>
      </w:r>
      <w:r w:rsidRPr="0001038F">
        <w:rPr>
          <w:b/>
          <w:color w:val="232323"/>
          <w:spacing w:val="-6"/>
        </w:rPr>
        <w:t xml:space="preserve"> </w:t>
      </w:r>
      <w:r w:rsidRPr="0001038F">
        <w:rPr>
          <w:b/>
          <w:color w:val="232323"/>
        </w:rPr>
        <w:t>to</w:t>
      </w:r>
      <w:r w:rsidRPr="0001038F">
        <w:rPr>
          <w:b/>
          <w:color w:val="232323"/>
          <w:spacing w:val="-5"/>
        </w:rPr>
        <w:t xml:space="preserve"> </w:t>
      </w:r>
      <w:r w:rsidRPr="0001038F">
        <w:rPr>
          <w:b/>
          <w:color w:val="232323"/>
        </w:rPr>
        <w:t>12</w:t>
      </w:r>
      <w:r w:rsidRPr="0001038F">
        <w:rPr>
          <w:b/>
          <w:color w:val="232323"/>
          <w:spacing w:val="-7"/>
        </w:rPr>
        <w:t xml:space="preserve"> </w:t>
      </w:r>
      <w:r w:rsidRPr="0001038F">
        <w:rPr>
          <w:b/>
          <w:color w:val="232323"/>
          <w:spacing w:val="-2"/>
        </w:rPr>
        <w:t>months)</w:t>
      </w:r>
    </w:p>
    <w:p w14:paraId="6C455735" w14:textId="38FDFCF0" w:rsidR="0001038F" w:rsidRPr="0001038F" w:rsidRDefault="0001038F" w:rsidP="0001038F">
      <w:pPr>
        <w:pStyle w:val="BodyText"/>
        <w:spacing w:before="137" w:line="259" w:lineRule="auto"/>
        <w:ind w:right="160"/>
      </w:pPr>
      <w:r w:rsidRPr="0001038F">
        <w:rPr>
          <w:color w:val="232323"/>
        </w:rPr>
        <w:t>Both the Australasian College of Dermatologists and Cancer Council Australia advise that infants under 12 months should not be exposed to direct sunlight when the UV Index is 3 or higher and sunscreen is not recommended for infants under 6 months (</w:t>
      </w:r>
      <w:r w:rsidRPr="0001038F">
        <w:t>Australasian College of Dermatologists 2018</w:t>
      </w:r>
      <w:r w:rsidRPr="0001038F">
        <w:rPr>
          <w:color w:val="232323"/>
          <w:spacing w:val="-3"/>
        </w:rPr>
        <w:t xml:space="preserve"> </w:t>
      </w:r>
      <w:r w:rsidR="003F03CB">
        <w:rPr>
          <w:color w:val="232323"/>
          <w:spacing w:val="-3"/>
        </w:rPr>
        <w:t xml:space="preserve">and </w:t>
      </w:r>
      <w:r w:rsidRPr="0001038F">
        <w:t>Cancer</w:t>
      </w:r>
      <w:r w:rsidRPr="0001038F">
        <w:rPr>
          <w:spacing w:val="-2"/>
        </w:rPr>
        <w:t xml:space="preserve"> </w:t>
      </w:r>
      <w:r w:rsidRPr="0001038F">
        <w:t>Council</w:t>
      </w:r>
      <w:r w:rsidRPr="0001038F">
        <w:rPr>
          <w:spacing w:val="-2"/>
        </w:rPr>
        <w:t xml:space="preserve"> </w:t>
      </w:r>
      <w:r w:rsidRPr="0001038F">
        <w:t>Australia</w:t>
      </w:r>
      <w:r w:rsidRPr="0001038F">
        <w:rPr>
          <w:spacing w:val="-3"/>
        </w:rPr>
        <w:t xml:space="preserve"> </w:t>
      </w:r>
      <w:r w:rsidRPr="0001038F">
        <w:t>2024b</w:t>
      </w:r>
      <w:r w:rsidRPr="0001038F">
        <w:rPr>
          <w:color w:val="232323"/>
        </w:rPr>
        <w:t>)</w:t>
      </w:r>
      <w:r w:rsidR="009649FC">
        <w:rPr>
          <w:color w:val="232323"/>
        </w:rPr>
        <w:t>.</w:t>
      </w:r>
      <w:r w:rsidR="009649FC" w:rsidRPr="009649FC">
        <w:rPr>
          <w:rStyle w:val="FootnoteReference"/>
          <w:color w:val="232323"/>
        </w:rPr>
        <w:t xml:space="preserve"> </w:t>
      </w:r>
      <w:r w:rsidRPr="0001038F">
        <w:rPr>
          <w:color w:val="232323"/>
        </w:rPr>
        <w:t>For</w:t>
      </w:r>
      <w:r w:rsidRPr="0001038F">
        <w:rPr>
          <w:color w:val="232323"/>
          <w:spacing w:val="-2"/>
        </w:rPr>
        <w:t xml:space="preserve"> </w:t>
      </w:r>
      <w:r w:rsidRPr="0001038F">
        <w:rPr>
          <w:color w:val="232323"/>
        </w:rPr>
        <w:t>infants</w:t>
      </w:r>
      <w:r w:rsidRPr="0001038F">
        <w:rPr>
          <w:color w:val="232323"/>
          <w:spacing w:val="-2"/>
        </w:rPr>
        <w:t xml:space="preserve"> </w:t>
      </w:r>
      <w:r w:rsidRPr="0001038F">
        <w:rPr>
          <w:color w:val="232323"/>
        </w:rPr>
        <w:t>over</w:t>
      </w:r>
      <w:r w:rsidRPr="0001038F">
        <w:rPr>
          <w:color w:val="232323"/>
          <w:spacing w:val="-2"/>
        </w:rPr>
        <w:t xml:space="preserve"> </w:t>
      </w:r>
      <w:r w:rsidRPr="0001038F">
        <w:rPr>
          <w:color w:val="232323"/>
        </w:rPr>
        <w:t>6</w:t>
      </w:r>
      <w:r w:rsidRPr="0001038F">
        <w:rPr>
          <w:color w:val="232323"/>
          <w:spacing w:val="-3"/>
        </w:rPr>
        <w:t xml:space="preserve"> </w:t>
      </w:r>
      <w:r w:rsidRPr="0001038F">
        <w:rPr>
          <w:color w:val="232323"/>
        </w:rPr>
        <w:t>months,</w:t>
      </w:r>
      <w:r w:rsidRPr="0001038F">
        <w:rPr>
          <w:color w:val="232323"/>
          <w:spacing w:val="-3"/>
        </w:rPr>
        <w:t xml:space="preserve"> </w:t>
      </w:r>
      <w:r w:rsidRPr="0001038F">
        <w:rPr>
          <w:color w:val="232323"/>
        </w:rPr>
        <w:t>sunscreen</w:t>
      </w:r>
      <w:r w:rsidRPr="0001038F">
        <w:rPr>
          <w:color w:val="232323"/>
          <w:spacing w:val="-3"/>
        </w:rPr>
        <w:t xml:space="preserve"> </w:t>
      </w:r>
      <w:r w:rsidRPr="0001038F">
        <w:rPr>
          <w:color w:val="232323"/>
        </w:rPr>
        <w:t>can</w:t>
      </w:r>
      <w:r w:rsidRPr="0001038F">
        <w:rPr>
          <w:color w:val="232323"/>
          <w:spacing w:val="-1"/>
        </w:rPr>
        <w:t xml:space="preserve"> </w:t>
      </w:r>
      <w:r w:rsidRPr="0001038F">
        <w:rPr>
          <w:color w:val="232323"/>
        </w:rPr>
        <w:t>be</w:t>
      </w:r>
      <w:r w:rsidRPr="0001038F">
        <w:rPr>
          <w:color w:val="232323"/>
          <w:spacing w:val="-3"/>
        </w:rPr>
        <w:t xml:space="preserve"> </w:t>
      </w:r>
      <w:r w:rsidRPr="0001038F">
        <w:rPr>
          <w:color w:val="232323"/>
        </w:rPr>
        <w:t>applied</w:t>
      </w:r>
      <w:r w:rsidRPr="0001038F">
        <w:rPr>
          <w:color w:val="232323"/>
          <w:spacing w:val="-3"/>
        </w:rPr>
        <w:t xml:space="preserve"> </w:t>
      </w:r>
      <w:r w:rsidRPr="0001038F">
        <w:rPr>
          <w:color w:val="232323"/>
        </w:rPr>
        <w:t>to</w:t>
      </w:r>
      <w:r w:rsidRPr="0001038F">
        <w:rPr>
          <w:color w:val="232323"/>
          <w:spacing w:val="-3"/>
        </w:rPr>
        <w:t xml:space="preserve"> </w:t>
      </w:r>
      <w:r w:rsidRPr="0001038F">
        <w:rPr>
          <w:color w:val="232323"/>
        </w:rPr>
        <w:t>small areas of skin not covered by clothing or hats, but it should be considered as the last line of defence after other sun protection measures, including covering as much skin as possible with clothing.</w:t>
      </w:r>
    </w:p>
    <w:p w14:paraId="3B2F845D" w14:textId="77777777" w:rsidR="0001038F" w:rsidRPr="0001038F" w:rsidRDefault="0001038F" w:rsidP="00F47305">
      <w:pPr>
        <w:pStyle w:val="Heading4"/>
      </w:pPr>
      <w:bookmarkStart w:id="44" w:name="_Toc184730556"/>
      <w:r w:rsidRPr="0001038F">
        <w:t>Challenge</w:t>
      </w:r>
      <w:r w:rsidRPr="0001038F">
        <w:rPr>
          <w:spacing w:val="-10"/>
        </w:rPr>
        <w:t xml:space="preserve"> </w:t>
      </w:r>
      <w:r w:rsidRPr="0001038F">
        <w:t>of</w:t>
      </w:r>
      <w:r w:rsidRPr="0001038F">
        <w:rPr>
          <w:spacing w:val="-6"/>
        </w:rPr>
        <w:t xml:space="preserve"> </w:t>
      </w:r>
      <w:r w:rsidRPr="0001038F">
        <w:t>aligning</w:t>
      </w:r>
      <w:r w:rsidRPr="0001038F">
        <w:rPr>
          <w:spacing w:val="-9"/>
        </w:rPr>
        <w:t xml:space="preserve"> </w:t>
      </w:r>
      <w:r w:rsidRPr="0001038F">
        <w:t>recommended</w:t>
      </w:r>
      <w:r w:rsidRPr="0001038F">
        <w:rPr>
          <w:spacing w:val="-8"/>
        </w:rPr>
        <w:t xml:space="preserve"> </w:t>
      </w:r>
      <w:r w:rsidRPr="0001038F">
        <w:t>sunscreen</w:t>
      </w:r>
      <w:r w:rsidRPr="0001038F">
        <w:rPr>
          <w:spacing w:val="-8"/>
        </w:rPr>
        <w:t xml:space="preserve"> </w:t>
      </w:r>
      <w:r w:rsidRPr="0001038F">
        <w:t>application</w:t>
      </w:r>
      <w:r w:rsidRPr="0001038F">
        <w:rPr>
          <w:spacing w:val="-8"/>
        </w:rPr>
        <w:t xml:space="preserve"> </w:t>
      </w:r>
      <w:r w:rsidRPr="0001038F">
        <w:t>with</w:t>
      </w:r>
      <w:r w:rsidRPr="0001038F">
        <w:rPr>
          <w:spacing w:val="-9"/>
        </w:rPr>
        <w:t xml:space="preserve"> </w:t>
      </w:r>
      <w:r w:rsidRPr="0001038F">
        <w:t>the</w:t>
      </w:r>
      <w:r w:rsidRPr="0001038F">
        <w:rPr>
          <w:spacing w:val="-9"/>
        </w:rPr>
        <w:t xml:space="preserve"> </w:t>
      </w:r>
      <w:r w:rsidRPr="0001038F">
        <w:t>risk</w:t>
      </w:r>
      <w:r w:rsidRPr="0001038F">
        <w:rPr>
          <w:spacing w:val="-7"/>
        </w:rPr>
        <w:t xml:space="preserve"> </w:t>
      </w:r>
      <w:r w:rsidRPr="0001038F">
        <w:rPr>
          <w:spacing w:val="-2"/>
        </w:rPr>
        <w:t>assessment</w:t>
      </w:r>
      <w:bookmarkEnd w:id="44"/>
    </w:p>
    <w:p w14:paraId="28F5C438" w14:textId="5A8B6C6E" w:rsidR="0001038F" w:rsidRPr="0001038F" w:rsidRDefault="0001038F" w:rsidP="0001038F">
      <w:pPr>
        <w:pStyle w:val="BodyText"/>
        <w:spacing w:before="138" w:line="259" w:lineRule="auto"/>
        <w:ind w:right="205"/>
      </w:pPr>
      <w:r w:rsidRPr="0001038F">
        <w:t>Reflecting</w:t>
      </w:r>
      <w:r w:rsidRPr="0001038F">
        <w:rPr>
          <w:spacing w:val="-4"/>
        </w:rPr>
        <w:t xml:space="preserve"> </w:t>
      </w:r>
      <w:r w:rsidRPr="0001038F">
        <w:t>on</w:t>
      </w:r>
      <w:r w:rsidRPr="0001038F">
        <w:rPr>
          <w:spacing w:val="-2"/>
        </w:rPr>
        <w:t xml:space="preserve"> </w:t>
      </w:r>
      <w:r w:rsidRPr="0001038F">
        <w:t>the</w:t>
      </w:r>
      <w:r w:rsidRPr="0001038F">
        <w:rPr>
          <w:spacing w:val="-2"/>
        </w:rPr>
        <w:t xml:space="preserve"> </w:t>
      </w:r>
      <w:r w:rsidRPr="0001038F">
        <w:t>complexities</w:t>
      </w:r>
      <w:r w:rsidRPr="0001038F">
        <w:rPr>
          <w:spacing w:val="-3"/>
        </w:rPr>
        <w:t xml:space="preserve"> </w:t>
      </w:r>
      <w:r w:rsidRPr="0001038F">
        <w:t>involved,</w:t>
      </w:r>
      <w:r w:rsidRPr="0001038F">
        <w:rPr>
          <w:spacing w:val="-2"/>
        </w:rPr>
        <w:t xml:space="preserve"> </w:t>
      </w:r>
      <w:r w:rsidRPr="0001038F">
        <w:t>it</w:t>
      </w:r>
      <w:r w:rsidRPr="0001038F">
        <w:rPr>
          <w:spacing w:val="-2"/>
        </w:rPr>
        <w:t xml:space="preserve"> </w:t>
      </w:r>
      <w:r w:rsidRPr="0001038F">
        <w:t>is</w:t>
      </w:r>
      <w:r w:rsidRPr="0001038F">
        <w:rPr>
          <w:spacing w:val="-3"/>
        </w:rPr>
        <w:t xml:space="preserve"> </w:t>
      </w:r>
      <w:r w:rsidRPr="0001038F">
        <w:t>evident</w:t>
      </w:r>
      <w:r w:rsidRPr="0001038F">
        <w:rPr>
          <w:spacing w:val="-4"/>
        </w:rPr>
        <w:t xml:space="preserve"> </w:t>
      </w:r>
      <w:r w:rsidRPr="0001038F">
        <w:t>that</w:t>
      </w:r>
      <w:r w:rsidRPr="0001038F">
        <w:rPr>
          <w:spacing w:val="-4"/>
        </w:rPr>
        <w:t xml:space="preserve"> </w:t>
      </w:r>
      <w:r w:rsidRPr="0001038F">
        <w:t>calculating</w:t>
      </w:r>
      <w:r w:rsidRPr="0001038F">
        <w:rPr>
          <w:spacing w:val="-4"/>
        </w:rPr>
        <w:t xml:space="preserve"> </w:t>
      </w:r>
      <w:r w:rsidRPr="0001038F">
        <w:t>sunscreen</w:t>
      </w:r>
      <w:r w:rsidRPr="0001038F">
        <w:rPr>
          <w:spacing w:val="-4"/>
        </w:rPr>
        <w:t xml:space="preserve"> </w:t>
      </w:r>
      <w:r w:rsidRPr="0001038F">
        <w:t>exposure</w:t>
      </w:r>
      <w:r w:rsidRPr="0001038F">
        <w:rPr>
          <w:spacing w:val="-4"/>
        </w:rPr>
        <w:t xml:space="preserve"> </w:t>
      </w:r>
      <w:r w:rsidRPr="0001038F">
        <w:t>to</w:t>
      </w:r>
      <w:r w:rsidRPr="0001038F">
        <w:rPr>
          <w:spacing w:val="-2"/>
        </w:rPr>
        <w:t xml:space="preserve"> </w:t>
      </w:r>
      <w:r w:rsidRPr="0001038F">
        <w:t>effectively cater</w:t>
      </w:r>
      <w:r w:rsidRPr="0001038F">
        <w:rPr>
          <w:spacing w:val="-3"/>
        </w:rPr>
        <w:t xml:space="preserve"> </w:t>
      </w:r>
      <w:r w:rsidRPr="0001038F">
        <w:t>to</w:t>
      </w:r>
      <w:r w:rsidRPr="0001038F">
        <w:rPr>
          <w:spacing w:val="-4"/>
        </w:rPr>
        <w:t xml:space="preserve"> </w:t>
      </w:r>
      <w:r w:rsidRPr="0001038F">
        <w:t>the</w:t>
      </w:r>
      <w:r w:rsidRPr="0001038F">
        <w:rPr>
          <w:spacing w:val="-4"/>
        </w:rPr>
        <w:t xml:space="preserve"> </w:t>
      </w:r>
      <w:r w:rsidRPr="0001038F">
        <w:t>diverse</w:t>
      </w:r>
      <w:r w:rsidRPr="0001038F">
        <w:rPr>
          <w:spacing w:val="-4"/>
        </w:rPr>
        <w:t xml:space="preserve"> </w:t>
      </w:r>
      <w:r w:rsidRPr="0001038F">
        <w:t>Australian</w:t>
      </w:r>
      <w:r w:rsidRPr="0001038F">
        <w:rPr>
          <w:spacing w:val="-4"/>
        </w:rPr>
        <w:t xml:space="preserve"> </w:t>
      </w:r>
      <w:r w:rsidRPr="0001038F">
        <w:t>population</w:t>
      </w:r>
      <w:r w:rsidRPr="0001038F">
        <w:rPr>
          <w:spacing w:val="-2"/>
        </w:rPr>
        <w:t xml:space="preserve"> </w:t>
      </w:r>
      <w:r w:rsidRPr="0001038F">
        <w:t>is</w:t>
      </w:r>
      <w:r w:rsidRPr="0001038F">
        <w:rPr>
          <w:spacing w:val="-3"/>
        </w:rPr>
        <w:t xml:space="preserve"> </w:t>
      </w:r>
      <w:r w:rsidRPr="0001038F">
        <w:t>a</w:t>
      </w:r>
      <w:r w:rsidRPr="0001038F">
        <w:rPr>
          <w:spacing w:val="-4"/>
        </w:rPr>
        <w:t xml:space="preserve"> </w:t>
      </w:r>
      <w:r w:rsidRPr="0001038F">
        <w:t>complicated</w:t>
      </w:r>
      <w:r w:rsidRPr="0001038F">
        <w:rPr>
          <w:spacing w:val="-4"/>
        </w:rPr>
        <w:t xml:space="preserve"> </w:t>
      </w:r>
      <w:r w:rsidRPr="0001038F">
        <w:t>task.</w:t>
      </w:r>
      <w:r w:rsidRPr="0001038F">
        <w:rPr>
          <w:spacing w:val="-4"/>
        </w:rPr>
        <w:t xml:space="preserve"> </w:t>
      </w:r>
      <w:r w:rsidR="00D1211F">
        <w:t>That given,</w:t>
      </w:r>
      <w:r w:rsidRPr="0001038F">
        <w:rPr>
          <w:spacing w:val="-4"/>
        </w:rPr>
        <w:t xml:space="preserve"> </w:t>
      </w:r>
      <w:r w:rsidRPr="0001038F">
        <w:t>it</w:t>
      </w:r>
      <w:r w:rsidRPr="0001038F">
        <w:rPr>
          <w:spacing w:val="-2"/>
        </w:rPr>
        <w:t xml:space="preserve"> </w:t>
      </w:r>
      <w:r w:rsidRPr="0001038F">
        <w:t>is vital</w:t>
      </w:r>
      <w:r w:rsidRPr="0001038F">
        <w:rPr>
          <w:spacing w:val="-3"/>
        </w:rPr>
        <w:t xml:space="preserve"> </w:t>
      </w:r>
      <w:r w:rsidRPr="0001038F">
        <w:t>to</w:t>
      </w:r>
      <w:r w:rsidRPr="0001038F">
        <w:rPr>
          <w:spacing w:val="-2"/>
        </w:rPr>
        <w:t xml:space="preserve"> </w:t>
      </w:r>
      <w:r w:rsidRPr="0001038F">
        <w:t>integrate</w:t>
      </w:r>
      <w:r w:rsidRPr="0001038F">
        <w:rPr>
          <w:spacing w:val="-2"/>
        </w:rPr>
        <w:t xml:space="preserve"> </w:t>
      </w:r>
      <w:r w:rsidRPr="0001038F">
        <w:t>the expected sunscreen application practices, which align with the current Australian recommendations, into the risk assessment of sunscreen ingredients. Further, this assessment should take into account the concerted government and community efforts to refine sun protection behaviours, ensuring that the evaluations are prepared for future sunscreen usage trends. This ensures that sunscreens not only meet the protective needs of Australians but also adhere to public health directives, thereby reinforcing the safety and integrity of sunscreen products for all Australians.</w:t>
      </w:r>
    </w:p>
    <w:p w14:paraId="72309CAD" w14:textId="7124388D" w:rsidR="004C17FD" w:rsidRPr="007633D1" w:rsidRDefault="004C17FD">
      <w:pPr>
        <w:pStyle w:val="Heading2"/>
        <w:numPr>
          <w:ilvl w:val="0"/>
          <w:numId w:val="8"/>
        </w:numPr>
      </w:pPr>
      <w:bookmarkStart w:id="45" w:name="_Toc174116169"/>
      <w:bookmarkStart w:id="46" w:name="_Toc174116170"/>
      <w:bookmarkStart w:id="47" w:name="_Toc174116171"/>
      <w:bookmarkStart w:id="48" w:name="_Toc174116172"/>
      <w:bookmarkStart w:id="49" w:name="_Toc174116173"/>
      <w:bookmarkStart w:id="50" w:name="_Toc174116174"/>
      <w:bookmarkStart w:id="51" w:name="_Toc174116175"/>
      <w:bookmarkStart w:id="52" w:name="_Toc174116176"/>
      <w:bookmarkStart w:id="53" w:name="_Toc174116177"/>
      <w:bookmarkStart w:id="54" w:name="_Toc174116178"/>
      <w:bookmarkStart w:id="55" w:name="_Toc174116179"/>
      <w:bookmarkStart w:id="56" w:name="_Toc184730557"/>
      <w:bookmarkEnd w:id="45"/>
      <w:bookmarkEnd w:id="46"/>
      <w:bookmarkEnd w:id="47"/>
      <w:bookmarkEnd w:id="48"/>
      <w:bookmarkEnd w:id="49"/>
      <w:bookmarkEnd w:id="50"/>
      <w:bookmarkEnd w:id="51"/>
      <w:bookmarkEnd w:id="52"/>
      <w:bookmarkEnd w:id="53"/>
      <w:bookmarkEnd w:id="54"/>
      <w:bookmarkEnd w:id="55"/>
      <w:r w:rsidRPr="007633D1">
        <w:t>What is the policy problem you are trying to solve and what data is available?</w:t>
      </w:r>
      <w:bookmarkEnd w:id="56"/>
    </w:p>
    <w:p w14:paraId="6BD61CCB" w14:textId="77777777" w:rsidR="00CA0938" w:rsidRDefault="00CA0938" w:rsidP="005A2EFB">
      <w:pPr>
        <w:pStyle w:val="Heading3"/>
      </w:pPr>
      <w:bookmarkStart w:id="57" w:name="_Toc184730558"/>
      <w:r>
        <w:t>The problem</w:t>
      </w:r>
      <w:bookmarkEnd w:id="57"/>
    </w:p>
    <w:p w14:paraId="7407D5A2" w14:textId="34776303" w:rsidR="007C2167" w:rsidRDefault="007C2167" w:rsidP="00FE145A">
      <w:pPr>
        <w:rPr>
          <w:rFonts w:cs="Arial"/>
        </w:rPr>
      </w:pPr>
      <w:r w:rsidRPr="007C2167">
        <w:t>The TGA regulates therapeutic sunscreens by ensuring they are safe, efficacious and of appropriate quality</w:t>
      </w:r>
      <w:r>
        <w:t>.</w:t>
      </w:r>
      <w:r>
        <w:rPr>
          <w:rFonts w:cs="Arial"/>
        </w:rPr>
        <w:t xml:space="preserve"> </w:t>
      </w:r>
      <w:r w:rsidRPr="007C2167">
        <w:t>Before a sunscreen product can be marketed and supplied to consumers in Australia, the TGA must have approved its ingredients and their maximum safe concentration</w:t>
      </w:r>
      <w:r w:rsidR="00B53461">
        <w:t>.</w:t>
      </w:r>
      <w:r>
        <w:rPr>
          <w:rFonts w:cs="Arial"/>
        </w:rPr>
        <w:t xml:space="preserve"> </w:t>
      </w:r>
      <w:r w:rsidR="00FE145A">
        <w:rPr>
          <w:rFonts w:cs="Arial"/>
        </w:rPr>
        <w:t>T</w:t>
      </w:r>
      <w:r w:rsidR="00FE145A" w:rsidRPr="0036002F">
        <w:rPr>
          <w:rFonts w:cs="Arial"/>
        </w:rPr>
        <w:t>he TGA evaluates the safety of sunscreen ingredients based on the amount of sunscreen applied to the skin (i.e. external exposure)</w:t>
      </w:r>
      <w:r w:rsidR="00FE145A">
        <w:rPr>
          <w:rFonts w:cs="Arial"/>
        </w:rPr>
        <w:t>.</w:t>
      </w:r>
      <w:r w:rsidR="00FE145A" w:rsidRPr="007C6986">
        <w:rPr>
          <w:rFonts w:cs="Arial"/>
        </w:rPr>
        <w:t xml:space="preserve"> </w:t>
      </w:r>
    </w:p>
    <w:p w14:paraId="42788831" w14:textId="406DA213" w:rsidR="000D581D" w:rsidRDefault="000D581D" w:rsidP="000D581D">
      <w:pPr>
        <w:pStyle w:val="BodyText"/>
        <w:spacing w:before="120" w:line="259" w:lineRule="auto"/>
        <w:ind w:right="172" w:firstLine="1"/>
      </w:pPr>
      <w:r>
        <w:t>Historically, risk assessments and approvals of ingredients by the TGA have been conducted on a case-by-case basis. These assessments consider the general</w:t>
      </w:r>
      <w:r>
        <w:rPr>
          <w:spacing w:val="-6"/>
        </w:rPr>
        <w:t xml:space="preserve"> </w:t>
      </w:r>
      <w:r>
        <w:t>toxicological</w:t>
      </w:r>
      <w:r>
        <w:rPr>
          <w:spacing w:val="-3"/>
        </w:rPr>
        <w:t xml:space="preserve"> </w:t>
      </w:r>
      <w:r>
        <w:t>profile</w:t>
      </w:r>
      <w:r>
        <w:rPr>
          <w:spacing w:val="-2"/>
        </w:rPr>
        <w:t xml:space="preserve"> </w:t>
      </w:r>
      <w:r>
        <w:t>and</w:t>
      </w:r>
      <w:r>
        <w:rPr>
          <w:spacing w:val="-3"/>
        </w:rPr>
        <w:t xml:space="preserve"> </w:t>
      </w:r>
      <w:r>
        <w:t>intended</w:t>
      </w:r>
      <w:r>
        <w:rPr>
          <w:spacing w:val="-3"/>
        </w:rPr>
        <w:t xml:space="preserve"> </w:t>
      </w:r>
      <w:r>
        <w:t>use</w:t>
      </w:r>
      <w:r>
        <w:rPr>
          <w:spacing w:val="-5"/>
        </w:rPr>
        <w:t xml:space="preserve"> </w:t>
      </w:r>
      <w:r>
        <w:t>of</w:t>
      </w:r>
      <w:r>
        <w:rPr>
          <w:spacing w:val="-3"/>
        </w:rPr>
        <w:t xml:space="preserve"> </w:t>
      </w:r>
      <w:r>
        <w:t>the</w:t>
      </w:r>
      <w:r>
        <w:rPr>
          <w:spacing w:val="-3"/>
        </w:rPr>
        <w:t xml:space="preserve"> </w:t>
      </w:r>
      <w:r>
        <w:t>ingredient.</w:t>
      </w:r>
      <w:r>
        <w:rPr>
          <w:spacing w:val="-5"/>
        </w:rPr>
        <w:t xml:space="preserve"> </w:t>
      </w:r>
      <w:r>
        <w:t>The</w:t>
      </w:r>
      <w:r>
        <w:rPr>
          <w:spacing w:val="-3"/>
        </w:rPr>
        <w:t xml:space="preserve"> </w:t>
      </w:r>
      <w:r>
        <w:t>assessments</w:t>
      </w:r>
      <w:r>
        <w:rPr>
          <w:spacing w:val="-1"/>
        </w:rPr>
        <w:t xml:space="preserve"> </w:t>
      </w:r>
      <w:r>
        <w:t>have</w:t>
      </w:r>
      <w:r>
        <w:rPr>
          <w:spacing w:val="-5"/>
        </w:rPr>
        <w:t xml:space="preserve"> </w:t>
      </w:r>
      <w:r>
        <w:t>primarily</w:t>
      </w:r>
      <w:r>
        <w:rPr>
          <w:spacing w:val="-4"/>
        </w:rPr>
        <w:t xml:space="preserve"> </w:t>
      </w:r>
      <w:r>
        <w:t xml:space="preserve">relied on data provided by the applicant, along with considerations of precedents set by international regulatory bodies. </w:t>
      </w:r>
    </w:p>
    <w:p w14:paraId="43E73D65" w14:textId="03850643" w:rsidR="000D581D" w:rsidRDefault="000D581D" w:rsidP="000D581D">
      <w:pPr>
        <w:pStyle w:val="BodyText"/>
        <w:spacing w:before="120" w:line="259" w:lineRule="auto"/>
        <w:ind w:right="172" w:firstLine="1"/>
      </w:pPr>
      <w:r>
        <w:t xml:space="preserve">Risk assessments for </w:t>
      </w:r>
      <w:r w:rsidR="008D72A0">
        <w:t xml:space="preserve">the safety of </w:t>
      </w:r>
      <w:r>
        <w:t>sunscreen ingredient</w:t>
      </w:r>
      <w:r w:rsidR="008D72A0">
        <w:t xml:space="preserve">s </w:t>
      </w:r>
      <w:r>
        <w:t xml:space="preserve">that may </w:t>
      </w:r>
      <w:r w:rsidR="008D72A0">
        <w:t>be</w:t>
      </w:r>
      <w:r>
        <w:t xml:space="preserve"> absorbed into the body can employ various methodologies to calculate the amount of sunscreen applied to the skin. Some of these assessments may be excessively conservative or fail to consider the unique Australian context. The variance in exposure calculation methods can result in regulatory inconsistencies and uncertainties for applicants seeking to introduce new ingredients to the market.</w:t>
      </w:r>
    </w:p>
    <w:p w14:paraId="18165FDF" w14:textId="66181237" w:rsidR="000D581D" w:rsidRPr="006A0E0B" w:rsidRDefault="000D581D" w:rsidP="00294EAE">
      <w:pPr>
        <w:widowControl w:val="0"/>
        <w:autoSpaceDE w:val="0"/>
        <w:autoSpaceDN w:val="0"/>
        <w:spacing w:before="120" w:after="0"/>
        <w:ind w:right="247"/>
        <w:jc w:val="both"/>
        <w:rPr>
          <w:spacing w:val="-3"/>
        </w:rPr>
      </w:pPr>
      <w:r>
        <w:t>A</w:t>
      </w:r>
      <w:r>
        <w:rPr>
          <w:spacing w:val="-4"/>
        </w:rPr>
        <w:t xml:space="preserve"> </w:t>
      </w:r>
      <w:r>
        <w:t>number</w:t>
      </w:r>
      <w:r>
        <w:rPr>
          <w:spacing w:val="-2"/>
        </w:rPr>
        <w:t xml:space="preserve"> </w:t>
      </w:r>
      <w:r>
        <w:t>of</w:t>
      </w:r>
      <w:r>
        <w:rPr>
          <w:spacing w:val="-3"/>
        </w:rPr>
        <w:t xml:space="preserve"> </w:t>
      </w:r>
      <w:r>
        <w:t>new</w:t>
      </w:r>
      <w:r>
        <w:rPr>
          <w:spacing w:val="-3"/>
        </w:rPr>
        <w:t xml:space="preserve"> </w:t>
      </w:r>
      <w:r>
        <w:t>sunscreen</w:t>
      </w:r>
      <w:r>
        <w:rPr>
          <w:spacing w:val="-3"/>
        </w:rPr>
        <w:t xml:space="preserve"> </w:t>
      </w:r>
      <w:r>
        <w:t>ingredient</w:t>
      </w:r>
      <w:r>
        <w:rPr>
          <w:spacing w:val="-3"/>
        </w:rPr>
        <w:t xml:space="preserve"> </w:t>
      </w:r>
      <w:r>
        <w:t>applications</w:t>
      </w:r>
      <w:r>
        <w:rPr>
          <w:spacing w:val="-1"/>
        </w:rPr>
        <w:t xml:space="preserve"> </w:t>
      </w:r>
      <w:r>
        <w:t>have</w:t>
      </w:r>
      <w:r>
        <w:rPr>
          <w:spacing w:val="-3"/>
        </w:rPr>
        <w:t xml:space="preserve"> </w:t>
      </w:r>
      <w:r>
        <w:t>used exposure</w:t>
      </w:r>
      <w:r>
        <w:rPr>
          <w:spacing w:val="-3"/>
        </w:rPr>
        <w:t xml:space="preserve"> </w:t>
      </w:r>
      <w:r>
        <w:t>models</w:t>
      </w:r>
      <w:r>
        <w:rPr>
          <w:spacing w:val="-2"/>
        </w:rPr>
        <w:t xml:space="preserve"> </w:t>
      </w:r>
      <w:r>
        <w:t>from</w:t>
      </w:r>
      <w:r>
        <w:rPr>
          <w:spacing w:val="-3"/>
        </w:rPr>
        <w:t xml:space="preserve"> </w:t>
      </w:r>
      <w:r>
        <w:t>the</w:t>
      </w:r>
      <w:r>
        <w:rPr>
          <w:spacing w:val="-3"/>
        </w:rPr>
        <w:t xml:space="preserve"> </w:t>
      </w:r>
      <w:r>
        <w:t>SCCS or the then Scientific Committee on Cosmetic</w:t>
      </w:r>
      <w:r>
        <w:rPr>
          <w:spacing w:val="-4"/>
        </w:rPr>
        <w:t xml:space="preserve"> </w:t>
      </w:r>
      <w:r>
        <w:t>and</w:t>
      </w:r>
      <w:r>
        <w:rPr>
          <w:spacing w:val="-5"/>
        </w:rPr>
        <w:t xml:space="preserve"> </w:t>
      </w:r>
      <w:r>
        <w:t>Non-Food</w:t>
      </w:r>
      <w:r>
        <w:rPr>
          <w:spacing w:val="-3"/>
        </w:rPr>
        <w:t xml:space="preserve"> </w:t>
      </w:r>
      <w:r>
        <w:t>Products</w:t>
      </w:r>
      <w:r>
        <w:rPr>
          <w:spacing w:val="-4"/>
        </w:rPr>
        <w:t xml:space="preserve"> </w:t>
      </w:r>
      <w:r>
        <w:t>intended</w:t>
      </w:r>
      <w:r>
        <w:rPr>
          <w:spacing w:val="-3"/>
        </w:rPr>
        <w:t xml:space="preserve"> </w:t>
      </w:r>
      <w:r>
        <w:t>for</w:t>
      </w:r>
      <w:r>
        <w:rPr>
          <w:spacing w:val="-4"/>
        </w:rPr>
        <w:t xml:space="preserve"> </w:t>
      </w:r>
      <w:r>
        <w:t>Consumers</w:t>
      </w:r>
      <w:r>
        <w:rPr>
          <w:spacing w:val="-4"/>
        </w:rPr>
        <w:t xml:space="preserve"> </w:t>
      </w:r>
      <w:r>
        <w:t xml:space="preserve">(SCCNFP). </w:t>
      </w:r>
      <w:r w:rsidR="006A0E0B" w:rsidRPr="00E37D50">
        <w:rPr>
          <w:rFonts w:eastAsia="Arial" w:cs="Arial"/>
          <w:lang w:val="en-US"/>
        </w:rPr>
        <w:t xml:space="preserve">The TGA </w:t>
      </w:r>
      <w:r w:rsidR="006A0E0B">
        <w:rPr>
          <w:rFonts w:eastAsia="Arial" w:cs="Arial"/>
          <w:lang w:val="en-US"/>
        </w:rPr>
        <w:t>utilises the calculation methods described by the</w:t>
      </w:r>
      <w:r w:rsidR="006A0E0B" w:rsidRPr="00E37D50">
        <w:rPr>
          <w:rFonts w:eastAsia="Arial" w:cs="Arial"/>
          <w:lang w:val="en-US"/>
        </w:rPr>
        <w:t xml:space="preserve"> SCCS</w:t>
      </w:r>
      <w:r w:rsidR="006A0E0B">
        <w:rPr>
          <w:rFonts w:eastAsia="Arial" w:cs="Arial"/>
          <w:lang w:val="en-US"/>
        </w:rPr>
        <w:t xml:space="preserve"> </w:t>
      </w:r>
      <w:r w:rsidR="006A0E0B" w:rsidRPr="00E37D50">
        <w:rPr>
          <w:rFonts w:eastAsia="Arial" w:cs="Arial"/>
          <w:lang w:val="en-US"/>
        </w:rPr>
        <w:t>to calculate the SED in cosmetic products</w:t>
      </w:r>
      <w:r w:rsidR="006A0E0B">
        <w:rPr>
          <w:rFonts w:eastAsia="Arial" w:cs="Arial"/>
          <w:lang w:val="en-US"/>
        </w:rPr>
        <w:t>,</w:t>
      </w:r>
      <w:r w:rsidR="006A0E0B" w:rsidRPr="00E37D50">
        <w:rPr>
          <w:rFonts w:eastAsia="Arial" w:cs="Arial"/>
          <w:lang w:val="en-US"/>
        </w:rPr>
        <w:t xml:space="preserve"> </w:t>
      </w:r>
      <w:r w:rsidR="006A0E0B">
        <w:rPr>
          <w:rFonts w:eastAsia="Arial" w:cs="Arial"/>
          <w:lang w:val="en-US"/>
        </w:rPr>
        <w:t>in its calculations to determine</w:t>
      </w:r>
      <w:r w:rsidR="006A0E0B" w:rsidRPr="00E37D50">
        <w:rPr>
          <w:rFonts w:eastAsia="Arial" w:cs="Arial"/>
          <w:lang w:val="en-US"/>
        </w:rPr>
        <w:t xml:space="preserve"> </w:t>
      </w:r>
      <w:r w:rsidR="006A0E0B">
        <w:rPr>
          <w:rFonts w:eastAsia="Arial" w:cs="Arial"/>
          <w:lang w:val="en-US"/>
        </w:rPr>
        <w:t xml:space="preserve">the </w:t>
      </w:r>
      <w:r w:rsidR="006A0E0B" w:rsidRPr="00E37D50">
        <w:rPr>
          <w:rFonts w:eastAsia="Arial" w:cs="Arial"/>
          <w:lang w:val="en-US"/>
        </w:rPr>
        <w:t>SED of dermally applied</w:t>
      </w:r>
      <w:r w:rsidR="006A0E0B" w:rsidRPr="00E37D50">
        <w:rPr>
          <w:rFonts w:eastAsia="Arial" w:cs="Arial"/>
          <w:spacing w:val="-4"/>
          <w:lang w:val="en-US"/>
        </w:rPr>
        <w:t xml:space="preserve"> </w:t>
      </w:r>
      <w:r w:rsidR="006A0E0B" w:rsidRPr="00E37D50">
        <w:rPr>
          <w:rFonts w:eastAsia="Arial" w:cs="Arial"/>
          <w:lang w:val="en-US"/>
        </w:rPr>
        <w:t>products,</w:t>
      </w:r>
      <w:r w:rsidR="006A0E0B" w:rsidRPr="00E37D50">
        <w:rPr>
          <w:rFonts w:eastAsia="Arial" w:cs="Arial"/>
          <w:spacing w:val="-4"/>
          <w:lang w:val="en-US"/>
        </w:rPr>
        <w:t xml:space="preserve"> </w:t>
      </w:r>
      <w:r w:rsidR="006A0E0B" w:rsidRPr="00E37D50">
        <w:rPr>
          <w:rFonts w:eastAsia="Arial" w:cs="Arial"/>
          <w:lang w:val="en-US"/>
        </w:rPr>
        <w:t>including</w:t>
      </w:r>
      <w:r w:rsidR="006A0E0B" w:rsidRPr="00E37D50">
        <w:rPr>
          <w:rFonts w:eastAsia="Arial" w:cs="Arial"/>
          <w:spacing w:val="-2"/>
          <w:lang w:val="en-US"/>
        </w:rPr>
        <w:t xml:space="preserve"> </w:t>
      </w:r>
      <w:r w:rsidR="006A0E0B" w:rsidRPr="00E37D50">
        <w:rPr>
          <w:rFonts w:eastAsia="Arial" w:cs="Arial"/>
          <w:lang w:val="en-US"/>
        </w:rPr>
        <w:t>sunscreen</w:t>
      </w:r>
      <w:r w:rsidR="006A0E0B" w:rsidRPr="00E37D50">
        <w:rPr>
          <w:rFonts w:eastAsia="Arial" w:cs="Arial"/>
          <w:spacing w:val="-4"/>
          <w:lang w:val="en-US"/>
        </w:rPr>
        <w:t xml:space="preserve"> </w:t>
      </w:r>
      <w:r w:rsidR="006A0E0B" w:rsidRPr="00E37D50">
        <w:rPr>
          <w:rFonts w:eastAsia="Arial" w:cs="Arial"/>
          <w:lang w:val="en-US"/>
        </w:rPr>
        <w:t>products</w:t>
      </w:r>
      <w:r w:rsidRPr="00E37D50">
        <w:rPr>
          <w:spacing w:val="-3"/>
        </w:rPr>
        <w:t xml:space="preserve"> </w:t>
      </w:r>
    </w:p>
    <w:p w14:paraId="2D68A456" w14:textId="703EBDA6" w:rsidR="000D581D" w:rsidRDefault="000D581D" w:rsidP="000D581D">
      <w:pPr>
        <w:pStyle w:val="BodyText"/>
        <w:spacing w:before="120" w:line="259" w:lineRule="auto"/>
        <w:ind w:right="172" w:firstLine="1"/>
      </w:pPr>
      <w:r>
        <w:t>The</w:t>
      </w:r>
      <w:r>
        <w:rPr>
          <w:spacing w:val="-3"/>
        </w:rPr>
        <w:t xml:space="preserve"> </w:t>
      </w:r>
      <w:r>
        <w:t>current</w:t>
      </w:r>
      <w:r>
        <w:rPr>
          <w:spacing w:val="-5"/>
        </w:rPr>
        <w:t xml:space="preserve"> </w:t>
      </w:r>
      <w:r>
        <w:t>SCCS</w:t>
      </w:r>
      <w:r>
        <w:rPr>
          <w:spacing w:val="-3"/>
        </w:rPr>
        <w:t xml:space="preserve"> </w:t>
      </w:r>
      <w:r>
        <w:t>models</w:t>
      </w:r>
      <w:r>
        <w:rPr>
          <w:spacing w:val="-1"/>
        </w:rPr>
        <w:t xml:space="preserve"> </w:t>
      </w:r>
      <w:r>
        <w:t>are based on European and other country usage patterns and do not account for Australian use patterns, or the amount of sunscreen application required to achieve the labelled SPF</w:t>
      </w:r>
      <w:r>
        <w:rPr>
          <w:rStyle w:val="FootnoteReference"/>
        </w:rPr>
        <w:footnoteReference w:id="19"/>
      </w:r>
      <w:r>
        <w:rPr>
          <w:spacing w:val="40"/>
          <w:position w:val="6"/>
          <w:sz w:val="13"/>
        </w:rPr>
        <w:t xml:space="preserve"> </w:t>
      </w:r>
      <w:r>
        <w:t>rating. While the SCCS uses a 60 kg bodyweight estimate in their calculations, the TGA has historically used</w:t>
      </w:r>
      <w:r>
        <w:rPr>
          <w:spacing w:val="-4"/>
        </w:rPr>
        <w:t xml:space="preserve"> </w:t>
      </w:r>
      <w:r>
        <w:t>a</w:t>
      </w:r>
      <w:r>
        <w:rPr>
          <w:spacing w:val="-2"/>
        </w:rPr>
        <w:t xml:space="preserve"> </w:t>
      </w:r>
      <w:r>
        <w:t>more</w:t>
      </w:r>
      <w:r>
        <w:rPr>
          <w:spacing w:val="-2"/>
        </w:rPr>
        <w:t xml:space="preserve"> </w:t>
      </w:r>
      <w:r>
        <w:t>conservative</w:t>
      </w:r>
      <w:r>
        <w:rPr>
          <w:spacing w:val="-4"/>
        </w:rPr>
        <w:t xml:space="preserve"> </w:t>
      </w:r>
      <w:r>
        <w:t>bodyweight</w:t>
      </w:r>
      <w:r>
        <w:rPr>
          <w:spacing w:val="-4"/>
        </w:rPr>
        <w:t xml:space="preserve"> </w:t>
      </w:r>
      <w:r>
        <w:t>estimate</w:t>
      </w:r>
      <w:r>
        <w:rPr>
          <w:spacing w:val="-2"/>
        </w:rPr>
        <w:t xml:space="preserve"> </w:t>
      </w:r>
      <w:r>
        <w:t>of</w:t>
      </w:r>
      <w:r>
        <w:rPr>
          <w:spacing w:val="-4"/>
        </w:rPr>
        <w:t xml:space="preserve"> </w:t>
      </w:r>
      <w:r>
        <w:t>50</w:t>
      </w:r>
      <w:r>
        <w:rPr>
          <w:spacing w:val="-4"/>
        </w:rPr>
        <w:t xml:space="preserve"> </w:t>
      </w:r>
      <w:r>
        <w:t>kg</w:t>
      </w:r>
      <w:r>
        <w:rPr>
          <w:spacing w:val="-2"/>
        </w:rPr>
        <w:t xml:space="preserve"> </w:t>
      </w:r>
      <w:r>
        <w:t>in</w:t>
      </w:r>
      <w:r>
        <w:rPr>
          <w:spacing w:val="-4"/>
        </w:rPr>
        <w:t xml:space="preserve"> </w:t>
      </w:r>
      <w:r>
        <w:t>some</w:t>
      </w:r>
      <w:r>
        <w:rPr>
          <w:spacing w:val="-4"/>
        </w:rPr>
        <w:t xml:space="preserve"> </w:t>
      </w:r>
      <w:r>
        <w:t>assessments.</w:t>
      </w:r>
      <w:r>
        <w:rPr>
          <w:spacing w:val="-4"/>
        </w:rPr>
        <w:t xml:space="preserve"> </w:t>
      </w:r>
      <w:r>
        <w:t>Further,</w:t>
      </w:r>
      <w:r>
        <w:rPr>
          <w:spacing w:val="-2"/>
        </w:rPr>
        <w:t xml:space="preserve"> </w:t>
      </w:r>
      <w:r>
        <w:t>the SCCS</w:t>
      </w:r>
      <w:r>
        <w:rPr>
          <w:spacing w:val="-4"/>
        </w:rPr>
        <w:t xml:space="preserve"> </w:t>
      </w:r>
      <w:r>
        <w:t>method</w:t>
      </w:r>
      <w:r>
        <w:rPr>
          <w:spacing w:val="-3"/>
        </w:rPr>
        <w:t xml:space="preserve"> </w:t>
      </w:r>
      <w:r>
        <w:t>shows a</w:t>
      </w:r>
      <w:r>
        <w:rPr>
          <w:spacing w:val="-3"/>
        </w:rPr>
        <w:t xml:space="preserve"> </w:t>
      </w:r>
      <w:r>
        <w:t>substantial</w:t>
      </w:r>
      <w:r>
        <w:rPr>
          <w:spacing w:val="-2"/>
        </w:rPr>
        <w:t xml:space="preserve"> </w:t>
      </w:r>
      <w:r>
        <w:t>disparity</w:t>
      </w:r>
      <w:r>
        <w:rPr>
          <w:spacing w:val="-3"/>
        </w:rPr>
        <w:t xml:space="preserve"> </w:t>
      </w:r>
      <w:r>
        <w:t>in</w:t>
      </w:r>
      <w:r>
        <w:rPr>
          <w:spacing w:val="-3"/>
        </w:rPr>
        <w:t xml:space="preserve"> </w:t>
      </w:r>
      <w:r>
        <w:t>the</w:t>
      </w:r>
      <w:r>
        <w:rPr>
          <w:spacing w:val="-3"/>
        </w:rPr>
        <w:t xml:space="preserve"> </w:t>
      </w:r>
      <w:r>
        <w:t>risk</w:t>
      </w:r>
      <w:r>
        <w:rPr>
          <w:spacing w:val="-3"/>
        </w:rPr>
        <w:t xml:space="preserve"> </w:t>
      </w:r>
      <w:r>
        <w:t>assessment</w:t>
      </w:r>
      <w:r>
        <w:rPr>
          <w:spacing w:val="-3"/>
        </w:rPr>
        <w:t xml:space="preserve"> </w:t>
      </w:r>
      <w:r>
        <w:t>calculations</w:t>
      </w:r>
      <w:r>
        <w:rPr>
          <w:spacing w:val="-3"/>
        </w:rPr>
        <w:t xml:space="preserve"> </w:t>
      </w:r>
      <w:r>
        <w:t>depending</w:t>
      </w:r>
      <w:r>
        <w:rPr>
          <w:spacing w:val="-3"/>
        </w:rPr>
        <w:t xml:space="preserve"> </w:t>
      </w:r>
      <w:r>
        <w:t>on</w:t>
      </w:r>
      <w:r>
        <w:rPr>
          <w:spacing w:val="-2"/>
        </w:rPr>
        <w:t xml:space="preserve"> </w:t>
      </w:r>
      <w:r>
        <w:t>whether data</w:t>
      </w:r>
      <w:r>
        <w:rPr>
          <w:spacing w:val="-2"/>
        </w:rPr>
        <w:t xml:space="preserve"> </w:t>
      </w:r>
      <w:r>
        <w:t>for</w:t>
      </w:r>
      <w:r>
        <w:rPr>
          <w:spacing w:val="-3"/>
        </w:rPr>
        <w:t xml:space="preserve"> </w:t>
      </w:r>
      <w:r>
        <w:t>dermal</w:t>
      </w:r>
      <w:r>
        <w:rPr>
          <w:spacing w:val="-5"/>
        </w:rPr>
        <w:t xml:space="preserve"> </w:t>
      </w:r>
      <w:r>
        <w:t>absorption</w:t>
      </w:r>
      <w:r>
        <w:rPr>
          <w:spacing w:val="-2"/>
        </w:rPr>
        <w:t xml:space="preserve"> </w:t>
      </w:r>
      <w:r>
        <w:t>of</w:t>
      </w:r>
      <w:r>
        <w:rPr>
          <w:spacing w:val="-4"/>
        </w:rPr>
        <w:t xml:space="preserve"> </w:t>
      </w:r>
      <w:r>
        <w:t>an</w:t>
      </w:r>
      <w:r>
        <w:rPr>
          <w:spacing w:val="-2"/>
        </w:rPr>
        <w:t xml:space="preserve"> </w:t>
      </w:r>
      <w:r>
        <w:t>ingredient</w:t>
      </w:r>
      <w:r>
        <w:rPr>
          <w:spacing w:val="-4"/>
        </w:rPr>
        <w:t xml:space="preserve"> </w:t>
      </w:r>
      <w:r>
        <w:t>is</w:t>
      </w:r>
      <w:r>
        <w:rPr>
          <w:spacing w:val="-3"/>
        </w:rPr>
        <w:t xml:space="preserve"> </w:t>
      </w:r>
      <w:r>
        <w:t>reported in</w:t>
      </w:r>
      <w:r>
        <w:rPr>
          <w:spacing w:val="-4"/>
        </w:rPr>
        <w:t xml:space="preserve"> </w:t>
      </w:r>
      <w:r>
        <w:t>μg/cm²</w:t>
      </w:r>
      <w:r>
        <w:rPr>
          <w:spacing w:val="-3"/>
        </w:rPr>
        <w:t xml:space="preserve"> </w:t>
      </w:r>
      <w:r>
        <w:t>or</w:t>
      </w:r>
      <w:r>
        <w:rPr>
          <w:spacing w:val="-3"/>
        </w:rPr>
        <w:t xml:space="preserve"> </w:t>
      </w:r>
      <w:r>
        <w:t>as</w:t>
      </w:r>
      <w:r>
        <w:rPr>
          <w:spacing w:val="-3"/>
        </w:rPr>
        <w:t xml:space="preserve"> </w:t>
      </w:r>
      <w:r>
        <w:t>a</w:t>
      </w:r>
      <w:r>
        <w:rPr>
          <w:spacing w:val="-2"/>
        </w:rPr>
        <w:t xml:space="preserve"> </w:t>
      </w:r>
      <w:r>
        <w:t>percentage</w:t>
      </w:r>
      <w:r>
        <w:rPr>
          <w:spacing w:val="-4"/>
        </w:rPr>
        <w:t xml:space="preserve">. </w:t>
      </w:r>
    </w:p>
    <w:p w14:paraId="2275452B" w14:textId="0961BB78" w:rsidR="000D581D" w:rsidRDefault="004B4697" w:rsidP="000D581D">
      <w:pPr>
        <w:pStyle w:val="BodyText"/>
        <w:spacing w:before="117" w:line="259" w:lineRule="auto"/>
        <w:ind w:left="1"/>
      </w:pPr>
      <w:r w:rsidRPr="004B4697">
        <w:rPr>
          <w:lang w:val="en-AU"/>
        </w:rPr>
        <w:t>Some assessments have adopted a higher sunscreen application rate of 2 mg/cm2 compared to the SCCS approach, which is based on studies reporting varying rates from 0.5 to 1.3 mg/cm2 (SCCS 2021, p. 85).</w:t>
      </w:r>
      <w:r>
        <w:rPr>
          <w:lang w:val="en-AU"/>
        </w:rPr>
        <w:t xml:space="preserve"> </w:t>
      </w:r>
      <w:r w:rsidR="000D581D">
        <w:t>Other approaches have been based on the Cancer Council Australia's guidelines</w:t>
      </w:r>
      <w:r w:rsidR="000D581D">
        <w:rPr>
          <w:spacing w:val="-2"/>
        </w:rPr>
        <w:t xml:space="preserve"> </w:t>
      </w:r>
      <w:r w:rsidR="000D581D">
        <w:t>of</w:t>
      </w:r>
      <w:r w:rsidR="000D581D">
        <w:rPr>
          <w:spacing w:val="-3"/>
        </w:rPr>
        <w:t xml:space="preserve"> </w:t>
      </w:r>
      <w:r w:rsidR="000D581D">
        <w:t>reapplying</w:t>
      </w:r>
      <w:r w:rsidR="000D581D">
        <w:rPr>
          <w:spacing w:val="-3"/>
        </w:rPr>
        <w:t xml:space="preserve"> </w:t>
      </w:r>
      <w:r w:rsidR="000D581D">
        <w:t>sunscreen</w:t>
      </w:r>
      <w:r w:rsidR="000D581D">
        <w:rPr>
          <w:spacing w:val="-3"/>
        </w:rPr>
        <w:t xml:space="preserve"> </w:t>
      </w:r>
      <w:r w:rsidR="000D581D">
        <w:t>every</w:t>
      </w:r>
      <w:r w:rsidR="000D581D">
        <w:rPr>
          <w:spacing w:val="-2"/>
        </w:rPr>
        <w:t xml:space="preserve"> </w:t>
      </w:r>
      <w:r w:rsidR="000D581D">
        <w:t>2</w:t>
      </w:r>
      <w:r w:rsidR="000D581D">
        <w:rPr>
          <w:spacing w:val="-3"/>
        </w:rPr>
        <w:t xml:space="preserve"> </w:t>
      </w:r>
      <w:r w:rsidR="000D581D">
        <w:t>hours</w:t>
      </w:r>
      <w:r w:rsidR="000D581D">
        <w:rPr>
          <w:spacing w:val="-2"/>
        </w:rPr>
        <w:t xml:space="preserve"> </w:t>
      </w:r>
      <w:r w:rsidR="000D581D">
        <w:t>for</w:t>
      </w:r>
      <w:r w:rsidR="000D581D">
        <w:rPr>
          <w:spacing w:val="-2"/>
        </w:rPr>
        <w:t xml:space="preserve"> </w:t>
      </w:r>
      <w:r w:rsidR="000D581D">
        <w:t>a</w:t>
      </w:r>
      <w:r w:rsidR="000D581D">
        <w:rPr>
          <w:spacing w:val="-2"/>
        </w:rPr>
        <w:t xml:space="preserve"> </w:t>
      </w:r>
      <w:r w:rsidR="000D581D">
        <w:t>full-body application</w:t>
      </w:r>
      <w:r w:rsidR="000D581D">
        <w:rPr>
          <w:spacing w:val="-3"/>
        </w:rPr>
        <w:t xml:space="preserve"> </w:t>
      </w:r>
      <w:r w:rsidR="000D581D">
        <w:t>of</w:t>
      </w:r>
      <w:r w:rsidR="000D581D">
        <w:rPr>
          <w:spacing w:val="-2"/>
        </w:rPr>
        <w:t xml:space="preserve"> </w:t>
      </w:r>
      <w:r w:rsidR="000D581D">
        <w:t>35</w:t>
      </w:r>
      <w:r w:rsidR="000D581D">
        <w:rPr>
          <w:spacing w:val="-2"/>
        </w:rPr>
        <w:t xml:space="preserve"> </w:t>
      </w:r>
      <w:r w:rsidR="000D581D">
        <w:t>mL</w:t>
      </w:r>
      <w:r w:rsidR="000D581D">
        <w:rPr>
          <w:spacing w:val="-3"/>
        </w:rPr>
        <w:t xml:space="preserve"> </w:t>
      </w:r>
      <w:r w:rsidR="000D581D">
        <w:t>for</w:t>
      </w:r>
      <w:r w:rsidR="000D581D">
        <w:rPr>
          <w:spacing w:val="-1"/>
        </w:rPr>
        <w:t xml:space="preserve"> </w:t>
      </w:r>
      <w:r w:rsidR="000D581D">
        <w:t>a</w:t>
      </w:r>
      <w:r w:rsidR="000D581D">
        <w:rPr>
          <w:spacing w:val="-3"/>
        </w:rPr>
        <w:t xml:space="preserve"> </w:t>
      </w:r>
      <w:r w:rsidR="000D581D">
        <w:t>full</w:t>
      </w:r>
      <w:r w:rsidR="000D581D">
        <w:rPr>
          <w:spacing w:val="-2"/>
        </w:rPr>
        <w:t xml:space="preserve"> </w:t>
      </w:r>
      <w:r w:rsidR="000D581D">
        <w:t>day.</w:t>
      </w:r>
      <w:r w:rsidR="000D581D">
        <w:rPr>
          <w:spacing w:val="-3"/>
        </w:rPr>
        <w:t xml:space="preserve"> </w:t>
      </w:r>
      <w:r w:rsidR="000D581D">
        <w:t>The type of information that is presented by the applicant can also contribute to inconsistent assessments.</w:t>
      </w:r>
    </w:p>
    <w:p w14:paraId="5DFEFD9D" w14:textId="4096CA72" w:rsidR="00552C7C" w:rsidRDefault="00FE145A" w:rsidP="000D581D">
      <w:pPr>
        <w:pStyle w:val="BodyText"/>
        <w:spacing w:before="117" w:line="259" w:lineRule="auto"/>
        <w:ind w:left="1"/>
      </w:pPr>
      <w:r w:rsidRPr="007C6986">
        <w:t xml:space="preserve">There is currently no model that accurately estimates how much sunscreen Australians are exposed to on a regular basis. </w:t>
      </w:r>
      <w:r w:rsidR="00552C7C" w:rsidRPr="006B702C">
        <w:t xml:space="preserve">There is little contemporary data on how much sunscreen Australians apply to their skin and the amount used is variable and difficult to estimate as sunscreen usage varies greatly among individuals. Actual use may not always align with recommendations for how sunscreens are to be used effectively and different methods for calculating the external exposure may not fully capture Australian usage patterns. </w:t>
      </w:r>
    </w:p>
    <w:p w14:paraId="6FD62985" w14:textId="5073E82B" w:rsidR="00FE145A" w:rsidRDefault="00FE145A" w:rsidP="00EA3D27">
      <w:pPr>
        <w:pStyle w:val="BodyText"/>
        <w:spacing w:before="117" w:line="259" w:lineRule="auto"/>
        <w:ind w:left="1"/>
      </w:pPr>
      <w:r w:rsidRPr="007C6986">
        <w:t>TGA guidance does not provide a standard estimated daily sunscreen exposure value for sunscreen ingredient risk assessments</w:t>
      </w:r>
      <w:r w:rsidR="007C2167">
        <w:t xml:space="preserve"> for applications for new sunscreen ingredients</w:t>
      </w:r>
      <w:r w:rsidRPr="007C6986">
        <w:t>.</w:t>
      </w:r>
      <w:r>
        <w:t xml:space="preserve"> Subsequently, applicants</w:t>
      </w:r>
      <w:r w:rsidRPr="007C6986">
        <w:t xml:space="preserve"> </w:t>
      </w:r>
      <w:r>
        <w:t xml:space="preserve">for new ingredient evaluations </w:t>
      </w:r>
      <w:r w:rsidRPr="007C6986">
        <w:t xml:space="preserve">differ on the </w:t>
      </w:r>
      <w:r>
        <w:t xml:space="preserve">methodology they use to </w:t>
      </w:r>
      <w:r w:rsidRPr="007C6986">
        <w:t>estimate</w:t>
      </w:r>
      <w:r>
        <w:t xml:space="preserve"> the</w:t>
      </w:r>
      <w:r w:rsidRPr="007C6986">
        <w:t xml:space="preserve"> daily sunscreen exposure and </w:t>
      </w:r>
      <w:r>
        <w:t xml:space="preserve">these </w:t>
      </w:r>
      <w:r w:rsidRPr="007C6986">
        <w:t>existing approaches do not consider the Australian context.</w:t>
      </w:r>
    </w:p>
    <w:p w14:paraId="7714BF57" w14:textId="77777777" w:rsidR="004365D2" w:rsidRDefault="004365D2" w:rsidP="00EA3D27">
      <w:pPr>
        <w:pStyle w:val="BodyText"/>
        <w:spacing w:before="117" w:line="259" w:lineRule="auto"/>
        <w:ind w:left="1"/>
      </w:pPr>
      <w:r>
        <w:t>A standardised, evidence-based approach is essential for regulatory certainty and to ensure that sunscreens</w:t>
      </w:r>
      <w:r w:rsidRPr="00EA3D27">
        <w:t xml:space="preserve"> </w:t>
      </w:r>
      <w:r>
        <w:t>are</w:t>
      </w:r>
      <w:r w:rsidRPr="00EA3D27">
        <w:t xml:space="preserve"> </w:t>
      </w:r>
      <w:r>
        <w:t>safe,</w:t>
      </w:r>
      <w:r w:rsidRPr="00EA3D27">
        <w:t xml:space="preserve"> </w:t>
      </w:r>
      <w:r>
        <w:t>effective,</w:t>
      </w:r>
      <w:r w:rsidRPr="00EA3D27">
        <w:t xml:space="preserve"> </w:t>
      </w:r>
      <w:r>
        <w:t>and reflective of</w:t>
      </w:r>
      <w:r w:rsidRPr="00EA3D27">
        <w:t xml:space="preserve"> </w:t>
      </w:r>
      <w:r>
        <w:t>actual usage patterns</w:t>
      </w:r>
      <w:r w:rsidRPr="00EA3D27">
        <w:t xml:space="preserve"> </w:t>
      </w:r>
      <w:r>
        <w:t>in Australia, rather</w:t>
      </w:r>
      <w:r w:rsidRPr="00EA3D27">
        <w:t xml:space="preserve"> </w:t>
      </w:r>
      <w:r>
        <w:t>than</w:t>
      </w:r>
      <w:r w:rsidRPr="00EA3D27">
        <w:t xml:space="preserve"> </w:t>
      </w:r>
      <w:r>
        <w:t>relying on</w:t>
      </w:r>
      <w:r w:rsidRPr="00EA3D27">
        <w:t xml:space="preserve"> </w:t>
      </w:r>
      <w:r>
        <w:t>different</w:t>
      </w:r>
      <w:r w:rsidRPr="00EA3D27">
        <w:t xml:space="preserve"> </w:t>
      </w:r>
      <w:r>
        <w:t>approaches</w:t>
      </w:r>
      <w:r w:rsidRPr="00EA3D27">
        <w:t xml:space="preserve"> </w:t>
      </w:r>
      <w:r>
        <w:t>or</w:t>
      </w:r>
      <w:r w:rsidRPr="00EA3D27">
        <w:t xml:space="preserve"> </w:t>
      </w:r>
      <w:r>
        <w:t>international</w:t>
      </w:r>
      <w:r w:rsidRPr="00EA3D27">
        <w:t xml:space="preserve"> </w:t>
      </w:r>
      <w:r>
        <w:t>assessment</w:t>
      </w:r>
      <w:r w:rsidRPr="00EA3D27">
        <w:t xml:space="preserve"> </w:t>
      </w:r>
      <w:r>
        <w:t>models.</w:t>
      </w:r>
      <w:r w:rsidRPr="00EA3D27">
        <w:t xml:space="preserve"> </w:t>
      </w:r>
      <w:r>
        <w:t>This</w:t>
      </w:r>
      <w:r w:rsidRPr="00EA3D27">
        <w:t xml:space="preserve"> </w:t>
      </w:r>
      <w:r>
        <w:t>will</w:t>
      </w:r>
      <w:r w:rsidRPr="00EA3D27">
        <w:t xml:space="preserve"> </w:t>
      </w:r>
      <w:r>
        <w:t>provide</w:t>
      </w:r>
      <w:r w:rsidRPr="00EA3D27">
        <w:t xml:space="preserve"> </w:t>
      </w:r>
      <w:r>
        <w:t>a</w:t>
      </w:r>
      <w:r w:rsidRPr="00EA3D27">
        <w:t xml:space="preserve"> </w:t>
      </w:r>
      <w:r>
        <w:t>consistent</w:t>
      </w:r>
      <w:r w:rsidRPr="00EA3D27">
        <w:t xml:space="preserve"> </w:t>
      </w:r>
      <w:r>
        <w:t>framework for evaluating the safety of therapeutic sunscreen ingredients,</w:t>
      </w:r>
      <w:r w:rsidRPr="00EA3D27">
        <w:t xml:space="preserve"> </w:t>
      </w:r>
      <w:r>
        <w:t>aligning with</w:t>
      </w:r>
      <w:r w:rsidRPr="00EA3D27">
        <w:t xml:space="preserve"> </w:t>
      </w:r>
      <w:r>
        <w:t>Australian</w:t>
      </w:r>
      <w:r w:rsidRPr="00EA3D27">
        <w:t xml:space="preserve"> </w:t>
      </w:r>
      <w:r>
        <w:t>conditions and consumer practices.</w:t>
      </w:r>
    </w:p>
    <w:p w14:paraId="725E3F85" w14:textId="48C48CDD" w:rsidR="00CA0938" w:rsidRDefault="00CA0938" w:rsidP="005A2EFB">
      <w:pPr>
        <w:pStyle w:val="Heading3"/>
      </w:pPr>
      <w:bookmarkStart w:id="58" w:name="_Toc184730559"/>
      <w:r>
        <w:t>Why it is a problem?</w:t>
      </w:r>
      <w:bookmarkEnd w:id="58"/>
    </w:p>
    <w:p w14:paraId="6E10C0B5" w14:textId="77777777" w:rsidR="00552C7C" w:rsidRPr="008218E6" w:rsidRDefault="00552C7C" w:rsidP="00552C7C">
      <w:r w:rsidRPr="009C595E">
        <w:t xml:space="preserve">Recent international and domestic concerns relating to the safety of certain sunscreen active ingredients has identified the need for a consistent, fit-for-purpose approach to conduct risk assessments for these ingredients that provides industry certainty, and a consistent and reliable </w:t>
      </w:r>
      <w:r w:rsidRPr="0036002F">
        <w:rPr>
          <w:rFonts w:cs="Arial"/>
        </w:rPr>
        <w:t xml:space="preserve">outcome that bolsters </w:t>
      </w:r>
      <w:r>
        <w:rPr>
          <w:rFonts w:cs="Arial"/>
        </w:rPr>
        <w:t xml:space="preserve">consumer </w:t>
      </w:r>
      <w:r w:rsidRPr="0036002F">
        <w:rPr>
          <w:rFonts w:cs="Arial"/>
        </w:rPr>
        <w:t xml:space="preserve">confidence in </w:t>
      </w:r>
      <w:r>
        <w:rPr>
          <w:rFonts w:cs="Arial"/>
        </w:rPr>
        <w:t xml:space="preserve">the safety of </w:t>
      </w:r>
      <w:r w:rsidRPr="0036002F">
        <w:rPr>
          <w:rFonts w:cs="Arial"/>
        </w:rPr>
        <w:t>Australian sunscreens</w:t>
      </w:r>
      <w:r>
        <w:rPr>
          <w:rFonts w:cs="Arial"/>
        </w:rPr>
        <w:t xml:space="preserve"> and encourages sun protective behaviour.</w:t>
      </w:r>
    </w:p>
    <w:p w14:paraId="34F56B02" w14:textId="3D3A213D" w:rsidR="007C2167" w:rsidRPr="006B702C" w:rsidRDefault="00552C7C" w:rsidP="007C2167">
      <w:r>
        <w:t>Not having an Australian focused consistent approach to ingredient evaluations has resulted</w:t>
      </w:r>
      <w:r w:rsidR="007C2167" w:rsidRPr="006B702C">
        <w:t xml:space="preserve"> in the following problems:</w:t>
      </w:r>
    </w:p>
    <w:p w14:paraId="461703D8" w14:textId="77777777" w:rsidR="007C2167" w:rsidRPr="00803BFE" w:rsidRDefault="007C2167" w:rsidP="006D28D0">
      <w:pPr>
        <w:pStyle w:val="ListBullet"/>
      </w:pPr>
      <w:r w:rsidRPr="00803BFE">
        <w:t xml:space="preserve">The absence of an agreed estimated daily sunscreen exposure value means there is no standardised method for evaluating sunscreen ingredients, potentially leading to discrepancies in risk assessments where some may be overly conservative, while others may not be conservative enough. This means the same ingredient could be approved or refused based on the same data. </w:t>
      </w:r>
    </w:p>
    <w:p w14:paraId="7BFB4052" w14:textId="77777777" w:rsidR="007C2167" w:rsidRPr="00803BFE" w:rsidRDefault="007C2167" w:rsidP="006D28D0">
      <w:pPr>
        <w:pStyle w:val="ListBullet"/>
      </w:pPr>
      <w:r w:rsidRPr="00803BFE">
        <w:t>Regulatory inconsistencies lead to uncertainty for industry. This is problematic given the lengthy research and development process required to bring new ingredients to market, with tests that may need to be conducted at the proposed concentration for final products. Uncertainty about the concentration that may be approved by the TGA, based on the assessment methodology, could stifle innovation and the development of new sunscreen ingredients.</w:t>
      </w:r>
    </w:p>
    <w:p w14:paraId="70DF753C" w14:textId="77777777" w:rsidR="007C2167" w:rsidRPr="00803BFE" w:rsidRDefault="007C2167" w:rsidP="006D28D0">
      <w:pPr>
        <w:pStyle w:val="ListBullet"/>
      </w:pPr>
      <w:r w:rsidRPr="00803BFE">
        <w:t>Without an Australian accepted approach, evaluations are more prone to being challenged, leading to increased time and resources expended by all stakeholders in debating application decisions. This not only delays the introduction of new sunscreen ingredients but also burdens the regulatory process with unnecessary contention.</w:t>
      </w:r>
    </w:p>
    <w:p w14:paraId="47A16AEB" w14:textId="77777777" w:rsidR="007C2167" w:rsidRPr="00803BFE" w:rsidRDefault="007C2167" w:rsidP="006D28D0">
      <w:pPr>
        <w:pStyle w:val="ListBullet"/>
      </w:pPr>
      <w:r w:rsidRPr="00803BFE">
        <w:t xml:space="preserve">Applicants may be required to provide scientifically robust arguments to support their chosen approach, which may not be supported by the TGA evaluator if not well-founded. Given the complexity of assessing sunscreen exposure, this could pose significant challenges and add unnecessary time and regulatory costs for new ingredient applicants. </w:t>
      </w:r>
    </w:p>
    <w:p w14:paraId="168F9769" w14:textId="77777777" w:rsidR="007C2167" w:rsidRPr="00803BFE" w:rsidRDefault="007C2167" w:rsidP="006D28D0">
      <w:pPr>
        <w:pStyle w:val="ListBullet"/>
      </w:pPr>
      <w:r w:rsidRPr="00803BFE">
        <w:t>Some estimated daily sunscreen exposure values proposed by applicants, and those ultimately employed may not adequately reflect the unique Australian context, such as the higher levels of UV exposure and adherence to current evidence-based guidelines for effective sun protection. The methods employed may not account for Australian practices today for the most frequent sunscreen users.</w:t>
      </w:r>
    </w:p>
    <w:p w14:paraId="1DB0490D" w14:textId="0CF14A9A" w:rsidR="007C2167" w:rsidRPr="00803BFE" w:rsidRDefault="007C2167" w:rsidP="006D28D0">
      <w:pPr>
        <w:pStyle w:val="ListBullet"/>
      </w:pPr>
      <w:r w:rsidRPr="00803BFE">
        <w:t>Sunscreen exposure considerations differ internationally, with the European SCCS estimating exposure model being one of the main approaches that is also utilised by applicants in Australia. However, this is based on data from research conducted in countries outside Australia. It is unclear if this would be relevant for the Australian context, given we have the highest rates of skin cancer in the world, a focus on public health messaging on the importance of using sunscreens, a thinner ozone layer, and an outdoor lifestyle. Further, because of their public health importance, sunscreens that are primarily for prevention of skin cancer are regulated as therapeutic goods in Australia, while they are regulated as cosmetics in Europe which are not allowed to make the same claims.</w:t>
      </w:r>
    </w:p>
    <w:p w14:paraId="0EEF2A27" w14:textId="77777777" w:rsidR="007C2167" w:rsidRPr="00803BFE" w:rsidRDefault="007C2167" w:rsidP="006D28D0">
      <w:pPr>
        <w:pStyle w:val="ListBullet"/>
      </w:pPr>
      <w:r w:rsidRPr="00803BFE">
        <w:t xml:space="preserve">In addition, depending on the available data, the SCCS exposure calculation method can yield considerably different risk assessments for the same ingredient. This discrepancy could result in the same ingredient being approved under one set of data but rejected if presented in a different way. Such inconsistencies raise concerns about the appropriate calculation method for regulatory approvals and the potential for regulatory uncertainty, requiring expert judgement for which calculation method will be most suitable. </w:t>
      </w:r>
      <w:bookmarkStart w:id="59" w:name="_Hlk169101065"/>
      <w:r w:rsidRPr="00803BFE">
        <w:t>The type of information that is presented by the applicant could also contribute to inconsistent assessments.</w:t>
      </w:r>
    </w:p>
    <w:p w14:paraId="653D499C" w14:textId="39A876ED" w:rsidR="006A7301" w:rsidRDefault="00CB328E" w:rsidP="006A7301">
      <w:pPr>
        <w:pStyle w:val="Heading3"/>
      </w:pPr>
      <w:bookmarkStart w:id="60" w:name="_Toc184730560"/>
      <w:bookmarkEnd w:id="59"/>
      <w:r>
        <w:t>M</w:t>
      </w:r>
      <w:r w:rsidR="006A7301">
        <w:t xml:space="preserve">agnitude of the problem </w:t>
      </w:r>
      <w:r>
        <w:t>&amp;</w:t>
      </w:r>
      <w:r w:rsidR="006A7301">
        <w:t xml:space="preserve"> costs of not doing </w:t>
      </w:r>
      <w:r>
        <w:t>a</w:t>
      </w:r>
      <w:r w:rsidR="006A7301">
        <w:t>nything</w:t>
      </w:r>
      <w:bookmarkEnd w:id="60"/>
    </w:p>
    <w:p w14:paraId="401849AB" w14:textId="2F6C264F" w:rsidR="007C2167" w:rsidRPr="00552C7C" w:rsidRDefault="00A96F30" w:rsidP="00F47305">
      <w:pPr>
        <w:pStyle w:val="Heading4"/>
      </w:pPr>
      <w:bookmarkStart w:id="61" w:name="_Toc184730561"/>
      <w:r w:rsidRPr="0004162F">
        <w:t>Australian public</w:t>
      </w:r>
      <w:bookmarkEnd w:id="61"/>
      <w:r>
        <w:t xml:space="preserve"> </w:t>
      </w:r>
    </w:p>
    <w:p w14:paraId="383303FE" w14:textId="3E1185DE" w:rsidR="00C84875" w:rsidRDefault="00C84875" w:rsidP="00703B6A">
      <w:pPr>
        <w:rPr>
          <w:rFonts w:cs="Arial"/>
        </w:rPr>
      </w:pPr>
      <w:r>
        <w:rPr>
          <w:rFonts w:cs="Arial"/>
        </w:rPr>
        <w:t>There have been i</w:t>
      </w:r>
      <w:r w:rsidR="00703B6A" w:rsidRPr="0036002F">
        <w:rPr>
          <w:rFonts w:cs="Arial"/>
        </w:rPr>
        <w:t xml:space="preserve">ncreasing scientific concerns, both domestically and internationally, over long-term use </w:t>
      </w:r>
      <w:r w:rsidR="00AC463D">
        <w:rPr>
          <w:rFonts w:cs="Arial"/>
        </w:rPr>
        <w:t xml:space="preserve">risks </w:t>
      </w:r>
      <w:r w:rsidR="00703B6A" w:rsidRPr="0036002F">
        <w:rPr>
          <w:rFonts w:cs="Arial"/>
        </w:rPr>
        <w:t>of some sunscreen ingredients</w:t>
      </w:r>
      <w:r>
        <w:rPr>
          <w:rFonts w:cs="Arial"/>
        </w:rPr>
        <w:t xml:space="preserve">. </w:t>
      </w:r>
      <w:r w:rsidR="00703B6A" w:rsidRPr="0036002F">
        <w:rPr>
          <w:rFonts w:cs="Arial"/>
        </w:rPr>
        <w:t xml:space="preserve">In 2019, the US FDA indicated they would remove some sunscreen ingredients from their Generally Recognised as Safe and Effective (GRASE) list, while calling for more data. Similarly, the SCCS in Europe has deemed certain ingredients unsafe in sunscreens applied to the body in higher concentrations. </w:t>
      </w:r>
    </w:p>
    <w:p w14:paraId="5BB2888C" w14:textId="1510F04C" w:rsidR="00C84875" w:rsidRPr="005E7138" w:rsidRDefault="00C84875" w:rsidP="00C84875">
      <w:pPr>
        <w:rPr>
          <w:rFonts w:cs="Arial"/>
        </w:rPr>
      </w:pPr>
      <w:r>
        <w:rPr>
          <w:rFonts w:cs="Arial"/>
        </w:rPr>
        <w:t xml:space="preserve">These international developments </w:t>
      </w:r>
      <w:r w:rsidR="003A58BC">
        <w:rPr>
          <w:rFonts w:cs="Arial"/>
        </w:rPr>
        <w:t>have the potential to</w:t>
      </w:r>
      <w:r>
        <w:rPr>
          <w:rFonts w:cs="Arial"/>
        </w:rPr>
        <w:t xml:space="preserve"> negatively i</w:t>
      </w:r>
      <w:r w:rsidRPr="0036002F">
        <w:rPr>
          <w:rFonts w:cs="Arial"/>
        </w:rPr>
        <w:t xml:space="preserve">mpact consumer confidence in the </w:t>
      </w:r>
      <w:r w:rsidR="003A58BC">
        <w:rPr>
          <w:rFonts w:cs="Arial"/>
        </w:rPr>
        <w:t xml:space="preserve">safety </w:t>
      </w:r>
      <w:r w:rsidRPr="0036002F">
        <w:rPr>
          <w:rFonts w:cs="Arial"/>
        </w:rPr>
        <w:t xml:space="preserve">of sunscreens and </w:t>
      </w:r>
      <w:r>
        <w:rPr>
          <w:rFonts w:cs="Arial"/>
        </w:rPr>
        <w:t xml:space="preserve">reduce sun protective behaviours. </w:t>
      </w:r>
      <w:r w:rsidR="000E47C7">
        <w:rPr>
          <w:rFonts w:cs="Arial"/>
        </w:rPr>
        <w:t>This is of particular concern because e</w:t>
      </w:r>
      <w:r w:rsidRPr="00EE4DF6">
        <w:rPr>
          <w:rFonts w:cs="Arial"/>
        </w:rPr>
        <w:t>xposure to UVR via sun exposure is estimated to cause around 95% of melanoma cases in Australia (Cancer Australia</w:t>
      </w:r>
      <w:r>
        <w:rPr>
          <w:rFonts w:cs="Arial"/>
        </w:rPr>
        <w:t>)</w:t>
      </w:r>
      <w:r>
        <w:rPr>
          <w:rStyle w:val="FootnoteReference"/>
          <w:rFonts w:cs="Arial"/>
        </w:rPr>
        <w:footnoteReference w:id="20"/>
      </w:r>
      <w:r w:rsidRPr="00EE4DF6">
        <w:rPr>
          <w:rFonts w:cs="Arial"/>
        </w:rPr>
        <w:t>. Exposure to UVR is the main preventable cause of skin cancer</w:t>
      </w:r>
      <w:r>
        <w:rPr>
          <w:rFonts w:cs="Arial"/>
        </w:rPr>
        <w:t xml:space="preserve"> and sunscreen is one important measure that Australian consumers can use to reduce their </w:t>
      </w:r>
      <w:r w:rsidR="00AC463D">
        <w:rPr>
          <w:rFonts w:cs="Arial"/>
        </w:rPr>
        <w:t>risk</w:t>
      </w:r>
      <w:r>
        <w:rPr>
          <w:rFonts w:cs="Arial"/>
        </w:rPr>
        <w:t>.</w:t>
      </w:r>
    </w:p>
    <w:p w14:paraId="778D77AC" w14:textId="354225B5" w:rsidR="00C84875" w:rsidRDefault="00C84875" w:rsidP="00A96F30">
      <w:pPr>
        <w:rPr>
          <w:rFonts w:cs="Arial"/>
        </w:rPr>
      </w:pPr>
      <w:r>
        <w:rPr>
          <w:rFonts w:cs="Arial"/>
        </w:rPr>
        <w:t xml:space="preserve">In response to international developments, the </w:t>
      </w:r>
      <w:r w:rsidR="00703B6A" w:rsidRPr="0036002F">
        <w:rPr>
          <w:rFonts w:cs="Arial"/>
        </w:rPr>
        <w:t xml:space="preserve">TGA is currently undertaking its own review of contemporary scientific literature on the safety of </w:t>
      </w:r>
      <w:r w:rsidR="00703B6A">
        <w:rPr>
          <w:rFonts w:cs="Arial"/>
        </w:rPr>
        <w:t xml:space="preserve">the </w:t>
      </w:r>
      <w:r w:rsidR="00703B6A" w:rsidRPr="0036002F">
        <w:rPr>
          <w:rFonts w:cs="Arial"/>
        </w:rPr>
        <w:t>active ingredients that are approved for use in sunscreens in Australia</w:t>
      </w:r>
      <w:r w:rsidR="00552C7C">
        <w:rPr>
          <w:rFonts w:cs="Arial"/>
        </w:rPr>
        <w:t>.</w:t>
      </w:r>
      <w:r w:rsidR="003A58BC">
        <w:rPr>
          <w:rFonts w:cs="Arial"/>
        </w:rPr>
        <w:t xml:space="preserve"> </w:t>
      </w:r>
      <w:r>
        <w:rPr>
          <w:rFonts w:cs="Arial"/>
        </w:rPr>
        <w:t xml:space="preserve">In order to complete these reviews and determine the safe level of sunscreen ingredients </w:t>
      </w:r>
      <w:r w:rsidR="00EE5110">
        <w:rPr>
          <w:rFonts w:cs="Arial"/>
        </w:rPr>
        <w:t>in</w:t>
      </w:r>
      <w:r>
        <w:rPr>
          <w:rFonts w:cs="Arial"/>
        </w:rPr>
        <w:t xml:space="preserve"> Australia, the TGA needs to put in place a consistent methodology to assess Australian exposure.</w:t>
      </w:r>
    </w:p>
    <w:p w14:paraId="0FB8B23D" w14:textId="71FD0C09" w:rsidR="00C84875" w:rsidRPr="006621D1" w:rsidRDefault="00EE5110" w:rsidP="00A96F30">
      <w:pPr>
        <w:rPr>
          <w:rFonts w:cs="Arial"/>
        </w:rPr>
      </w:pPr>
      <w:r>
        <w:rPr>
          <w:rFonts w:cs="Arial"/>
        </w:rPr>
        <w:t>C</w:t>
      </w:r>
      <w:r w:rsidR="00C84875">
        <w:rPr>
          <w:rFonts w:cs="Arial"/>
        </w:rPr>
        <w:t xml:space="preserve">ompleting these reviews </w:t>
      </w:r>
      <w:r>
        <w:rPr>
          <w:rFonts w:cs="Arial"/>
        </w:rPr>
        <w:t xml:space="preserve">using an evidence-based approach that is tailored for the Australian context, </w:t>
      </w:r>
      <w:r w:rsidR="00A96F30" w:rsidRPr="006621D1">
        <w:rPr>
          <w:rFonts w:cs="Arial"/>
        </w:rPr>
        <w:t>will maintain and increase consumers</w:t>
      </w:r>
      <w:r w:rsidR="00A96F30">
        <w:rPr>
          <w:rFonts w:cs="Arial"/>
        </w:rPr>
        <w:t>’</w:t>
      </w:r>
      <w:r w:rsidR="00A96F30" w:rsidRPr="006621D1">
        <w:rPr>
          <w:rFonts w:cs="Arial"/>
        </w:rPr>
        <w:t xml:space="preserve"> confidence </w:t>
      </w:r>
      <w:r w:rsidR="00A96F30">
        <w:rPr>
          <w:rFonts w:cs="Arial"/>
        </w:rPr>
        <w:t>in the</w:t>
      </w:r>
      <w:r>
        <w:rPr>
          <w:rFonts w:cs="Arial"/>
        </w:rPr>
        <w:t xml:space="preserve"> safety</w:t>
      </w:r>
      <w:r w:rsidR="00A96F30">
        <w:rPr>
          <w:rFonts w:cs="Arial"/>
        </w:rPr>
        <w:t xml:space="preserve"> and efficacy of Australian sunscreens and assist in consumers adopting sun protection behaviour</w:t>
      </w:r>
      <w:r w:rsidR="00423253">
        <w:rPr>
          <w:rFonts w:cs="Arial"/>
        </w:rPr>
        <w:t xml:space="preserve"> without fear or doubt</w:t>
      </w:r>
      <w:r w:rsidR="00A96F30">
        <w:rPr>
          <w:rFonts w:cs="Arial"/>
        </w:rPr>
        <w:t>.</w:t>
      </w:r>
      <w:r>
        <w:rPr>
          <w:rFonts w:cs="Arial"/>
        </w:rPr>
        <w:t xml:space="preserve"> </w:t>
      </w:r>
    </w:p>
    <w:p w14:paraId="47DF1DF8" w14:textId="42A2C9D3" w:rsidR="00D1211F" w:rsidRDefault="00D1211F" w:rsidP="00F47305">
      <w:pPr>
        <w:pStyle w:val="Heading4"/>
      </w:pPr>
      <w:bookmarkStart w:id="62" w:name="_Toc184730562"/>
      <w:r>
        <w:t>Industry</w:t>
      </w:r>
      <w:bookmarkEnd w:id="62"/>
    </w:p>
    <w:p w14:paraId="50921531" w14:textId="77777777" w:rsidR="00E50518" w:rsidRDefault="00C84875" w:rsidP="00C84875">
      <w:pPr>
        <w:rPr>
          <w:rFonts w:cs="Arial"/>
        </w:rPr>
      </w:pPr>
      <w:r>
        <w:rPr>
          <w:rFonts w:cs="Arial"/>
        </w:rPr>
        <w:t xml:space="preserve">International concerns in relation to certain sunscreen ingredients </w:t>
      </w:r>
      <w:r w:rsidRPr="0036002F">
        <w:rPr>
          <w:rFonts w:cs="Arial"/>
        </w:rPr>
        <w:t>has created uncertainty for the sunscreen industry about what action the TGA, and overseas regulators, may take in relation to these ingredients.</w:t>
      </w:r>
      <w:r w:rsidR="00E50518">
        <w:rPr>
          <w:rFonts w:cs="Arial"/>
        </w:rPr>
        <w:t xml:space="preserve"> Uncertainty affects the development of products for future release. Clarity is needed to provide industry with confidence to manufacture products that will be accepted by the TGA following its review. </w:t>
      </w:r>
    </w:p>
    <w:p w14:paraId="7528D71C" w14:textId="2D03B323" w:rsidR="000E47C7" w:rsidRPr="00E50518" w:rsidRDefault="00E50518" w:rsidP="00C84875">
      <w:pPr>
        <w:rPr>
          <w:rFonts w:cs="Arial"/>
        </w:rPr>
      </w:pPr>
      <w:r>
        <w:rPr>
          <w:rFonts w:cs="Arial"/>
        </w:rPr>
        <w:t>Additionally, r</w:t>
      </w:r>
      <w:r w:rsidR="00552C7C" w:rsidRPr="006B702C">
        <w:t>egulatory inconsistencies</w:t>
      </w:r>
      <w:r w:rsidR="00D50B63">
        <w:t xml:space="preserve"> regarding the assessment of new ingredients</w:t>
      </w:r>
      <w:r w:rsidR="00552C7C" w:rsidRPr="006B702C">
        <w:t xml:space="preserve"> lead to uncertainty for industry. This is problematic given the lengthy research and development process required to bring new ingredients to market, with tests that may need to be conducted at the proposed concentration for final products. Uncertainty about the concentration that may be approved by the TGA, based on the assessment methodology, could stifle innovation and the development of new sunscreen ingredients</w:t>
      </w:r>
      <w:r w:rsidR="00552C7C">
        <w:t xml:space="preserve"> and formulations.</w:t>
      </w:r>
    </w:p>
    <w:p w14:paraId="1B22EBF2" w14:textId="189FDC9C" w:rsidR="00A96F30" w:rsidRPr="007C2C96" w:rsidRDefault="00A96F30" w:rsidP="00F47305">
      <w:pPr>
        <w:pStyle w:val="Heading4"/>
      </w:pPr>
      <w:bookmarkStart w:id="63" w:name="_Toc184730563"/>
      <w:r>
        <w:t>Government</w:t>
      </w:r>
      <w:bookmarkEnd w:id="63"/>
    </w:p>
    <w:p w14:paraId="6E9A7972" w14:textId="3493A757" w:rsidR="007B4E17" w:rsidRDefault="007B4E17" w:rsidP="00A96F30">
      <w:pPr>
        <w:rPr>
          <w:rFonts w:cs="Arial"/>
        </w:rPr>
      </w:pPr>
      <w:r>
        <w:rPr>
          <w:rFonts w:cs="Arial"/>
        </w:rPr>
        <w:t xml:space="preserve">A lack of </w:t>
      </w:r>
      <w:r w:rsidR="003A58BC">
        <w:rPr>
          <w:rFonts w:cs="Arial"/>
        </w:rPr>
        <w:t xml:space="preserve">consumer </w:t>
      </w:r>
      <w:r>
        <w:rPr>
          <w:rFonts w:cs="Arial"/>
        </w:rPr>
        <w:t xml:space="preserve">confidence in sunscreens (due to Australian sunscreens not being assessed to a consistent methodology) may result in reduced sun protection behaviour, an increase in skin cancer in the Australian population and increased pressure on the Australian healthcare system. </w:t>
      </w:r>
    </w:p>
    <w:p w14:paraId="36D0F4B3" w14:textId="7A058B74" w:rsidR="007B4E17" w:rsidRDefault="007B4E17" w:rsidP="007B4E17">
      <w:pPr>
        <w:rPr>
          <w:rFonts w:cs="Arial"/>
        </w:rPr>
      </w:pPr>
      <w:r w:rsidRPr="007C2C96">
        <w:rPr>
          <w:rFonts w:cs="Arial"/>
        </w:rPr>
        <w:t>Skin cancers are responsible for the highest cancer-related health system expenditure at more than $1.6 billion, placing significant burden on Australia’s healthcare system (Australian Institute of Health and Welfare, 202</w:t>
      </w:r>
      <w:r>
        <w:rPr>
          <w:rFonts w:cs="Arial"/>
        </w:rPr>
        <w:t>3</w:t>
      </w:r>
      <w:r w:rsidRPr="003510C4">
        <w:rPr>
          <w:rStyle w:val="FootnoteReference"/>
          <w:rFonts w:cs="Arial"/>
        </w:rPr>
        <w:footnoteReference w:id="21"/>
      </w:r>
      <w:r w:rsidRPr="007C2C96">
        <w:rPr>
          <w:rFonts w:cs="Arial"/>
        </w:rPr>
        <w:t>). Skin cancer is the most expensive cancer to treat in Australia – more than breast, prostate or lung cancer. Ongoing national investment in prevention, early detection and treatment is needed (Austral</w:t>
      </w:r>
      <w:r>
        <w:rPr>
          <w:rFonts w:cs="Arial"/>
        </w:rPr>
        <w:t>as</w:t>
      </w:r>
      <w:r w:rsidRPr="007C2C96">
        <w:rPr>
          <w:rFonts w:cs="Arial"/>
        </w:rPr>
        <w:t>ian College of Dermatologists, 2023</w:t>
      </w:r>
      <w:r>
        <w:rPr>
          <w:rFonts w:cs="Arial"/>
        </w:rPr>
        <w:t>)</w:t>
      </w:r>
      <w:r>
        <w:rPr>
          <w:rStyle w:val="FootnoteReference"/>
          <w:rFonts w:cs="Arial"/>
        </w:rPr>
        <w:footnoteReference w:id="22"/>
      </w:r>
      <w:r w:rsidRPr="007C2C96">
        <w:rPr>
          <w:rFonts w:cs="Arial"/>
        </w:rPr>
        <w:t>.</w:t>
      </w:r>
      <w:r>
        <w:rPr>
          <w:rFonts w:cs="Arial"/>
        </w:rPr>
        <w:t xml:space="preserve"> Sunscreen is an important part of skin cancer prevention and it is important that Australian consumers have confidence in the </w:t>
      </w:r>
      <w:r w:rsidR="00EF7035">
        <w:rPr>
          <w:rFonts w:cs="Arial"/>
        </w:rPr>
        <w:t xml:space="preserve">safety and </w:t>
      </w:r>
      <w:r>
        <w:rPr>
          <w:rFonts w:cs="Arial"/>
        </w:rPr>
        <w:t xml:space="preserve">efficacy of the sunscreens they use. </w:t>
      </w:r>
    </w:p>
    <w:p w14:paraId="118F9209" w14:textId="77777777" w:rsidR="007B4E17" w:rsidRDefault="007C2167" w:rsidP="00A96F30">
      <w:r w:rsidRPr="00AE510F">
        <w:t>The Australian Government's commitment to reducing skin cancer's impact is evident in its longstanding investment in research and public health campaigns such as the National Skin Cancer Prevention Campaign to educate Australians on proper sunscreen use.</w:t>
      </w:r>
    </w:p>
    <w:p w14:paraId="2ED5E0E3" w14:textId="5EABB663" w:rsidR="007B4E17" w:rsidRPr="003B1D44" w:rsidRDefault="007B4E17" w:rsidP="007B4E17">
      <w:pPr>
        <w:rPr>
          <w:rFonts w:cs="Arial"/>
        </w:rPr>
      </w:pPr>
      <w:r w:rsidRPr="00CE0D7D">
        <w:rPr>
          <w:rFonts w:cs="Arial"/>
        </w:rPr>
        <w:t xml:space="preserve">Investments in skin cancer prevention programs, which promote sunscreen use alongside other sun protection measures, bring strong returns on investment. Whiteman </w:t>
      </w:r>
      <w:r w:rsidRPr="00EF7035">
        <w:rPr>
          <w:rFonts w:cs="Arial"/>
        </w:rPr>
        <w:t>et al</w:t>
      </w:r>
      <w:r w:rsidR="00EF7035" w:rsidRPr="00EF7035">
        <w:rPr>
          <w:rFonts w:cs="Arial"/>
        </w:rPr>
        <w:t>.</w:t>
      </w:r>
      <w:r w:rsidR="00476A59">
        <w:rPr>
          <w:rFonts w:cs="Arial"/>
        </w:rPr>
        <w:t xml:space="preserve"> (2019)</w:t>
      </w:r>
      <w:r w:rsidRPr="00CE0D7D">
        <w:rPr>
          <w:rFonts w:cs="Arial"/>
        </w:rPr>
        <w:t xml:space="preserve"> state that daily sunscreen use produced substantial cost savings to government over a five-year period and long-term modelling. In Australia, for every dollar spent on skin cancer prevention programs/campaigns, there is an expected $3.20 return with a net social benefit of $1.43 billion. Using sun</w:t>
      </w:r>
      <w:r w:rsidR="00EF7035">
        <w:rPr>
          <w:rFonts w:cs="Arial"/>
        </w:rPr>
        <w:t xml:space="preserve"> protection measures (including sunscreens)</w:t>
      </w:r>
      <w:r w:rsidRPr="00CE0D7D">
        <w:rPr>
          <w:rFonts w:cs="Arial"/>
        </w:rPr>
        <w:t xml:space="preserve"> will likely reduce future health care spending, patient medical expenses and other societal costs. As such, having sunscreens that </w:t>
      </w:r>
      <w:r>
        <w:rPr>
          <w:rFonts w:cs="Arial"/>
        </w:rPr>
        <w:t xml:space="preserve">consumers are confident are safe </w:t>
      </w:r>
      <w:r w:rsidR="00EF7035">
        <w:rPr>
          <w:rFonts w:cs="Arial"/>
        </w:rPr>
        <w:t>for the Australian context are</w:t>
      </w:r>
      <w:r w:rsidRPr="00CE0D7D">
        <w:rPr>
          <w:rFonts w:cs="Arial"/>
        </w:rPr>
        <w:t xml:space="preserve"> essential to recognising the health benefit of sunscreens and future health cost savings</w:t>
      </w:r>
      <w:r>
        <w:rPr>
          <w:rFonts w:cs="Arial"/>
        </w:rPr>
        <w:t>.</w:t>
      </w:r>
    </w:p>
    <w:p w14:paraId="1BF28A97" w14:textId="2DB400F4" w:rsidR="00ED78A5" w:rsidRPr="007633D1" w:rsidRDefault="001B0C20">
      <w:pPr>
        <w:pStyle w:val="Heading2"/>
        <w:numPr>
          <w:ilvl w:val="0"/>
          <w:numId w:val="8"/>
        </w:numPr>
      </w:pPr>
      <w:bookmarkStart w:id="64" w:name="_Toc184730564"/>
      <w:r w:rsidRPr="007633D1">
        <w:t>What are the objectives, why is government intervention needed</w:t>
      </w:r>
      <w:r w:rsidR="00AD55B0">
        <w:t xml:space="preserve"> &amp; </w:t>
      </w:r>
      <w:r w:rsidRPr="007633D1">
        <w:t>how will success be measured</w:t>
      </w:r>
      <w:r w:rsidR="00821165" w:rsidRPr="007633D1">
        <w:t>?</w:t>
      </w:r>
      <w:bookmarkEnd w:id="64"/>
    </w:p>
    <w:p w14:paraId="5B9A64E5" w14:textId="77AC5C99" w:rsidR="000D581D" w:rsidRDefault="000D581D" w:rsidP="000D581D">
      <w:pPr>
        <w:pStyle w:val="Heading3"/>
        <w:rPr>
          <w:shd w:val="clear" w:color="auto" w:fill="FFFFFF"/>
        </w:rPr>
      </w:pPr>
      <w:bookmarkStart w:id="65" w:name="_Toc184730565"/>
      <w:r>
        <w:rPr>
          <w:shd w:val="clear" w:color="auto" w:fill="FFFFFF"/>
        </w:rPr>
        <w:t>Objectives</w:t>
      </w:r>
      <w:r w:rsidR="00DB78BA">
        <w:rPr>
          <w:shd w:val="clear" w:color="auto" w:fill="FFFFFF"/>
        </w:rPr>
        <w:t xml:space="preserve"> of intervention</w:t>
      </w:r>
      <w:bookmarkEnd w:id="65"/>
    </w:p>
    <w:p w14:paraId="79E87C1D" w14:textId="1FC7B556" w:rsidR="00027A38" w:rsidRDefault="00027A38" w:rsidP="00190032">
      <w:r>
        <w:t>The</w:t>
      </w:r>
      <w:r w:rsidR="00BB556A">
        <w:t xml:space="preserve"> </w:t>
      </w:r>
      <w:r>
        <w:t>objectiv</w:t>
      </w:r>
      <w:r w:rsidR="004E6DA5">
        <w:t xml:space="preserve">es for </w:t>
      </w:r>
      <w:r w:rsidR="00BB556A">
        <w:t>establishing</w:t>
      </w:r>
      <w:r>
        <w:t xml:space="preserve"> a robust method to </w:t>
      </w:r>
      <w:r w:rsidRPr="00027A38">
        <w:t>approximat</w:t>
      </w:r>
      <w:r>
        <w:t>e</w:t>
      </w:r>
      <w:r w:rsidRPr="00027A38">
        <w:t xml:space="preserve"> sunscreen exposure</w:t>
      </w:r>
      <w:r>
        <w:t xml:space="preserve"> in </w:t>
      </w:r>
      <w:r w:rsidRPr="00027A38">
        <w:t>Australia</w:t>
      </w:r>
      <w:r>
        <w:t xml:space="preserve"> </w:t>
      </w:r>
      <w:r w:rsidRPr="00027A38">
        <w:t>to calculate the maximum safe concentration of sunscreen ingredients</w:t>
      </w:r>
      <w:r>
        <w:t xml:space="preserve"> </w:t>
      </w:r>
      <w:r w:rsidR="004E6DA5">
        <w:t>are</w:t>
      </w:r>
      <w:r w:rsidR="00146211">
        <w:t xml:space="preserve"> to</w:t>
      </w:r>
      <w:r w:rsidR="004E6DA5">
        <w:t>:</w:t>
      </w:r>
      <w:r w:rsidRPr="00027A38">
        <w:t xml:space="preserve"> </w:t>
      </w:r>
    </w:p>
    <w:p w14:paraId="6DFACCD5" w14:textId="58968803" w:rsidR="001721EA" w:rsidRPr="006D28D0" w:rsidRDefault="001721EA" w:rsidP="006D28D0">
      <w:pPr>
        <w:pStyle w:val="Numberbullet0"/>
        <w:numPr>
          <w:ilvl w:val="0"/>
          <w:numId w:val="20"/>
        </w:numPr>
        <w:rPr>
          <w:rStyle w:val="Strong"/>
          <w:rFonts w:asciiTheme="minorHAnsi" w:hAnsiTheme="minorHAnsi" w:cs="Arial"/>
        </w:rPr>
      </w:pPr>
      <w:r w:rsidRPr="006D28D0">
        <w:rPr>
          <w:rStyle w:val="Strong"/>
          <w:rFonts w:asciiTheme="minorHAnsi" w:hAnsiTheme="minorHAnsi" w:cs="Arial"/>
        </w:rPr>
        <w:t>Ensure the safety of sunscreens for Australian consumers</w:t>
      </w:r>
      <w:r w:rsidR="00146211" w:rsidRPr="006D28D0">
        <w:rPr>
          <w:rStyle w:val="Strong"/>
          <w:rFonts w:asciiTheme="minorHAnsi" w:hAnsiTheme="minorHAnsi" w:cs="Arial"/>
        </w:rPr>
        <w:t>:</w:t>
      </w:r>
    </w:p>
    <w:p w14:paraId="4FF02118" w14:textId="77777777" w:rsidR="001721EA" w:rsidRPr="00803BFE" w:rsidRDefault="001721EA" w:rsidP="001721EA">
      <w:pPr>
        <w:pStyle w:val="Numberbullet2"/>
        <w:numPr>
          <w:ilvl w:val="1"/>
          <w:numId w:val="12"/>
        </w:numPr>
        <w:rPr>
          <w:color w:val="auto"/>
        </w:rPr>
      </w:pPr>
      <w:r w:rsidRPr="00803BFE">
        <w:rPr>
          <w:b/>
          <w:bCs/>
          <w:color w:val="auto"/>
        </w:rPr>
        <w:t xml:space="preserve">Specific: </w:t>
      </w:r>
      <w:r w:rsidRPr="00803BFE">
        <w:rPr>
          <w:color w:val="auto"/>
        </w:rPr>
        <w:t>Enhance the safety reputation of Australian sunscreens.</w:t>
      </w:r>
    </w:p>
    <w:p w14:paraId="4A3262BF" w14:textId="12AF091C" w:rsidR="001721EA" w:rsidRPr="00803BFE" w:rsidRDefault="001721EA" w:rsidP="001721EA">
      <w:pPr>
        <w:pStyle w:val="Numberbullet2"/>
        <w:numPr>
          <w:ilvl w:val="1"/>
          <w:numId w:val="12"/>
        </w:numPr>
        <w:rPr>
          <w:color w:val="auto"/>
        </w:rPr>
      </w:pPr>
      <w:r w:rsidRPr="00803BFE">
        <w:rPr>
          <w:b/>
          <w:bCs/>
          <w:color w:val="auto"/>
        </w:rPr>
        <w:t xml:space="preserve">Measurable: </w:t>
      </w:r>
      <w:r w:rsidRPr="00803BFE">
        <w:rPr>
          <w:color w:val="auto"/>
        </w:rPr>
        <w:t xml:space="preserve">Sunscreen active ingredients are safe at the levels they are permitted in sunscreens. </w:t>
      </w:r>
    </w:p>
    <w:p w14:paraId="0A031434" w14:textId="32FD134A" w:rsidR="001721EA" w:rsidRPr="00803BFE" w:rsidRDefault="001721EA" w:rsidP="001721EA">
      <w:pPr>
        <w:pStyle w:val="Numberbullet2"/>
        <w:numPr>
          <w:ilvl w:val="1"/>
          <w:numId w:val="12"/>
        </w:numPr>
        <w:rPr>
          <w:color w:val="auto"/>
        </w:rPr>
      </w:pPr>
      <w:r w:rsidRPr="00803BFE">
        <w:rPr>
          <w:b/>
          <w:bCs/>
          <w:color w:val="auto"/>
        </w:rPr>
        <w:t xml:space="preserve">Achievable: </w:t>
      </w:r>
      <w:r w:rsidR="00AE4BFC">
        <w:rPr>
          <w:color w:val="auto"/>
        </w:rPr>
        <w:t>T</w:t>
      </w:r>
      <w:r w:rsidR="00736ED1" w:rsidRPr="00803BFE">
        <w:rPr>
          <w:color w:val="auto"/>
        </w:rPr>
        <w:t>he model can be used to calculate the safe permitted level.</w:t>
      </w:r>
    </w:p>
    <w:p w14:paraId="332AC810" w14:textId="08E5D78B" w:rsidR="001721EA" w:rsidRPr="00803BFE" w:rsidRDefault="001721EA" w:rsidP="001721EA">
      <w:pPr>
        <w:pStyle w:val="Numberbullet2"/>
        <w:numPr>
          <w:ilvl w:val="1"/>
          <w:numId w:val="12"/>
        </w:numPr>
        <w:rPr>
          <w:color w:val="auto"/>
        </w:rPr>
      </w:pPr>
      <w:r w:rsidRPr="00803BFE">
        <w:rPr>
          <w:b/>
          <w:bCs/>
          <w:color w:val="auto"/>
        </w:rPr>
        <w:t xml:space="preserve">Realistic: </w:t>
      </w:r>
      <w:r w:rsidR="00AE4BFC">
        <w:rPr>
          <w:color w:val="auto"/>
        </w:rPr>
        <w:t>P</w:t>
      </w:r>
      <w:r w:rsidRPr="00803BFE">
        <w:rPr>
          <w:color w:val="auto"/>
        </w:rPr>
        <w:t>romot</w:t>
      </w:r>
      <w:r w:rsidR="00AE4BFC">
        <w:rPr>
          <w:color w:val="auto"/>
        </w:rPr>
        <w:t>es</w:t>
      </w:r>
      <w:r w:rsidRPr="00803BFE">
        <w:rPr>
          <w:color w:val="auto"/>
        </w:rPr>
        <w:t xml:space="preserve"> public health and safety by encouraging the use of sunscreens. </w:t>
      </w:r>
    </w:p>
    <w:p w14:paraId="0B49D7FF" w14:textId="748AAC1C" w:rsidR="001721EA" w:rsidRPr="00803BFE" w:rsidRDefault="001721EA" w:rsidP="001721EA">
      <w:pPr>
        <w:pStyle w:val="Numberbullet2"/>
        <w:numPr>
          <w:ilvl w:val="1"/>
          <w:numId w:val="12"/>
        </w:numPr>
        <w:rPr>
          <w:color w:val="auto"/>
        </w:rPr>
      </w:pPr>
      <w:r w:rsidRPr="00803BFE">
        <w:rPr>
          <w:b/>
          <w:bCs/>
          <w:color w:val="auto"/>
        </w:rPr>
        <w:t xml:space="preserve">Time bound: </w:t>
      </w:r>
      <w:r w:rsidRPr="00803BFE">
        <w:rPr>
          <w:color w:val="auto"/>
        </w:rPr>
        <w:t xml:space="preserve">Over a </w:t>
      </w:r>
      <w:r w:rsidR="0005633B">
        <w:rPr>
          <w:color w:val="auto"/>
        </w:rPr>
        <w:t>2</w:t>
      </w:r>
      <w:r w:rsidRPr="00803BFE">
        <w:rPr>
          <w:color w:val="auto"/>
        </w:rPr>
        <w:t xml:space="preserve">-year period post-implementation. </w:t>
      </w:r>
    </w:p>
    <w:p w14:paraId="4A83C46F" w14:textId="4C0D927C" w:rsidR="00BB556A" w:rsidRDefault="00BB556A" w:rsidP="006D28D0">
      <w:pPr>
        <w:pStyle w:val="Numberbullet0"/>
        <w:numPr>
          <w:ilvl w:val="0"/>
          <w:numId w:val="12"/>
        </w:numPr>
      </w:pPr>
      <w:r w:rsidRPr="006D28D0">
        <w:rPr>
          <w:rStyle w:val="Strong"/>
          <w:rFonts w:asciiTheme="minorHAnsi" w:hAnsiTheme="minorHAnsi" w:cs="Arial"/>
        </w:rPr>
        <w:t>Enhance consumer safety and trust</w:t>
      </w:r>
      <w:r w:rsidR="00146211" w:rsidRPr="006D28D0">
        <w:rPr>
          <w:rStyle w:val="Strong"/>
          <w:rFonts w:asciiTheme="minorHAnsi" w:hAnsiTheme="minorHAnsi" w:cs="Arial"/>
        </w:rPr>
        <w:t xml:space="preserve"> in </w:t>
      </w:r>
      <w:r w:rsidRPr="006D28D0">
        <w:rPr>
          <w:rStyle w:val="Strong"/>
          <w:rFonts w:asciiTheme="minorHAnsi" w:hAnsiTheme="minorHAnsi" w:cs="Arial"/>
        </w:rPr>
        <w:t>sunscreens</w:t>
      </w:r>
      <w:r w:rsidR="001721EA" w:rsidRPr="006D28D0">
        <w:rPr>
          <w:rStyle w:val="Strong"/>
          <w:rFonts w:asciiTheme="minorHAnsi" w:hAnsiTheme="minorHAnsi" w:cs="Arial"/>
        </w:rPr>
        <w:t xml:space="preserve"> </w:t>
      </w:r>
      <w:r w:rsidR="00146211" w:rsidRPr="006D28D0">
        <w:rPr>
          <w:rStyle w:val="Strong"/>
          <w:rFonts w:asciiTheme="minorHAnsi" w:hAnsiTheme="minorHAnsi" w:cs="Arial"/>
        </w:rPr>
        <w:t>to</w:t>
      </w:r>
      <w:r w:rsidR="001721EA" w:rsidRPr="006D28D0">
        <w:rPr>
          <w:rStyle w:val="Strong"/>
          <w:rFonts w:asciiTheme="minorHAnsi" w:hAnsiTheme="minorHAnsi" w:cs="Arial"/>
        </w:rPr>
        <w:t xml:space="preserve"> promote sunscreen usage</w:t>
      </w:r>
      <w:r w:rsidR="00146211" w:rsidRPr="006D28D0">
        <w:rPr>
          <w:rStyle w:val="Strong"/>
          <w:rFonts w:asciiTheme="minorHAnsi" w:hAnsiTheme="minorHAnsi" w:cs="Arial"/>
        </w:rPr>
        <w:t>:</w:t>
      </w:r>
      <w:r w:rsidRPr="002159BF">
        <w:t xml:space="preserve"> </w:t>
      </w:r>
    </w:p>
    <w:p w14:paraId="3C13A7C6" w14:textId="77777777" w:rsidR="00BB556A" w:rsidRPr="00803BFE" w:rsidRDefault="00BB556A" w:rsidP="00BB556A">
      <w:pPr>
        <w:pStyle w:val="Numberbullet2"/>
        <w:numPr>
          <w:ilvl w:val="1"/>
          <w:numId w:val="12"/>
        </w:numPr>
        <w:rPr>
          <w:color w:val="auto"/>
        </w:rPr>
      </w:pPr>
      <w:r w:rsidRPr="00803BFE">
        <w:rPr>
          <w:b/>
          <w:bCs/>
          <w:color w:val="auto"/>
        </w:rPr>
        <w:t xml:space="preserve">Specific: </w:t>
      </w:r>
      <w:r w:rsidRPr="00803BFE">
        <w:rPr>
          <w:color w:val="auto"/>
        </w:rPr>
        <w:t>Enhance the safety reputation of Australian sunscreens.</w:t>
      </w:r>
    </w:p>
    <w:p w14:paraId="59181B6A" w14:textId="342A0375" w:rsidR="00BB556A" w:rsidRPr="00803BFE" w:rsidRDefault="00BB556A" w:rsidP="00BB556A">
      <w:pPr>
        <w:pStyle w:val="Numberbullet2"/>
        <w:numPr>
          <w:ilvl w:val="1"/>
          <w:numId w:val="12"/>
        </w:numPr>
        <w:rPr>
          <w:color w:val="auto"/>
        </w:rPr>
      </w:pPr>
      <w:r w:rsidRPr="00803BFE">
        <w:rPr>
          <w:b/>
          <w:bCs/>
          <w:color w:val="auto"/>
        </w:rPr>
        <w:t xml:space="preserve">Measurable: </w:t>
      </w:r>
      <w:r w:rsidR="001721EA" w:rsidRPr="00803BFE">
        <w:rPr>
          <w:color w:val="auto"/>
        </w:rPr>
        <w:t>Increased use of sunscreens by consumers</w:t>
      </w:r>
      <w:r w:rsidR="00146211" w:rsidRPr="00803BFE">
        <w:rPr>
          <w:color w:val="auto"/>
        </w:rPr>
        <w:t>.</w:t>
      </w:r>
    </w:p>
    <w:p w14:paraId="0CE08C19" w14:textId="77777777" w:rsidR="00BB556A" w:rsidRPr="00803BFE" w:rsidRDefault="00BB556A" w:rsidP="00BB556A">
      <w:pPr>
        <w:pStyle w:val="Numberbullet2"/>
        <w:numPr>
          <w:ilvl w:val="1"/>
          <w:numId w:val="12"/>
        </w:numPr>
        <w:rPr>
          <w:color w:val="auto"/>
        </w:rPr>
      </w:pPr>
      <w:r w:rsidRPr="00803BFE">
        <w:rPr>
          <w:b/>
          <w:bCs/>
          <w:color w:val="auto"/>
        </w:rPr>
        <w:t xml:space="preserve">Achievable: </w:t>
      </w:r>
      <w:r w:rsidRPr="00803BFE">
        <w:rPr>
          <w:color w:val="auto"/>
        </w:rPr>
        <w:t>Ensure all sunscreens meet stringent safety standards and communicate these standards effectively to the public.</w:t>
      </w:r>
    </w:p>
    <w:p w14:paraId="1D6B65B7" w14:textId="06F9AC5B" w:rsidR="00BB556A" w:rsidRPr="00803BFE" w:rsidRDefault="00BB556A" w:rsidP="00BB556A">
      <w:pPr>
        <w:pStyle w:val="Numberbullet2"/>
        <w:numPr>
          <w:ilvl w:val="1"/>
          <w:numId w:val="12"/>
        </w:numPr>
        <w:rPr>
          <w:color w:val="auto"/>
        </w:rPr>
      </w:pPr>
      <w:r w:rsidRPr="00803BFE">
        <w:rPr>
          <w:b/>
          <w:bCs/>
          <w:color w:val="auto"/>
        </w:rPr>
        <w:t xml:space="preserve">Realistic: </w:t>
      </w:r>
      <w:r w:rsidR="00AE4BFC">
        <w:rPr>
          <w:color w:val="auto"/>
        </w:rPr>
        <w:t>Promotes</w:t>
      </w:r>
      <w:r w:rsidRPr="00803BFE">
        <w:rPr>
          <w:color w:val="auto"/>
        </w:rPr>
        <w:t xml:space="preserve"> public health and safety by encouraging the use of sunscreens. </w:t>
      </w:r>
    </w:p>
    <w:p w14:paraId="3C29CDA9" w14:textId="3355CE0A" w:rsidR="00BB556A" w:rsidRPr="00803BFE" w:rsidRDefault="00BB556A" w:rsidP="00BB556A">
      <w:pPr>
        <w:pStyle w:val="Numberbullet2"/>
        <w:numPr>
          <w:ilvl w:val="1"/>
          <w:numId w:val="12"/>
        </w:numPr>
        <w:rPr>
          <w:color w:val="auto"/>
        </w:rPr>
      </w:pPr>
      <w:r w:rsidRPr="00803BFE">
        <w:rPr>
          <w:b/>
          <w:bCs/>
          <w:color w:val="auto"/>
        </w:rPr>
        <w:t xml:space="preserve">Time bound: </w:t>
      </w:r>
      <w:r w:rsidRPr="00803BFE">
        <w:rPr>
          <w:color w:val="auto"/>
        </w:rPr>
        <w:t xml:space="preserve">Over a </w:t>
      </w:r>
      <w:r w:rsidR="000419DF">
        <w:rPr>
          <w:color w:val="auto"/>
        </w:rPr>
        <w:t>2</w:t>
      </w:r>
      <w:r w:rsidRPr="00803BFE">
        <w:rPr>
          <w:color w:val="auto"/>
        </w:rPr>
        <w:t xml:space="preserve">-year period post-implementation. </w:t>
      </w:r>
    </w:p>
    <w:p w14:paraId="2AC39E5E" w14:textId="02E0B5FF" w:rsidR="00BB556A" w:rsidRDefault="001721EA" w:rsidP="006D28D0">
      <w:pPr>
        <w:pStyle w:val="Numberbullet0"/>
        <w:numPr>
          <w:ilvl w:val="0"/>
          <w:numId w:val="12"/>
        </w:numPr>
      </w:pPr>
      <w:r w:rsidRPr="006D28D0">
        <w:rPr>
          <w:rStyle w:val="Strong"/>
          <w:rFonts w:asciiTheme="minorHAnsi" w:hAnsiTheme="minorHAnsi" w:cs="Arial"/>
          <w:color w:val="242424"/>
        </w:rPr>
        <w:t>I</w:t>
      </w:r>
      <w:r w:rsidR="00BB556A" w:rsidRPr="006D28D0">
        <w:rPr>
          <w:rStyle w:val="Strong"/>
          <w:rFonts w:asciiTheme="minorHAnsi" w:hAnsiTheme="minorHAnsi" w:cs="Arial"/>
          <w:color w:val="242424"/>
        </w:rPr>
        <w:t>ncrease regulatory certainty</w:t>
      </w:r>
      <w:r w:rsidRPr="006D28D0">
        <w:rPr>
          <w:rStyle w:val="Strong"/>
          <w:rFonts w:asciiTheme="minorHAnsi" w:hAnsiTheme="minorHAnsi" w:cs="Arial"/>
          <w:color w:val="242424"/>
        </w:rPr>
        <w:t xml:space="preserve"> for sunscreen industry</w:t>
      </w:r>
      <w:r w:rsidR="00146211" w:rsidRPr="006D28D0">
        <w:rPr>
          <w:rStyle w:val="Strong"/>
          <w:rFonts w:asciiTheme="minorHAnsi" w:hAnsiTheme="minorHAnsi" w:cs="Arial"/>
          <w:color w:val="242424"/>
        </w:rPr>
        <w:t>:</w:t>
      </w:r>
      <w:r w:rsidR="00BB556A" w:rsidRPr="002159BF">
        <w:t xml:space="preserve"> </w:t>
      </w:r>
    </w:p>
    <w:p w14:paraId="2D9F4B0D" w14:textId="4137E119" w:rsidR="00BB556A" w:rsidRPr="00803BFE" w:rsidRDefault="00BB556A" w:rsidP="00BB556A">
      <w:pPr>
        <w:pStyle w:val="Numberbullet2"/>
        <w:numPr>
          <w:ilvl w:val="1"/>
          <w:numId w:val="12"/>
        </w:numPr>
        <w:rPr>
          <w:color w:val="auto"/>
        </w:rPr>
      </w:pPr>
      <w:r w:rsidRPr="00803BFE">
        <w:rPr>
          <w:b/>
          <w:bCs/>
          <w:color w:val="auto"/>
        </w:rPr>
        <w:t xml:space="preserve">Specific: </w:t>
      </w:r>
      <w:r w:rsidR="00146211" w:rsidRPr="00803BFE">
        <w:rPr>
          <w:color w:val="auto"/>
        </w:rPr>
        <w:t>Enhance</w:t>
      </w:r>
      <w:r w:rsidRPr="00803BFE">
        <w:rPr>
          <w:color w:val="auto"/>
        </w:rPr>
        <w:t xml:space="preserve"> regulatory efficiency and consistency</w:t>
      </w:r>
      <w:r w:rsidR="007A5C41">
        <w:rPr>
          <w:color w:val="auto"/>
        </w:rPr>
        <w:t xml:space="preserve"> through a risk based and data driven approach.</w:t>
      </w:r>
    </w:p>
    <w:p w14:paraId="530EEF76" w14:textId="2E9783CE" w:rsidR="00BB556A" w:rsidRPr="00803BFE" w:rsidRDefault="00BB556A" w:rsidP="00BB556A">
      <w:pPr>
        <w:pStyle w:val="Numberbullet2"/>
        <w:numPr>
          <w:ilvl w:val="1"/>
          <w:numId w:val="12"/>
        </w:numPr>
        <w:rPr>
          <w:color w:val="auto"/>
        </w:rPr>
      </w:pPr>
      <w:r w:rsidRPr="00803BFE">
        <w:rPr>
          <w:b/>
          <w:bCs/>
          <w:color w:val="auto"/>
        </w:rPr>
        <w:t xml:space="preserve">Measurable: </w:t>
      </w:r>
      <w:r w:rsidR="00146211" w:rsidRPr="00803BFE">
        <w:rPr>
          <w:color w:val="auto"/>
        </w:rPr>
        <w:t>I</w:t>
      </w:r>
      <w:r w:rsidRPr="00803BFE">
        <w:rPr>
          <w:color w:val="auto"/>
        </w:rPr>
        <w:t>ncrease in positive feedback from stakeholders and reduction in applications being refused due to a lack of clarity regarding the assessment process.</w:t>
      </w:r>
    </w:p>
    <w:p w14:paraId="7F05757A" w14:textId="77777777" w:rsidR="00BB556A" w:rsidRPr="00803BFE" w:rsidRDefault="00BB556A" w:rsidP="00BB556A">
      <w:pPr>
        <w:pStyle w:val="Numberbullet2"/>
        <w:numPr>
          <w:ilvl w:val="1"/>
          <w:numId w:val="12"/>
        </w:numPr>
        <w:rPr>
          <w:color w:val="auto"/>
        </w:rPr>
      </w:pPr>
      <w:r w:rsidRPr="00803BFE">
        <w:rPr>
          <w:b/>
          <w:bCs/>
          <w:color w:val="auto"/>
        </w:rPr>
        <w:t xml:space="preserve">Achievable: </w:t>
      </w:r>
      <w:r w:rsidRPr="00803BFE">
        <w:rPr>
          <w:color w:val="auto"/>
        </w:rPr>
        <w:t>Based on key assumptions that changes would lead to a standardised, evidence-based methodology, that is practical for applicants and evaluators to assess ingredient risk.</w:t>
      </w:r>
    </w:p>
    <w:p w14:paraId="0F78D3F1" w14:textId="78F0822E" w:rsidR="00BB556A" w:rsidRPr="00803BFE" w:rsidRDefault="00BB556A" w:rsidP="00BB556A">
      <w:pPr>
        <w:pStyle w:val="Numberbullet2"/>
        <w:numPr>
          <w:ilvl w:val="1"/>
          <w:numId w:val="12"/>
        </w:numPr>
        <w:rPr>
          <w:color w:val="auto"/>
        </w:rPr>
      </w:pPr>
      <w:r w:rsidRPr="00803BFE">
        <w:rPr>
          <w:b/>
          <w:bCs/>
          <w:color w:val="auto"/>
        </w:rPr>
        <w:t xml:space="preserve">Realistic: </w:t>
      </w:r>
      <w:bookmarkStart w:id="66" w:name="_Hlk181175530"/>
      <w:r w:rsidRPr="00803BFE">
        <w:rPr>
          <w:color w:val="auto"/>
        </w:rPr>
        <w:t>Feedback from industry is that this is feasible</w:t>
      </w:r>
      <w:r w:rsidR="007A5C41">
        <w:rPr>
          <w:color w:val="auto"/>
        </w:rPr>
        <w:t xml:space="preserve"> and appropriately risk based</w:t>
      </w:r>
      <w:r w:rsidRPr="00803BFE">
        <w:rPr>
          <w:color w:val="auto"/>
        </w:rPr>
        <w:t>.</w:t>
      </w:r>
      <w:bookmarkEnd w:id="66"/>
    </w:p>
    <w:p w14:paraId="29677987" w14:textId="7DCE2B33" w:rsidR="00BB556A" w:rsidRPr="00803BFE" w:rsidRDefault="00BB556A" w:rsidP="00BB556A">
      <w:pPr>
        <w:pStyle w:val="Numberbullet2"/>
        <w:numPr>
          <w:ilvl w:val="1"/>
          <w:numId w:val="12"/>
        </w:numPr>
        <w:rPr>
          <w:color w:val="auto"/>
        </w:rPr>
      </w:pPr>
      <w:r w:rsidRPr="00803BFE">
        <w:rPr>
          <w:b/>
          <w:bCs/>
          <w:color w:val="auto"/>
        </w:rPr>
        <w:t xml:space="preserve">Time bound: </w:t>
      </w:r>
      <w:r w:rsidRPr="00803BFE">
        <w:rPr>
          <w:color w:val="auto"/>
        </w:rPr>
        <w:t xml:space="preserve">Over a </w:t>
      </w:r>
      <w:r w:rsidR="00AD4586">
        <w:rPr>
          <w:color w:val="auto"/>
        </w:rPr>
        <w:t>2</w:t>
      </w:r>
      <w:r w:rsidRPr="00803BFE">
        <w:rPr>
          <w:color w:val="auto"/>
        </w:rPr>
        <w:t xml:space="preserve">-year period. </w:t>
      </w:r>
    </w:p>
    <w:p w14:paraId="3044C27C" w14:textId="027B0C1E" w:rsidR="00BB556A" w:rsidRDefault="00BB556A" w:rsidP="003413F6">
      <w:pPr>
        <w:pStyle w:val="Numberbullet0"/>
        <w:numPr>
          <w:ilvl w:val="0"/>
          <w:numId w:val="0"/>
        </w:numPr>
      </w:pPr>
      <w:r>
        <w:t xml:space="preserve">The guiding principles </w:t>
      </w:r>
      <w:r w:rsidR="001721EA">
        <w:t xml:space="preserve">to determine the </w:t>
      </w:r>
      <w:r w:rsidR="00F20954">
        <w:t xml:space="preserve">preferred </w:t>
      </w:r>
      <w:r w:rsidR="001721EA">
        <w:t>model are as follows:</w:t>
      </w:r>
      <w:r>
        <w:t xml:space="preserve"> </w:t>
      </w:r>
    </w:p>
    <w:p w14:paraId="7F31B458" w14:textId="1CC17390" w:rsidR="001721EA" w:rsidRDefault="001721EA" w:rsidP="006D28D0">
      <w:pPr>
        <w:pStyle w:val="Numberbullet0"/>
        <w:numPr>
          <w:ilvl w:val="0"/>
          <w:numId w:val="21"/>
        </w:numPr>
      </w:pPr>
      <w:r w:rsidRPr="006D28D0">
        <w:rPr>
          <w:rStyle w:val="Strong"/>
          <w:rFonts w:asciiTheme="minorHAnsi" w:hAnsiTheme="minorHAnsi" w:cs="Arial"/>
          <w:color w:val="242424"/>
        </w:rPr>
        <w:t>The model should be based on contemporary evidence-based information</w:t>
      </w:r>
      <w:r w:rsidR="00146211" w:rsidRPr="006D28D0">
        <w:rPr>
          <w:rStyle w:val="Strong"/>
          <w:rFonts w:asciiTheme="minorHAnsi" w:hAnsiTheme="minorHAnsi" w:cs="Arial"/>
          <w:color w:val="242424"/>
        </w:rPr>
        <w:t>:</w:t>
      </w:r>
      <w:r w:rsidRPr="002159BF">
        <w:t xml:space="preserve"> </w:t>
      </w:r>
    </w:p>
    <w:p w14:paraId="30E07E5E" w14:textId="77777777" w:rsidR="001721EA" w:rsidRPr="00803BFE" w:rsidRDefault="001721EA" w:rsidP="001721EA">
      <w:pPr>
        <w:pStyle w:val="Numberbullet2"/>
        <w:numPr>
          <w:ilvl w:val="1"/>
          <w:numId w:val="12"/>
        </w:numPr>
        <w:rPr>
          <w:color w:val="auto"/>
        </w:rPr>
      </w:pPr>
      <w:r w:rsidRPr="00803BFE">
        <w:rPr>
          <w:b/>
          <w:bCs/>
          <w:color w:val="auto"/>
        </w:rPr>
        <w:t xml:space="preserve">Specific: </w:t>
      </w:r>
      <w:r w:rsidRPr="00803BFE">
        <w:rPr>
          <w:color w:val="auto"/>
        </w:rPr>
        <w:t>The exposure model should consider demographic data for sunscreen users, such as children and adults in the context in which sunscreen is applied.</w:t>
      </w:r>
    </w:p>
    <w:p w14:paraId="2F5CB34B" w14:textId="77777777" w:rsidR="001721EA" w:rsidRPr="00803BFE" w:rsidRDefault="001721EA" w:rsidP="001721EA">
      <w:pPr>
        <w:pStyle w:val="Numberbullet2"/>
        <w:numPr>
          <w:ilvl w:val="1"/>
          <w:numId w:val="12"/>
        </w:numPr>
        <w:rPr>
          <w:color w:val="auto"/>
        </w:rPr>
      </w:pPr>
      <w:r w:rsidRPr="00803BFE">
        <w:rPr>
          <w:b/>
          <w:bCs/>
          <w:color w:val="auto"/>
        </w:rPr>
        <w:t xml:space="preserve">Measurable: </w:t>
      </w:r>
      <w:r w:rsidRPr="00803BFE">
        <w:rPr>
          <w:color w:val="auto"/>
        </w:rPr>
        <w:t>Ensure the model has and includes all demographic groups and usage patterns specific to Australia.</w:t>
      </w:r>
    </w:p>
    <w:p w14:paraId="1257013E" w14:textId="131AFEAA" w:rsidR="001721EA" w:rsidRPr="00803BFE" w:rsidRDefault="001721EA" w:rsidP="001721EA">
      <w:pPr>
        <w:pStyle w:val="Numberbullet2"/>
        <w:numPr>
          <w:ilvl w:val="1"/>
          <w:numId w:val="12"/>
        </w:numPr>
        <w:rPr>
          <w:color w:val="auto"/>
        </w:rPr>
      </w:pPr>
      <w:r w:rsidRPr="00803BFE">
        <w:rPr>
          <w:b/>
          <w:bCs/>
          <w:color w:val="auto"/>
        </w:rPr>
        <w:t xml:space="preserve">Achievable: </w:t>
      </w:r>
      <w:r w:rsidR="009C5F5B" w:rsidRPr="00803BFE">
        <w:rPr>
          <w:color w:val="auto"/>
        </w:rPr>
        <w:t>The model is practical and able to be utilised by ingredients applicants</w:t>
      </w:r>
      <w:r w:rsidR="00EF6675" w:rsidRPr="00803BFE">
        <w:rPr>
          <w:color w:val="auto"/>
        </w:rPr>
        <w:t>.</w:t>
      </w:r>
    </w:p>
    <w:p w14:paraId="2ED75575" w14:textId="49A8E895" w:rsidR="001721EA" w:rsidRPr="00803BFE" w:rsidRDefault="001721EA" w:rsidP="001721EA">
      <w:pPr>
        <w:pStyle w:val="Numberbullet2"/>
        <w:numPr>
          <w:ilvl w:val="1"/>
          <w:numId w:val="12"/>
        </w:numPr>
        <w:rPr>
          <w:color w:val="auto"/>
        </w:rPr>
      </w:pPr>
      <w:r w:rsidRPr="00803BFE">
        <w:rPr>
          <w:b/>
          <w:bCs/>
          <w:color w:val="auto"/>
        </w:rPr>
        <w:t xml:space="preserve">Realistic: </w:t>
      </w:r>
      <w:r w:rsidR="009C5F5B" w:rsidRPr="00803BFE">
        <w:rPr>
          <w:color w:val="auto"/>
        </w:rPr>
        <w:t>Feedback from industry is that this is feasible and the TGA is adequately resourced to implement the changes.</w:t>
      </w:r>
    </w:p>
    <w:p w14:paraId="15F62A3F" w14:textId="695C2E00" w:rsidR="001721EA" w:rsidRPr="00803BFE" w:rsidRDefault="001721EA" w:rsidP="001721EA">
      <w:pPr>
        <w:pStyle w:val="Numberbullet2"/>
        <w:numPr>
          <w:ilvl w:val="1"/>
          <w:numId w:val="12"/>
        </w:numPr>
        <w:rPr>
          <w:color w:val="auto"/>
        </w:rPr>
      </w:pPr>
      <w:r w:rsidRPr="00803BFE">
        <w:rPr>
          <w:b/>
          <w:bCs/>
          <w:color w:val="auto"/>
        </w:rPr>
        <w:t xml:space="preserve">Time bound: </w:t>
      </w:r>
      <w:r w:rsidR="009C5F5B" w:rsidRPr="00803BFE">
        <w:rPr>
          <w:color w:val="auto"/>
        </w:rPr>
        <w:t xml:space="preserve">Over a </w:t>
      </w:r>
      <w:r w:rsidR="00322471">
        <w:rPr>
          <w:color w:val="auto"/>
        </w:rPr>
        <w:t>2</w:t>
      </w:r>
      <w:r w:rsidR="009C5F5B" w:rsidRPr="00803BFE">
        <w:rPr>
          <w:color w:val="auto"/>
        </w:rPr>
        <w:t>-year period.</w:t>
      </w:r>
    </w:p>
    <w:p w14:paraId="4D1D84B9" w14:textId="4C63806D" w:rsidR="000D581D" w:rsidRDefault="001721EA" w:rsidP="006D28D0">
      <w:pPr>
        <w:pStyle w:val="Numberbullet0"/>
        <w:numPr>
          <w:ilvl w:val="0"/>
          <w:numId w:val="12"/>
        </w:numPr>
      </w:pPr>
      <w:r w:rsidRPr="006D28D0">
        <w:rPr>
          <w:rStyle w:val="Strong"/>
          <w:rFonts w:asciiTheme="minorHAnsi" w:hAnsiTheme="minorHAnsi" w:cs="Arial"/>
          <w:color w:val="242424"/>
        </w:rPr>
        <w:t>The model should reflect c</w:t>
      </w:r>
      <w:r w:rsidR="000D581D" w:rsidRPr="006D28D0">
        <w:rPr>
          <w:rStyle w:val="Strong"/>
          <w:rFonts w:asciiTheme="minorHAnsi" w:hAnsiTheme="minorHAnsi" w:cs="Arial"/>
          <w:color w:val="242424"/>
        </w:rPr>
        <w:t>orrect usage directions for effective sun protection</w:t>
      </w:r>
      <w:r w:rsidR="00146211" w:rsidRPr="006D28D0">
        <w:rPr>
          <w:rStyle w:val="Strong"/>
          <w:rFonts w:asciiTheme="minorHAnsi" w:hAnsiTheme="minorHAnsi" w:cs="Arial"/>
          <w:color w:val="242424"/>
        </w:rPr>
        <w:t>:</w:t>
      </w:r>
    </w:p>
    <w:p w14:paraId="00799DC1" w14:textId="77777777" w:rsidR="000D581D" w:rsidRPr="00803BFE" w:rsidRDefault="000D581D" w:rsidP="000D581D">
      <w:pPr>
        <w:pStyle w:val="Numberbullet2"/>
        <w:numPr>
          <w:ilvl w:val="1"/>
          <w:numId w:val="12"/>
        </w:numPr>
        <w:rPr>
          <w:color w:val="auto"/>
        </w:rPr>
      </w:pPr>
      <w:r w:rsidRPr="00803BFE">
        <w:rPr>
          <w:b/>
          <w:bCs/>
          <w:color w:val="auto"/>
        </w:rPr>
        <w:t xml:space="preserve">Specific: </w:t>
      </w:r>
      <w:r w:rsidRPr="00803BFE">
        <w:rPr>
          <w:color w:val="auto"/>
        </w:rPr>
        <w:t>Integrate evidence-based application guidelines to achieve the labelled SPF rating, ensuring that sunscreen ingredients are safe and effective when used as directed. It should be future proof where possible to account for future expected sunscreen use based on current and emerging evidence-based recommendations.</w:t>
      </w:r>
    </w:p>
    <w:p w14:paraId="54A5A1D8" w14:textId="3DBF2296" w:rsidR="000D581D" w:rsidRPr="00803BFE" w:rsidRDefault="000D581D" w:rsidP="000D581D">
      <w:pPr>
        <w:pStyle w:val="Numberbullet2"/>
        <w:numPr>
          <w:ilvl w:val="1"/>
          <w:numId w:val="12"/>
        </w:numPr>
        <w:rPr>
          <w:color w:val="auto"/>
        </w:rPr>
      </w:pPr>
      <w:r w:rsidRPr="00803BFE">
        <w:rPr>
          <w:b/>
          <w:bCs/>
          <w:color w:val="auto"/>
        </w:rPr>
        <w:t xml:space="preserve">Measurable: </w:t>
      </w:r>
      <w:r w:rsidR="009C5F5B" w:rsidRPr="00803BFE">
        <w:rPr>
          <w:color w:val="auto"/>
        </w:rPr>
        <w:t>Ensure the model has all demographic groups and usage patterns specific to Australia.</w:t>
      </w:r>
    </w:p>
    <w:p w14:paraId="1B96B325" w14:textId="1FF83A44" w:rsidR="009C5F5B" w:rsidRPr="00803BFE" w:rsidRDefault="000D581D" w:rsidP="009C5F5B">
      <w:pPr>
        <w:pStyle w:val="Numberbullet2"/>
        <w:numPr>
          <w:ilvl w:val="1"/>
          <w:numId w:val="12"/>
        </w:numPr>
        <w:rPr>
          <w:color w:val="auto"/>
        </w:rPr>
      </w:pPr>
      <w:r w:rsidRPr="00803BFE">
        <w:rPr>
          <w:b/>
          <w:bCs/>
          <w:color w:val="auto"/>
        </w:rPr>
        <w:t xml:space="preserve">Achievable: </w:t>
      </w:r>
      <w:r w:rsidR="009C5F5B" w:rsidRPr="00803BFE">
        <w:rPr>
          <w:color w:val="auto"/>
        </w:rPr>
        <w:t>The model is practical and able to be utilised by ingredients applicants</w:t>
      </w:r>
      <w:r w:rsidR="00EF6675" w:rsidRPr="00803BFE">
        <w:rPr>
          <w:color w:val="auto"/>
        </w:rPr>
        <w:t xml:space="preserve"> </w:t>
      </w:r>
      <w:r w:rsidR="009C5F5B" w:rsidRPr="00803BFE">
        <w:rPr>
          <w:color w:val="auto"/>
        </w:rPr>
        <w:t>and evaluators</w:t>
      </w:r>
      <w:r w:rsidR="00576433" w:rsidRPr="00803BFE">
        <w:rPr>
          <w:color w:val="auto"/>
        </w:rPr>
        <w:t>.</w:t>
      </w:r>
    </w:p>
    <w:p w14:paraId="104537BD" w14:textId="105D9430" w:rsidR="000D581D" w:rsidRPr="00803BFE" w:rsidRDefault="000D581D" w:rsidP="000D581D">
      <w:pPr>
        <w:pStyle w:val="Numberbullet2"/>
        <w:numPr>
          <w:ilvl w:val="1"/>
          <w:numId w:val="11"/>
        </w:numPr>
        <w:rPr>
          <w:color w:val="auto"/>
        </w:rPr>
      </w:pPr>
      <w:r w:rsidRPr="00803BFE">
        <w:rPr>
          <w:b/>
          <w:bCs/>
          <w:color w:val="auto"/>
        </w:rPr>
        <w:t xml:space="preserve">Realistic: </w:t>
      </w:r>
      <w:r w:rsidR="00AE4BFC">
        <w:rPr>
          <w:color w:val="auto"/>
        </w:rPr>
        <w:t>Improves</w:t>
      </w:r>
      <w:r w:rsidRPr="00803BFE">
        <w:rPr>
          <w:color w:val="auto"/>
        </w:rPr>
        <w:t xml:space="preserve"> public health by reducing the incidence of skin cancer.</w:t>
      </w:r>
    </w:p>
    <w:p w14:paraId="4A781883" w14:textId="70677580" w:rsidR="000D581D" w:rsidRPr="00803BFE" w:rsidRDefault="000D581D" w:rsidP="000D581D">
      <w:pPr>
        <w:pStyle w:val="Numberbullet2"/>
        <w:numPr>
          <w:ilvl w:val="1"/>
          <w:numId w:val="12"/>
        </w:numPr>
        <w:rPr>
          <w:color w:val="auto"/>
        </w:rPr>
      </w:pPr>
      <w:r w:rsidRPr="00803BFE">
        <w:rPr>
          <w:b/>
          <w:bCs/>
          <w:color w:val="auto"/>
        </w:rPr>
        <w:t>Time bound:</w:t>
      </w:r>
      <w:r w:rsidRPr="00803BFE">
        <w:rPr>
          <w:color w:val="auto"/>
        </w:rPr>
        <w:t xml:space="preserve"> </w:t>
      </w:r>
      <w:r w:rsidR="001721EA" w:rsidRPr="00803BFE">
        <w:rPr>
          <w:color w:val="auto"/>
        </w:rPr>
        <w:t>Implemented end 2024.</w:t>
      </w:r>
    </w:p>
    <w:p w14:paraId="7C514509" w14:textId="794D2206" w:rsidR="000D581D" w:rsidRPr="006D28D0" w:rsidRDefault="001721EA" w:rsidP="006D28D0">
      <w:pPr>
        <w:pStyle w:val="Numberbullet0"/>
        <w:numPr>
          <w:ilvl w:val="0"/>
          <w:numId w:val="12"/>
        </w:numPr>
        <w:rPr>
          <w:rStyle w:val="Strong"/>
          <w:rFonts w:asciiTheme="minorHAnsi" w:hAnsiTheme="minorHAnsi" w:cs="Arial"/>
          <w:color w:val="242424"/>
        </w:rPr>
      </w:pPr>
      <w:r w:rsidRPr="006D28D0">
        <w:rPr>
          <w:rStyle w:val="Strong"/>
          <w:rFonts w:asciiTheme="minorHAnsi" w:hAnsiTheme="minorHAnsi" w:cs="Arial"/>
          <w:color w:val="242424"/>
        </w:rPr>
        <w:t xml:space="preserve">The Model should account for </w:t>
      </w:r>
      <w:r w:rsidR="00F20954" w:rsidRPr="006D28D0">
        <w:rPr>
          <w:rStyle w:val="Strong"/>
          <w:rFonts w:asciiTheme="minorHAnsi" w:hAnsiTheme="minorHAnsi" w:cs="Arial"/>
          <w:color w:val="242424"/>
        </w:rPr>
        <w:t xml:space="preserve">Australian usage and </w:t>
      </w:r>
      <w:r w:rsidRPr="006D28D0">
        <w:rPr>
          <w:rStyle w:val="Strong"/>
          <w:rFonts w:asciiTheme="minorHAnsi" w:hAnsiTheme="minorHAnsi" w:cs="Arial"/>
          <w:color w:val="242424"/>
        </w:rPr>
        <w:t>the h</w:t>
      </w:r>
      <w:r w:rsidR="000D581D" w:rsidRPr="006D28D0">
        <w:rPr>
          <w:rStyle w:val="Strong"/>
          <w:rFonts w:asciiTheme="minorHAnsi" w:hAnsiTheme="minorHAnsi" w:cs="Arial"/>
          <w:color w:val="242424"/>
        </w:rPr>
        <w:t xml:space="preserve">ighest realistic use-case: </w:t>
      </w:r>
    </w:p>
    <w:p w14:paraId="54D2563E" w14:textId="1B77107B" w:rsidR="000D581D" w:rsidRPr="00803BFE" w:rsidRDefault="000D581D" w:rsidP="000D581D">
      <w:pPr>
        <w:pStyle w:val="Numberbullet2"/>
        <w:numPr>
          <w:ilvl w:val="1"/>
          <w:numId w:val="11"/>
        </w:numPr>
        <w:rPr>
          <w:color w:val="auto"/>
        </w:rPr>
      </w:pPr>
      <w:r w:rsidRPr="00803BFE">
        <w:rPr>
          <w:b/>
          <w:bCs/>
          <w:color w:val="auto"/>
        </w:rPr>
        <w:t xml:space="preserve">Specific: </w:t>
      </w:r>
      <w:r w:rsidRPr="00803BFE">
        <w:rPr>
          <w:color w:val="auto"/>
        </w:rPr>
        <w:t xml:space="preserve">The model </w:t>
      </w:r>
      <w:r w:rsidR="000078AE" w:rsidRPr="00803BFE">
        <w:rPr>
          <w:color w:val="auto"/>
        </w:rPr>
        <w:t xml:space="preserve">should </w:t>
      </w:r>
      <w:r w:rsidRPr="00803BFE">
        <w:rPr>
          <w:color w:val="auto"/>
        </w:rPr>
        <w:t xml:space="preserve">account for sunscreen usage by the average Australian and those who use sunscreen more frequently, such as outdoor workers in northern Queensland, where the UV index is very high all year round. </w:t>
      </w:r>
      <w:r w:rsidR="000078AE" w:rsidRPr="00803BFE">
        <w:rPr>
          <w:color w:val="auto"/>
        </w:rPr>
        <w:t>The model should consider the highest plausible sunscreen use throughout the year, for the most sensitive population.</w:t>
      </w:r>
    </w:p>
    <w:p w14:paraId="244358A0" w14:textId="619E3711" w:rsidR="000D581D" w:rsidRPr="00803BFE" w:rsidRDefault="000D581D" w:rsidP="000078AE">
      <w:pPr>
        <w:pStyle w:val="Numberbullet2"/>
        <w:numPr>
          <w:ilvl w:val="1"/>
          <w:numId w:val="11"/>
        </w:numPr>
        <w:rPr>
          <w:color w:val="auto"/>
        </w:rPr>
      </w:pPr>
      <w:r w:rsidRPr="00803BFE">
        <w:rPr>
          <w:b/>
          <w:bCs/>
          <w:color w:val="auto"/>
        </w:rPr>
        <w:t xml:space="preserve">Measurable: </w:t>
      </w:r>
      <w:r w:rsidR="000078AE" w:rsidRPr="00803BFE">
        <w:rPr>
          <w:color w:val="auto"/>
        </w:rPr>
        <w:t xml:space="preserve">This approach ensures that the risk assessments for sunscreen ingredients, when based on the highest usage scenarios, will also guarantee safety for lower usage cases where less of the ingredient may be applied to the skin. </w:t>
      </w:r>
    </w:p>
    <w:p w14:paraId="46ABAC45" w14:textId="689EA257" w:rsidR="000D581D" w:rsidRPr="00803BFE" w:rsidRDefault="000D581D" w:rsidP="000D581D">
      <w:pPr>
        <w:pStyle w:val="Numberbullet2"/>
        <w:numPr>
          <w:ilvl w:val="1"/>
          <w:numId w:val="11"/>
        </w:numPr>
        <w:rPr>
          <w:color w:val="auto"/>
        </w:rPr>
      </w:pPr>
      <w:r w:rsidRPr="00803BFE">
        <w:rPr>
          <w:b/>
          <w:bCs/>
          <w:color w:val="auto"/>
        </w:rPr>
        <w:t xml:space="preserve">Achievable: </w:t>
      </w:r>
      <w:r w:rsidR="009C5F5B" w:rsidRPr="00803BFE">
        <w:rPr>
          <w:color w:val="auto"/>
        </w:rPr>
        <w:t>The model is practical and able to be utilised by ingredient applicants and evaluators</w:t>
      </w:r>
      <w:r w:rsidR="00576433" w:rsidRPr="00803BFE">
        <w:rPr>
          <w:color w:val="auto"/>
        </w:rPr>
        <w:t>.</w:t>
      </w:r>
    </w:p>
    <w:p w14:paraId="42FCAB1B" w14:textId="24CAF580" w:rsidR="000D581D" w:rsidRPr="00803BFE" w:rsidRDefault="000D581D" w:rsidP="00EA3D27">
      <w:pPr>
        <w:pStyle w:val="Numberbullet2"/>
        <w:numPr>
          <w:ilvl w:val="1"/>
          <w:numId w:val="12"/>
        </w:numPr>
        <w:rPr>
          <w:color w:val="auto"/>
        </w:rPr>
      </w:pPr>
      <w:r w:rsidRPr="00803BFE">
        <w:rPr>
          <w:b/>
          <w:bCs/>
          <w:color w:val="auto"/>
        </w:rPr>
        <w:t xml:space="preserve">Realistic: </w:t>
      </w:r>
      <w:r w:rsidR="009C5F5B" w:rsidRPr="00803BFE">
        <w:rPr>
          <w:color w:val="auto"/>
        </w:rPr>
        <w:t>the TGA is adequately resourced to implement the changes.</w:t>
      </w:r>
    </w:p>
    <w:p w14:paraId="723D150E" w14:textId="710AB546" w:rsidR="000D581D" w:rsidRPr="00803BFE" w:rsidRDefault="000D581D" w:rsidP="000D581D">
      <w:pPr>
        <w:pStyle w:val="Numberbullet2"/>
        <w:numPr>
          <w:ilvl w:val="1"/>
          <w:numId w:val="11"/>
        </w:numPr>
        <w:rPr>
          <w:color w:val="auto"/>
        </w:rPr>
      </w:pPr>
      <w:r w:rsidRPr="00803BFE">
        <w:rPr>
          <w:b/>
          <w:bCs/>
          <w:color w:val="auto"/>
        </w:rPr>
        <w:t xml:space="preserve">Time bound: </w:t>
      </w:r>
      <w:r w:rsidR="001721EA" w:rsidRPr="00803BFE">
        <w:rPr>
          <w:color w:val="auto"/>
        </w:rPr>
        <w:t>Implemented end</w:t>
      </w:r>
      <w:r w:rsidR="00AE4BFC">
        <w:rPr>
          <w:color w:val="auto"/>
        </w:rPr>
        <w:t>-</w:t>
      </w:r>
      <w:r w:rsidR="001721EA" w:rsidRPr="00803BFE">
        <w:rPr>
          <w:color w:val="auto"/>
        </w:rPr>
        <w:t>2024.</w:t>
      </w:r>
    </w:p>
    <w:p w14:paraId="1444E974" w14:textId="67BE562E" w:rsidR="000D581D" w:rsidRPr="00EA3D27" w:rsidRDefault="000D581D" w:rsidP="00EA3D27">
      <w:pPr>
        <w:pStyle w:val="Heading3"/>
        <w:rPr>
          <w:shd w:val="clear" w:color="auto" w:fill="FFFFFF"/>
        </w:rPr>
      </w:pPr>
      <w:bookmarkStart w:id="67" w:name="_Toc184730566"/>
      <w:r w:rsidRPr="00EA3D27">
        <w:rPr>
          <w:shd w:val="clear" w:color="auto" w:fill="FFFFFF"/>
        </w:rPr>
        <w:t>Why is Government intervention needed</w:t>
      </w:r>
      <w:bookmarkEnd w:id="67"/>
    </w:p>
    <w:p w14:paraId="30454FB9" w14:textId="46A8852A" w:rsidR="000D581D" w:rsidRPr="00E37D50" w:rsidRDefault="000D581D" w:rsidP="00052B09">
      <w:r w:rsidRPr="00EA3D27">
        <w:rPr>
          <w:lang w:val="en-US"/>
        </w:rPr>
        <w:t>Under</w:t>
      </w:r>
      <w:r w:rsidRPr="000D581D">
        <w:rPr>
          <w:spacing w:val="-3"/>
        </w:rPr>
        <w:t xml:space="preserve"> </w:t>
      </w:r>
      <w:r w:rsidRPr="00E37D50">
        <w:t>the</w:t>
      </w:r>
      <w:r w:rsidRPr="000D581D">
        <w:rPr>
          <w:spacing w:val="-4"/>
        </w:rPr>
        <w:t xml:space="preserve"> </w:t>
      </w:r>
      <w:hyperlink r:id="rId30">
        <w:r w:rsidRPr="000D581D">
          <w:rPr>
            <w:i/>
            <w:color w:val="0000FF"/>
            <w:u w:val="single" w:color="0000FF"/>
          </w:rPr>
          <w:t>Therapeutic</w:t>
        </w:r>
        <w:r w:rsidRPr="000D581D">
          <w:rPr>
            <w:i/>
            <w:color w:val="0000FF"/>
            <w:spacing w:val="-3"/>
            <w:u w:val="single" w:color="0000FF"/>
          </w:rPr>
          <w:t xml:space="preserve"> </w:t>
        </w:r>
        <w:r w:rsidRPr="000D581D">
          <w:rPr>
            <w:i/>
            <w:color w:val="0000FF"/>
            <w:u w:val="single" w:color="0000FF"/>
          </w:rPr>
          <w:t>Goods</w:t>
        </w:r>
        <w:r w:rsidRPr="000D581D">
          <w:rPr>
            <w:i/>
            <w:color w:val="0000FF"/>
            <w:spacing w:val="-3"/>
            <w:u w:val="single" w:color="0000FF"/>
          </w:rPr>
          <w:t xml:space="preserve"> </w:t>
        </w:r>
        <w:r w:rsidRPr="000D581D">
          <w:rPr>
            <w:i/>
            <w:color w:val="0000FF"/>
            <w:u w:val="single" w:color="0000FF"/>
          </w:rPr>
          <w:t>Act</w:t>
        </w:r>
        <w:r w:rsidRPr="000D581D">
          <w:rPr>
            <w:i/>
            <w:color w:val="0000FF"/>
            <w:spacing w:val="-4"/>
            <w:u w:val="single" w:color="0000FF"/>
          </w:rPr>
          <w:t xml:space="preserve"> </w:t>
        </w:r>
        <w:r w:rsidRPr="000D581D">
          <w:rPr>
            <w:i/>
            <w:color w:val="0000FF"/>
            <w:u w:val="single" w:color="0000FF"/>
          </w:rPr>
          <w:t>1989</w:t>
        </w:r>
      </w:hyperlink>
      <w:r w:rsidRPr="000D581D">
        <w:rPr>
          <w:i/>
          <w:color w:val="0000FF"/>
          <w:spacing w:val="-3"/>
        </w:rPr>
        <w:t xml:space="preserve"> </w:t>
      </w:r>
      <w:r w:rsidRPr="00E37D50">
        <w:t>and</w:t>
      </w:r>
      <w:r w:rsidRPr="000D581D">
        <w:rPr>
          <w:spacing w:val="-2"/>
        </w:rPr>
        <w:t xml:space="preserve"> </w:t>
      </w:r>
      <w:r w:rsidRPr="00E37D50">
        <w:t>supporting</w:t>
      </w:r>
      <w:r w:rsidRPr="000D581D">
        <w:rPr>
          <w:spacing w:val="-4"/>
        </w:rPr>
        <w:t xml:space="preserve"> </w:t>
      </w:r>
      <w:r w:rsidRPr="00E37D50">
        <w:t>legislation,</w:t>
      </w:r>
      <w:r w:rsidRPr="000D581D">
        <w:rPr>
          <w:spacing w:val="-2"/>
        </w:rPr>
        <w:t xml:space="preserve"> </w:t>
      </w:r>
      <w:r w:rsidR="00DB78BA">
        <w:rPr>
          <w:spacing w:val="-2"/>
        </w:rPr>
        <w:t xml:space="preserve">the TGA is responsible for the regulation of </w:t>
      </w:r>
      <w:r w:rsidRPr="00E37D50">
        <w:t>sunscreen</w:t>
      </w:r>
      <w:r w:rsidRPr="000D581D">
        <w:rPr>
          <w:spacing w:val="-4"/>
        </w:rPr>
        <w:t xml:space="preserve"> </w:t>
      </w:r>
      <w:r w:rsidRPr="00E37D50">
        <w:t>products</w:t>
      </w:r>
      <w:r w:rsidRPr="000D581D">
        <w:rPr>
          <w:spacing w:val="-3"/>
        </w:rPr>
        <w:t xml:space="preserve"> </w:t>
      </w:r>
      <w:r w:rsidRPr="00E37D50">
        <w:t>that are regulated as therapeutic goods</w:t>
      </w:r>
      <w:r w:rsidR="00576433">
        <w:t>.</w:t>
      </w:r>
    </w:p>
    <w:p w14:paraId="754F4904" w14:textId="73AE57F3" w:rsidR="00DE0653" w:rsidRDefault="00AE4BFC" w:rsidP="00DE0653">
      <w:r>
        <w:t xml:space="preserve">For a product to </w:t>
      </w:r>
      <w:r w:rsidR="00C458E9" w:rsidRPr="00E308CF">
        <w:t xml:space="preserve">be included in the </w:t>
      </w:r>
      <w:r w:rsidR="00C458E9">
        <w:t>A</w:t>
      </w:r>
      <w:r w:rsidR="00C458E9" w:rsidRPr="00E308CF">
        <w:t>RTG</w:t>
      </w:r>
      <w:r w:rsidR="00C458E9">
        <w:t xml:space="preserve"> and be able to be supplied in Australia</w:t>
      </w:r>
      <w:r w:rsidR="00C458E9" w:rsidRPr="00E308CF">
        <w:t xml:space="preserve">, </w:t>
      </w:r>
      <w:r w:rsidR="00DE0653" w:rsidRPr="00E308CF">
        <w:t>a sponsor must certify that their product meets all</w:t>
      </w:r>
      <w:r w:rsidR="00DE0653" w:rsidRPr="00E308CF">
        <w:rPr>
          <w:spacing w:val="-46"/>
        </w:rPr>
        <w:t xml:space="preserve"> </w:t>
      </w:r>
      <w:r w:rsidR="003E0AB3">
        <w:rPr>
          <w:spacing w:val="-46"/>
        </w:rPr>
        <w:t xml:space="preserve"> </w:t>
      </w:r>
      <w:r w:rsidR="00DE0653">
        <w:rPr>
          <w:spacing w:val="-46"/>
        </w:rPr>
        <w:t xml:space="preserve"> </w:t>
      </w:r>
      <w:r w:rsidR="00DE0653" w:rsidRPr="00E308CF">
        <w:t>applicable</w:t>
      </w:r>
      <w:r w:rsidR="00DE0653" w:rsidRPr="00E308CF">
        <w:rPr>
          <w:spacing w:val="-2"/>
        </w:rPr>
        <w:t xml:space="preserve"> </w:t>
      </w:r>
      <w:r w:rsidR="00DE0653" w:rsidRPr="00E308CF">
        <w:t>legislative</w:t>
      </w:r>
      <w:r w:rsidR="00DE0653" w:rsidRPr="00E308CF">
        <w:rPr>
          <w:spacing w:val="-1"/>
        </w:rPr>
        <w:t xml:space="preserve"> </w:t>
      </w:r>
      <w:r w:rsidR="00DE0653" w:rsidRPr="00E308CF">
        <w:t>requirements which</w:t>
      </w:r>
      <w:r w:rsidR="00DE0653" w:rsidRPr="00E308CF">
        <w:rPr>
          <w:spacing w:val="-3"/>
        </w:rPr>
        <w:t xml:space="preserve"> </w:t>
      </w:r>
      <w:r w:rsidR="00DE0653" w:rsidRPr="00E308CF">
        <w:t>includes</w:t>
      </w:r>
      <w:r w:rsidR="00DE0653" w:rsidRPr="00E308CF">
        <w:rPr>
          <w:spacing w:val="-1"/>
        </w:rPr>
        <w:t xml:space="preserve"> </w:t>
      </w:r>
      <w:r w:rsidR="00DE0653">
        <w:t>a certification that the product only uses pre-approved low risk ingredients included in the Therapeutic Goods (Permissible Ingredients) Determination for listed medicines. Any new ingredients must be evaluated for safety and quality and assessed as being low risk by the TGA before it can be added to this list.</w:t>
      </w:r>
    </w:p>
    <w:p w14:paraId="2F2EB55B" w14:textId="0685B31F" w:rsidR="00C458E9" w:rsidRDefault="00582B98" w:rsidP="00582B98">
      <w:r>
        <w:t xml:space="preserve">The TGA has published guidance to assist applicants understand what is required to demonstrate that an ingredient is low risk. </w:t>
      </w:r>
      <w:r w:rsidR="00DE0653">
        <w:t xml:space="preserve">The safety data </w:t>
      </w:r>
      <w:r>
        <w:t xml:space="preserve">required </w:t>
      </w:r>
      <w:r w:rsidR="00DE0653">
        <w:t xml:space="preserve">for new ingredients </w:t>
      </w:r>
      <w:r>
        <w:t>is</w:t>
      </w:r>
      <w:r w:rsidR="00DE0653">
        <w:t xml:space="preserve"> comprehensive, covering both short-term (acute) and long-term (chronic) effects on human health and safety from exposure to the ingredients. </w:t>
      </w:r>
      <w:r>
        <w:t xml:space="preserve">As the TGA is responsible for establishing what the requirements are to demonstrate that an ingredient is low risk, it follows that the TGA should be responsible for establishing a consistent methodology for ascertaining </w:t>
      </w:r>
      <w:r w:rsidR="007E64BA">
        <w:t>consumer</w:t>
      </w:r>
      <w:r w:rsidR="007E64BA" w:rsidRPr="007E64BA">
        <w:t xml:space="preserve"> </w:t>
      </w:r>
      <w:r w:rsidR="007E64BA">
        <w:t>sunscreen exposure</w:t>
      </w:r>
      <w:r w:rsidR="00EC1CB0">
        <w:t xml:space="preserve"> and the safe levels of sunscreen </w:t>
      </w:r>
      <w:r w:rsidR="00401CCC">
        <w:t>ingredients.</w:t>
      </w:r>
    </w:p>
    <w:p w14:paraId="3A0E8041" w14:textId="12D5C88D" w:rsidR="00582B98" w:rsidRPr="00B53461" w:rsidRDefault="00582B98" w:rsidP="00582B98">
      <w:pPr>
        <w:rPr>
          <w:rFonts w:cs="Arial"/>
        </w:rPr>
      </w:pPr>
      <w:r w:rsidRPr="00461F8F">
        <w:rPr>
          <w:rFonts w:cs="Arial"/>
        </w:rPr>
        <w:t>T</w:t>
      </w:r>
      <w:r>
        <w:rPr>
          <w:rFonts w:cs="Arial"/>
        </w:rPr>
        <w:t xml:space="preserve">he implementation of a </w:t>
      </w:r>
      <w:r w:rsidRPr="002159BF">
        <w:rPr>
          <w:rFonts w:cs="Arial"/>
          <w:color w:val="242424"/>
          <w:shd w:val="clear" w:color="auto" w:fill="FFFFFF"/>
        </w:rPr>
        <w:t>consistent and transparent process</w:t>
      </w:r>
      <w:r>
        <w:rPr>
          <w:rFonts w:cs="Arial"/>
          <w:color w:val="242424"/>
          <w:shd w:val="clear" w:color="auto" w:fill="FFFFFF"/>
        </w:rPr>
        <w:t xml:space="preserve"> for assessing the safety of sunscreen ingredients that</w:t>
      </w:r>
      <w:r w:rsidRPr="00461F8F">
        <w:rPr>
          <w:rFonts w:cs="Arial"/>
        </w:rPr>
        <w:t xml:space="preserve"> align</w:t>
      </w:r>
      <w:r>
        <w:rPr>
          <w:rFonts w:cs="Arial"/>
        </w:rPr>
        <w:t>s</w:t>
      </w:r>
      <w:r w:rsidRPr="00461F8F">
        <w:rPr>
          <w:rFonts w:cs="Arial"/>
        </w:rPr>
        <w:t xml:space="preserve"> with Australian conditions and consumer practices</w:t>
      </w:r>
      <w:r w:rsidR="007A5C41">
        <w:rPr>
          <w:rFonts w:cs="Arial"/>
        </w:rPr>
        <w:t>,</w:t>
      </w:r>
      <w:r>
        <w:rPr>
          <w:rFonts w:cs="Arial"/>
        </w:rPr>
        <w:t xml:space="preserve"> will</w:t>
      </w:r>
      <w:r w:rsidRPr="002159BF">
        <w:rPr>
          <w:rFonts w:cs="Arial"/>
          <w:color w:val="242424"/>
          <w:shd w:val="clear" w:color="auto" w:fill="FFFFFF"/>
        </w:rPr>
        <w:t xml:space="preserve"> offer regulatory certainty and a fair framework for</w:t>
      </w:r>
      <w:r>
        <w:rPr>
          <w:rFonts w:cs="Arial"/>
          <w:color w:val="242424"/>
          <w:shd w:val="clear" w:color="auto" w:fill="FFFFFF"/>
        </w:rPr>
        <w:t xml:space="preserve"> industry</w:t>
      </w:r>
      <w:r w:rsidRPr="002159BF">
        <w:rPr>
          <w:rFonts w:cs="Arial"/>
          <w:color w:val="242424"/>
          <w:shd w:val="clear" w:color="auto" w:fill="FFFFFF"/>
        </w:rPr>
        <w:t xml:space="preserve"> applications</w:t>
      </w:r>
      <w:r w:rsidR="007A5C41">
        <w:rPr>
          <w:rFonts w:cs="Arial"/>
          <w:color w:val="242424"/>
          <w:shd w:val="clear" w:color="auto" w:fill="FFFFFF"/>
        </w:rPr>
        <w:t xml:space="preserve">. This will </w:t>
      </w:r>
      <w:r w:rsidRPr="002159BF">
        <w:rPr>
          <w:rFonts w:cs="Arial"/>
        </w:rPr>
        <w:t>reinforc</w:t>
      </w:r>
      <w:r w:rsidR="007A5C41">
        <w:rPr>
          <w:rFonts w:cs="Arial"/>
        </w:rPr>
        <w:t>e</w:t>
      </w:r>
      <w:r w:rsidRPr="002159BF">
        <w:rPr>
          <w:rFonts w:cs="Arial"/>
        </w:rPr>
        <w:t xml:space="preserve"> </w:t>
      </w:r>
      <w:r>
        <w:rPr>
          <w:rFonts w:cs="Arial"/>
        </w:rPr>
        <w:t xml:space="preserve">consumer </w:t>
      </w:r>
      <w:r w:rsidRPr="002159BF">
        <w:rPr>
          <w:rFonts w:cs="Arial"/>
        </w:rPr>
        <w:t xml:space="preserve">expectations that sunscreens </w:t>
      </w:r>
      <w:r>
        <w:rPr>
          <w:rFonts w:cs="Arial"/>
        </w:rPr>
        <w:t>approved for use in Australia are</w:t>
      </w:r>
      <w:r w:rsidRPr="002159BF">
        <w:rPr>
          <w:rFonts w:cs="Arial"/>
        </w:rPr>
        <w:t xml:space="preserve"> safe to be used by everyone, no matter their age or outdoor activity.</w:t>
      </w:r>
    </w:p>
    <w:p w14:paraId="07191853" w14:textId="77777777" w:rsidR="008D72A0" w:rsidRDefault="00EC1CB0" w:rsidP="00B30583">
      <w:r>
        <w:t>A key assumption is that industry will accept the model</w:t>
      </w:r>
      <w:r w:rsidR="00B30583">
        <w:t xml:space="preserve"> and that it will be an improvement over the status quo</w:t>
      </w:r>
      <w:r>
        <w:t xml:space="preserve">. </w:t>
      </w:r>
      <w:r w:rsidR="007E64BA">
        <w:t xml:space="preserve">The TGA has collaborated with a diverse range of </w:t>
      </w:r>
      <w:r w:rsidR="007E64BA" w:rsidRPr="00A46A31">
        <w:rPr>
          <w:rFonts w:cs="Arial"/>
        </w:rPr>
        <w:t>stakeholders</w:t>
      </w:r>
      <w:r w:rsidR="007E64BA">
        <w:t xml:space="preserve"> throughout the process of developing the ASEM, further details are provided in </w:t>
      </w:r>
      <w:hyperlink w:anchor="_Who_did_you" w:history="1">
        <w:r w:rsidR="007E64BA" w:rsidRPr="00495226">
          <w:rPr>
            <w:rStyle w:val="Hyperlink"/>
          </w:rPr>
          <w:t>Section 5</w:t>
        </w:r>
      </w:hyperlink>
      <w:r w:rsidR="007E64BA">
        <w:t>. As a result of these extensive consultations and collaboration, the TGA does not anticipate any significant pushback on the proposal. This proactive collaboration has helped gain wide support for the model</w:t>
      </w:r>
      <w:r>
        <w:t>, as provided in stakeholder consultation feedback.</w:t>
      </w:r>
      <w:r w:rsidR="00B30583">
        <w:t xml:space="preserve"> </w:t>
      </w:r>
    </w:p>
    <w:p w14:paraId="78C06D38" w14:textId="2D6989B3" w:rsidR="000242F5" w:rsidRDefault="00B30583" w:rsidP="00A46A31">
      <w:r>
        <w:t>Potential barriers to government action may be that</w:t>
      </w:r>
      <w:r w:rsidR="008D72A0">
        <w:t>, as</w:t>
      </w:r>
      <w:r>
        <w:t xml:space="preserve"> the</w:t>
      </w:r>
      <w:r w:rsidR="008D72A0">
        <w:t xml:space="preserve"> compliance with the </w:t>
      </w:r>
      <w:r>
        <w:t xml:space="preserve">model </w:t>
      </w:r>
      <w:r w:rsidR="008D72A0">
        <w:t>will</w:t>
      </w:r>
      <w:r>
        <w:t xml:space="preserve"> not </w:t>
      </w:r>
      <w:r w:rsidR="008D72A0">
        <w:t xml:space="preserve">be </w:t>
      </w:r>
      <w:r>
        <w:t xml:space="preserve">legislated, applicants could theoretically present a </w:t>
      </w:r>
      <w:r w:rsidR="008D72A0">
        <w:t>different</w:t>
      </w:r>
      <w:r>
        <w:t>, or equivalent model in the future</w:t>
      </w:r>
      <w:r w:rsidR="001443F4">
        <w:t xml:space="preserve"> that d</w:t>
      </w:r>
      <w:r w:rsidR="008D72A0">
        <w:t xml:space="preserve">oes </w:t>
      </w:r>
      <w:r w:rsidR="001443F4">
        <w:t>not align with the guidance</w:t>
      </w:r>
      <w:r>
        <w:t>. However</w:t>
      </w:r>
      <w:r w:rsidR="003E0AB3">
        <w:t>,</w:t>
      </w:r>
      <w:r>
        <w:t xml:space="preserve"> this is unlikely as the development of the ASEM has required a considerable amount of consultation, collection of scientific evidence and data, and policy development. As such, the time and resources required to develop an alternative model, conduct research to support an alternative approach with strong evidence and reasoning, and gain stakeholder consensus, would be unrealistic to achieve for individuals. </w:t>
      </w:r>
      <w:r w:rsidR="000242F5">
        <w:rPr>
          <w:lang w:val="en-US"/>
        </w:rPr>
        <w:t xml:space="preserve">The TGA has the </w:t>
      </w:r>
      <w:r w:rsidR="000242F5" w:rsidRPr="00EA3D27">
        <w:rPr>
          <w:rFonts w:cs="Arial"/>
        </w:rPr>
        <w:t>relevant</w:t>
      </w:r>
      <w:r w:rsidR="000242F5">
        <w:rPr>
          <w:lang w:val="en-US"/>
        </w:rPr>
        <w:t xml:space="preserve"> skills and resourcing to develop and utilise the ASEM when undertaking risk assessments for new sunscreen active ingredients. </w:t>
      </w:r>
      <w:r w:rsidR="004E11C2">
        <w:rPr>
          <w:lang w:val="en-US"/>
        </w:rPr>
        <w:t>T</w:t>
      </w:r>
      <w:r w:rsidR="000242F5">
        <w:rPr>
          <w:lang w:val="en-US"/>
        </w:rPr>
        <w:t xml:space="preserve">he TGA has not identified any issues or limitation to undertaking this task. Further, </w:t>
      </w:r>
      <w:r>
        <w:rPr>
          <w:lang w:val="en-US"/>
        </w:rPr>
        <w:t>the TGA established a 6</w:t>
      </w:r>
      <w:r w:rsidR="00F1621F">
        <w:rPr>
          <w:lang w:val="en-US"/>
        </w:rPr>
        <w:t>-</w:t>
      </w:r>
      <w:r>
        <w:rPr>
          <w:lang w:val="en-US"/>
        </w:rPr>
        <w:t xml:space="preserve">month Sunscreen Taskforce </w:t>
      </w:r>
      <w:r w:rsidR="00AE4BFC">
        <w:rPr>
          <w:lang w:val="en-US"/>
        </w:rPr>
        <w:t xml:space="preserve">specifically </w:t>
      </w:r>
      <w:r>
        <w:rPr>
          <w:lang w:val="en-US"/>
        </w:rPr>
        <w:t xml:space="preserve">to develop and consult on the model, as such </w:t>
      </w:r>
      <w:r w:rsidR="000242F5">
        <w:rPr>
          <w:lang w:val="en-US"/>
        </w:rPr>
        <w:t>there do not appear to be any barriers or funding and resourcing constraints</w:t>
      </w:r>
      <w:r w:rsidR="00EC1CB0">
        <w:rPr>
          <w:lang w:val="en-US"/>
        </w:rPr>
        <w:t xml:space="preserve"> for the TGA to implement the model.</w:t>
      </w:r>
    </w:p>
    <w:p w14:paraId="092AEF2A" w14:textId="07568C3C" w:rsidR="000242F5" w:rsidRDefault="000242F5" w:rsidP="000242F5">
      <w:r w:rsidRPr="00654C4B">
        <w:rPr>
          <w:rFonts w:cs="Arial"/>
          <w:color w:val="242424"/>
          <w:shd w:val="clear" w:color="auto" w:fill="FFFFFF"/>
        </w:rPr>
        <w:t xml:space="preserve">The exposure model is intended to align with current evidence-based sunscreen use guidelines and concerted efforts to encourage correct application of sunscreens, such as those described in the </w:t>
      </w:r>
      <w:r w:rsidRPr="002744F8">
        <w:rPr>
          <w:rFonts w:cs="Arial"/>
          <w:color w:val="242424"/>
          <w:shd w:val="clear" w:color="auto" w:fill="FFFFFF"/>
        </w:rPr>
        <w:t>Australian G</w:t>
      </w:r>
      <w:r w:rsidRPr="002744F8">
        <w:t xml:space="preserve">overnment’s National Skin Cancer Prevention campaign, the </w:t>
      </w:r>
      <w:bookmarkStart w:id="68" w:name="_Hlk181108911"/>
      <w:r w:rsidRPr="002744F8">
        <w:t xml:space="preserve">Cancer Council Australia’s </w:t>
      </w:r>
      <w:bookmarkEnd w:id="68"/>
      <w:r>
        <w:fldChar w:fldCharType="begin"/>
      </w:r>
      <w:r>
        <w:instrText>HYPERLINK "https://www.cancer.org.au/cancer-information/causes-and-prevention/sun-safety/campaigns-and-events/slip-slop-slap-seek-slide"</w:instrText>
      </w:r>
      <w:r>
        <w:fldChar w:fldCharType="separate"/>
      </w:r>
      <w:r w:rsidRPr="002744F8">
        <w:t>SunSmart program</w:t>
      </w:r>
      <w:r>
        <w:fldChar w:fldCharType="end"/>
      </w:r>
      <w:r w:rsidRPr="002744F8">
        <w:t xml:space="preserve">, the 2023 position statement by Australian Skin and Skin Cancer Research Centre, the 2019 Australian and New Zealand evidence-based consensus statement on when to apply sunscreen, and many other organisations such as the Melanoma Institute Australia, Australasian College of Dermatologists, </w:t>
      </w:r>
      <w:r>
        <w:t xml:space="preserve">and </w:t>
      </w:r>
      <w:r w:rsidRPr="002744F8">
        <w:t>Safe Work Australia.</w:t>
      </w:r>
    </w:p>
    <w:p w14:paraId="2D8C1A37" w14:textId="77777777" w:rsidR="001A426B" w:rsidRDefault="001A426B" w:rsidP="001A426B">
      <w:pPr>
        <w:pStyle w:val="BodyText"/>
        <w:spacing w:before="119" w:line="259" w:lineRule="auto"/>
        <w:ind w:left="1" w:right="160"/>
      </w:pPr>
      <w:r>
        <w:t>A standardised, evidence-based approach is essential for regulatory certainty and to ensure that sunscreens</w:t>
      </w:r>
      <w:r>
        <w:rPr>
          <w:spacing w:val="-1"/>
        </w:rPr>
        <w:t xml:space="preserve"> </w:t>
      </w:r>
      <w:r>
        <w:t>are</w:t>
      </w:r>
      <w:r>
        <w:rPr>
          <w:spacing w:val="-2"/>
        </w:rPr>
        <w:t xml:space="preserve"> </w:t>
      </w:r>
      <w:r>
        <w:t>safe,</w:t>
      </w:r>
      <w:r>
        <w:rPr>
          <w:spacing w:val="-2"/>
        </w:rPr>
        <w:t xml:space="preserve"> </w:t>
      </w:r>
      <w:r>
        <w:t>effective,</w:t>
      </w:r>
      <w:r>
        <w:rPr>
          <w:spacing w:val="-2"/>
        </w:rPr>
        <w:t xml:space="preserve"> </w:t>
      </w:r>
      <w:r>
        <w:t>and reflective of</w:t>
      </w:r>
      <w:r>
        <w:rPr>
          <w:spacing w:val="-2"/>
        </w:rPr>
        <w:t xml:space="preserve"> </w:t>
      </w:r>
      <w:r>
        <w:t>actual usage patterns</w:t>
      </w:r>
      <w:r>
        <w:rPr>
          <w:spacing w:val="-1"/>
        </w:rPr>
        <w:t xml:space="preserve"> </w:t>
      </w:r>
      <w:r>
        <w:t>in Australia, rather</w:t>
      </w:r>
      <w:r>
        <w:rPr>
          <w:spacing w:val="-1"/>
        </w:rPr>
        <w:t xml:space="preserve"> </w:t>
      </w:r>
      <w:r>
        <w:t>than</w:t>
      </w:r>
      <w:r>
        <w:rPr>
          <w:spacing w:val="-2"/>
        </w:rPr>
        <w:t xml:space="preserve"> </w:t>
      </w:r>
      <w:r>
        <w:t>relying on</w:t>
      </w:r>
      <w:r>
        <w:rPr>
          <w:spacing w:val="-4"/>
        </w:rPr>
        <w:t xml:space="preserve"> </w:t>
      </w:r>
      <w:r>
        <w:t>different</w:t>
      </w:r>
      <w:r>
        <w:rPr>
          <w:spacing w:val="-4"/>
        </w:rPr>
        <w:t xml:space="preserve"> </w:t>
      </w:r>
      <w:r>
        <w:t>approaches</w:t>
      </w:r>
      <w:r>
        <w:rPr>
          <w:spacing w:val="-3"/>
        </w:rPr>
        <w:t xml:space="preserve"> </w:t>
      </w:r>
      <w:r>
        <w:t>or</w:t>
      </w:r>
      <w:r>
        <w:rPr>
          <w:spacing w:val="-1"/>
        </w:rPr>
        <w:t xml:space="preserve"> </w:t>
      </w:r>
      <w:r>
        <w:t>international</w:t>
      </w:r>
      <w:r>
        <w:rPr>
          <w:spacing w:val="-5"/>
        </w:rPr>
        <w:t xml:space="preserve"> </w:t>
      </w:r>
      <w:r>
        <w:t>assessment</w:t>
      </w:r>
      <w:r>
        <w:rPr>
          <w:spacing w:val="-2"/>
        </w:rPr>
        <w:t xml:space="preserve"> </w:t>
      </w:r>
      <w:r>
        <w:t>models.</w:t>
      </w:r>
      <w:r>
        <w:rPr>
          <w:spacing w:val="-4"/>
        </w:rPr>
        <w:t xml:space="preserve"> </w:t>
      </w:r>
      <w:r>
        <w:t>This</w:t>
      </w:r>
      <w:r>
        <w:rPr>
          <w:spacing w:val="-3"/>
        </w:rPr>
        <w:t xml:space="preserve"> </w:t>
      </w:r>
      <w:r>
        <w:t>will</w:t>
      </w:r>
      <w:r>
        <w:rPr>
          <w:spacing w:val="-5"/>
        </w:rPr>
        <w:t xml:space="preserve"> </w:t>
      </w:r>
      <w:r>
        <w:t>provide</w:t>
      </w:r>
      <w:r>
        <w:rPr>
          <w:spacing w:val="-2"/>
        </w:rPr>
        <w:t xml:space="preserve"> </w:t>
      </w:r>
      <w:r>
        <w:t>a</w:t>
      </w:r>
      <w:r>
        <w:rPr>
          <w:spacing w:val="-4"/>
        </w:rPr>
        <w:t xml:space="preserve"> </w:t>
      </w:r>
      <w:r>
        <w:t>consistent</w:t>
      </w:r>
      <w:r>
        <w:rPr>
          <w:spacing w:val="-2"/>
        </w:rPr>
        <w:t xml:space="preserve"> </w:t>
      </w:r>
      <w:r>
        <w:t>framework for evaluating the safety of therapeutic sunscreen ingredients,</w:t>
      </w:r>
      <w:r>
        <w:rPr>
          <w:spacing w:val="-1"/>
        </w:rPr>
        <w:t xml:space="preserve"> </w:t>
      </w:r>
      <w:r>
        <w:t>aligning with</w:t>
      </w:r>
      <w:r>
        <w:rPr>
          <w:spacing w:val="-1"/>
        </w:rPr>
        <w:t xml:space="preserve"> </w:t>
      </w:r>
      <w:r>
        <w:t>Australian</w:t>
      </w:r>
      <w:r>
        <w:rPr>
          <w:spacing w:val="-1"/>
        </w:rPr>
        <w:t xml:space="preserve"> </w:t>
      </w:r>
      <w:r>
        <w:t>conditions and consumer practices.</w:t>
      </w:r>
    </w:p>
    <w:p w14:paraId="2AE0E09C" w14:textId="6F748072" w:rsidR="00236E9C" w:rsidRDefault="00236E9C" w:rsidP="00F47305">
      <w:pPr>
        <w:pStyle w:val="Heading4"/>
      </w:pPr>
      <w:bookmarkStart w:id="69" w:name="_Toc184730567"/>
      <w:r w:rsidRPr="00151B4C">
        <w:t>A</w:t>
      </w:r>
      <w:r>
        <w:t>lternatives to government intervention</w:t>
      </w:r>
      <w:bookmarkEnd w:id="69"/>
    </w:p>
    <w:p w14:paraId="0C13D319" w14:textId="7DD30B9E" w:rsidR="00B53461" w:rsidRDefault="00B53461" w:rsidP="00EA3D27">
      <w:pPr>
        <w:pStyle w:val="BodyText"/>
        <w:spacing w:before="119" w:line="259" w:lineRule="auto"/>
        <w:ind w:left="1" w:right="160"/>
      </w:pPr>
      <w:r>
        <w:t xml:space="preserve">An alternative to government intervention would be to maintain </w:t>
      </w:r>
      <w:r w:rsidR="00AD008C">
        <w:t xml:space="preserve">the </w:t>
      </w:r>
      <w:r>
        <w:t>status quo</w:t>
      </w:r>
      <w:r w:rsidR="00AD008C">
        <w:t xml:space="preserve">, where </w:t>
      </w:r>
      <w:r>
        <w:t>sunscreen</w:t>
      </w:r>
      <w:r>
        <w:rPr>
          <w:spacing w:val="-4"/>
        </w:rPr>
        <w:t xml:space="preserve"> </w:t>
      </w:r>
      <w:r w:rsidR="00023E9A">
        <w:rPr>
          <w:spacing w:val="-4"/>
        </w:rPr>
        <w:t xml:space="preserve">active </w:t>
      </w:r>
      <w:r>
        <w:t>ingredient</w:t>
      </w:r>
      <w:r w:rsidR="00023E9A">
        <w:t xml:space="preserve"> risk assessments</w:t>
      </w:r>
      <w:r w:rsidRPr="00EA3D27">
        <w:t xml:space="preserve"> will be on a </w:t>
      </w:r>
      <w:r>
        <w:t>case-by-case</w:t>
      </w:r>
      <w:r w:rsidRPr="00EA3D27">
        <w:t xml:space="preserve"> </w:t>
      </w:r>
      <w:r>
        <w:t>basis</w:t>
      </w:r>
      <w:r w:rsidRPr="00EA3D27">
        <w:t xml:space="preserve">, </w:t>
      </w:r>
      <w:r>
        <w:t>with the applicant able to use various</w:t>
      </w:r>
      <w:r w:rsidRPr="00EA3D27">
        <w:t xml:space="preserve"> </w:t>
      </w:r>
      <w:r>
        <w:t xml:space="preserve">approaches providing they can </w:t>
      </w:r>
      <w:r w:rsidR="00AC5C5C">
        <w:t>furnish</w:t>
      </w:r>
      <w:r>
        <w:t xml:space="preserve"> an acceptable justification for their approach.</w:t>
      </w:r>
      <w:r w:rsidR="00AD008C">
        <w:t xml:space="preserve"> However, </w:t>
      </w:r>
      <w:r w:rsidR="000242F5">
        <w:t>as discussed under option 3, this approach will not provide consistency, transparency and certainty for industry</w:t>
      </w:r>
      <w:r w:rsidR="00FF5564">
        <w:t xml:space="preserve"> and consumers</w:t>
      </w:r>
      <w:r w:rsidR="000242F5">
        <w:t>.</w:t>
      </w:r>
    </w:p>
    <w:p w14:paraId="003B1D95" w14:textId="1245F2B6" w:rsidR="000242F5" w:rsidRDefault="00FF5564" w:rsidP="00EA3D27">
      <w:pPr>
        <w:pStyle w:val="BodyText"/>
        <w:spacing w:before="119" w:line="259" w:lineRule="auto"/>
        <w:ind w:left="1" w:right="160"/>
      </w:pPr>
      <w:r>
        <w:t>Another alternative is that sunscreen stakeholders</w:t>
      </w:r>
      <w:r w:rsidR="00236E9C">
        <w:t xml:space="preserve"> could </w:t>
      </w:r>
      <w:r w:rsidR="007E64BA">
        <w:t xml:space="preserve">develop </w:t>
      </w:r>
      <w:r w:rsidR="00236E9C">
        <w:t>a sunscreen exposure model</w:t>
      </w:r>
      <w:r>
        <w:t>. H</w:t>
      </w:r>
      <w:r w:rsidR="000242F5">
        <w:t>owever, the ability for the various stakeholders to agree on</w:t>
      </w:r>
      <w:r>
        <w:t xml:space="preserve"> </w:t>
      </w:r>
      <w:r w:rsidR="000242F5">
        <w:t>an approach may be challenging</w:t>
      </w:r>
      <w:r>
        <w:t>, time consuming and not achievable</w:t>
      </w:r>
      <w:r w:rsidR="000242F5">
        <w:t>. For example, it is likely that</w:t>
      </w:r>
      <w:r w:rsidR="004E11C2">
        <w:t xml:space="preserve"> some</w:t>
      </w:r>
      <w:r w:rsidR="000242F5">
        <w:t xml:space="preserve"> stakeholders would propose a more conservative </w:t>
      </w:r>
      <w:r>
        <w:t>approach</w:t>
      </w:r>
      <w:r w:rsidR="000242F5">
        <w:t xml:space="preserve">, whereas </w:t>
      </w:r>
      <w:r w:rsidR="004E11C2">
        <w:t>others</w:t>
      </w:r>
      <w:r>
        <w:t xml:space="preserve"> may propose a less conservative approach. In addition, there may be challenges with the TGA requiring ingredient applicants to use the</w:t>
      </w:r>
      <w:r w:rsidR="007F579B">
        <w:t xml:space="preserve"> specific</w:t>
      </w:r>
      <w:r>
        <w:t xml:space="preserve"> model</w:t>
      </w:r>
      <w:r w:rsidR="007F579B">
        <w:t xml:space="preserve"> that was developed by these applicants or their affiliated industry partners</w:t>
      </w:r>
      <w:r>
        <w:t xml:space="preserve">, and as such, consistency and transparency </w:t>
      </w:r>
      <w:r w:rsidR="007E64BA">
        <w:t xml:space="preserve">of ingredient evaluations </w:t>
      </w:r>
      <w:r w:rsidR="00366937">
        <w:t>is unlikely to</w:t>
      </w:r>
      <w:r>
        <w:t xml:space="preserve"> be </w:t>
      </w:r>
      <w:r w:rsidR="007E64BA">
        <w:t>achieved.</w:t>
      </w:r>
    </w:p>
    <w:p w14:paraId="6FE8CF17" w14:textId="1F56F2CA" w:rsidR="000242F5" w:rsidRDefault="000D581D" w:rsidP="00EA3D27">
      <w:pPr>
        <w:pStyle w:val="Heading3"/>
      </w:pPr>
      <w:bookmarkStart w:id="70" w:name="_Toc184730568"/>
      <w:r>
        <w:t>How success will be measured</w:t>
      </w:r>
      <w:bookmarkEnd w:id="70"/>
    </w:p>
    <w:p w14:paraId="492C182A" w14:textId="1B4979A7" w:rsidR="007E64BA" w:rsidRDefault="00012B40" w:rsidP="00EA3D27">
      <w:pPr>
        <w:pStyle w:val="BodyText"/>
        <w:spacing w:before="119" w:line="259" w:lineRule="auto"/>
        <w:ind w:left="1" w:right="160"/>
      </w:pPr>
      <w:r>
        <w:t xml:space="preserve">The following measures will be used to determine the success of the adopted model: </w:t>
      </w:r>
    </w:p>
    <w:p w14:paraId="61D100E7" w14:textId="6497C871" w:rsidR="00012B40" w:rsidRPr="00B478EB" w:rsidRDefault="004E6DA5" w:rsidP="00F47305">
      <w:pPr>
        <w:pStyle w:val="Heading4"/>
      </w:pPr>
      <w:bookmarkStart w:id="71" w:name="_Toc184730569"/>
      <w:r>
        <w:t>M</w:t>
      </w:r>
      <w:r w:rsidR="00012B40" w:rsidRPr="00B478EB">
        <w:t>onitoring of new ingredient applications</w:t>
      </w:r>
      <w:bookmarkEnd w:id="71"/>
      <w:r w:rsidR="00012B40" w:rsidRPr="00B478EB">
        <w:t xml:space="preserve"> </w:t>
      </w:r>
    </w:p>
    <w:p w14:paraId="2A1C9AC0" w14:textId="0CE54A9C" w:rsidR="00012B40" w:rsidRDefault="00012B40" w:rsidP="00EA3D27">
      <w:pPr>
        <w:pStyle w:val="BodyText"/>
        <w:spacing w:before="119" w:line="259" w:lineRule="auto"/>
        <w:ind w:left="1" w:right="160"/>
      </w:pPr>
      <w:r>
        <w:t xml:space="preserve">The TGA will monitor how may new sunscreen ingredient applications are received and compare this to application numbers prior to </w:t>
      </w:r>
      <w:r w:rsidR="004E6DA5">
        <w:t xml:space="preserve">the </w:t>
      </w:r>
      <w:r>
        <w:t>adopti</w:t>
      </w:r>
      <w:r w:rsidR="004E6DA5">
        <w:t>on of</w:t>
      </w:r>
      <w:r>
        <w:t xml:space="preserve"> the </w:t>
      </w:r>
      <w:r w:rsidR="004E6DA5">
        <w:t xml:space="preserve">exposure model </w:t>
      </w:r>
      <w:r>
        <w:t xml:space="preserve">over the next 5 years, noting that application numbers can vary based on a range of other factors that may not be related to the </w:t>
      </w:r>
      <w:r w:rsidR="004E6DA5">
        <w:t>exposure model</w:t>
      </w:r>
      <w:r>
        <w:t>. Higher application numbers could indicate more confidence in the regulatory assessment process</w:t>
      </w:r>
      <w:r w:rsidR="00495226">
        <w:t>.</w:t>
      </w:r>
    </w:p>
    <w:p w14:paraId="13167BFF" w14:textId="0F407821" w:rsidR="001319BB" w:rsidRDefault="004E6DA5" w:rsidP="00F47305">
      <w:pPr>
        <w:pStyle w:val="Heading4"/>
      </w:pPr>
      <w:bookmarkStart w:id="72" w:name="_Toc184730570"/>
      <w:r>
        <w:t>Applicant s</w:t>
      </w:r>
      <w:r w:rsidR="001319BB">
        <w:t>urveys</w:t>
      </w:r>
      <w:bookmarkEnd w:id="72"/>
    </w:p>
    <w:p w14:paraId="6BFBE735" w14:textId="77777777" w:rsidR="00012B40" w:rsidRDefault="001319BB" w:rsidP="00012B40">
      <w:r w:rsidRPr="00EA3D27">
        <w:t>Applicants/agents w</w:t>
      </w:r>
      <w:r w:rsidR="00012B40">
        <w:t>ill</w:t>
      </w:r>
      <w:r w:rsidRPr="00EA3D27">
        <w:t xml:space="preserve"> be asked to complete a short survey outlining their experience regarding </w:t>
      </w:r>
      <w:r w:rsidR="00012B40">
        <w:t>the use of the new model, including questions in relation to decreased or increased effort to compile dossiers.</w:t>
      </w:r>
      <w:r w:rsidR="00012B40" w:rsidRPr="00012B40">
        <w:t xml:space="preserve"> </w:t>
      </w:r>
    </w:p>
    <w:p w14:paraId="22292226" w14:textId="41791B23" w:rsidR="00012B40" w:rsidRDefault="00012B40" w:rsidP="00012B40">
      <w:r>
        <w:t>The TGA will consider any feedback from applicants for new ingredients regarding whether the guidance is clear about the risk assessment process and the adopted model is easy to understand and use.</w:t>
      </w:r>
    </w:p>
    <w:p w14:paraId="048F8E79" w14:textId="77777777" w:rsidR="001319BB" w:rsidRPr="00B478EB" w:rsidRDefault="001319BB" w:rsidP="00F47305">
      <w:pPr>
        <w:pStyle w:val="Heading4"/>
      </w:pPr>
      <w:bookmarkStart w:id="73" w:name="_Toc184730571"/>
      <w:r w:rsidRPr="00B478EB">
        <w:t>Stakeholder engagement/feedback:</w:t>
      </w:r>
      <w:bookmarkEnd w:id="73"/>
      <w:r w:rsidRPr="00B478EB">
        <w:t xml:space="preserve"> </w:t>
      </w:r>
    </w:p>
    <w:p w14:paraId="2C95CCB2" w14:textId="44D4679A" w:rsidR="005B77F6" w:rsidRPr="00A02649" w:rsidRDefault="00012B40" w:rsidP="00366937">
      <w:pPr>
        <w:pStyle w:val="BodyText"/>
        <w:spacing w:before="119" w:line="259" w:lineRule="auto"/>
        <w:ind w:left="1" w:right="160"/>
      </w:pPr>
      <w:r>
        <w:t>Representatives of p</w:t>
      </w:r>
      <w:r w:rsidRPr="00A02649">
        <w:t xml:space="preserve">eak </w:t>
      </w:r>
      <w:r>
        <w:t xml:space="preserve">industry </w:t>
      </w:r>
      <w:r w:rsidRPr="00A02649">
        <w:t>bodies</w:t>
      </w:r>
      <w:r>
        <w:t xml:space="preserve"> will be asked to provide feedback at regular TGA industry consultative forums</w:t>
      </w:r>
      <w:r w:rsidR="00495226">
        <w:t>.</w:t>
      </w:r>
    </w:p>
    <w:p w14:paraId="14BAD4E1" w14:textId="4A2634DD" w:rsidR="00012B40" w:rsidRDefault="001319BB" w:rsidP="005B77F6">
      <w:pPr>
        <w:pStyle w:val="BodyText"/>
        <w:spacing w:before="119" w:line="259" w:lineRule="auto"/>
        <w:ind w:right="160"/>
      </w:pPr>
      <w:r>
        <w:t xml:space="preserve">Negative feedback could indicate the guidance requires revision to ensure the </w:t>
      </w:r>
      <w:r w:rsidR="004E6DA5">
        <w:t>model</w:t>
      </w:r>
      <w:r>
        <w:t xml:space="preserve"> is easy to use and supports ingredient applicants to understand the process. The aim will be to understand if the </w:t>
      </w:r>
      <w:r w:rsidR="004E6DA5">
        <w:t>model</w:t>
      </w:r>
      <w:r>
        <w:t xml:space="preserve"> has made the evaluation process clearer and easier to follow. </w:t>
      </w:r>
    </w:p>
    <w:p w14:paraId="00105A4E" w14:textId="5C11B8CA" w:rsidR="001319BB" w:rsidRPr="00B478EB" w:rsidRDefault="00012B40" w:rsidP="00F47305">
      <w:pPr>
        <w:pStyle w:val="Heading4"/>
        <w:rPr>
          <w:b/>
        </w:rPr>
      </w:pPr>
      <w:bookmarkStart w:id="74" w:name="_Toc184730572"/>
      <w:r>
        <w:t>Monitoring of o</w:t>
      </w:r>
      <w:r w:rsidR="001319BB" w:rsidRPr="00EA3D27">
        <w:t xml:space="preserve">verseas regulators and </w:t>
      </w:r>
      <w:r>
        <w:t xml:space="preserve">development of </w:t>
      </w:r>
      <w:r w:rsidR="001319BB" w:rsidRPr="00EA3D27">
        <w:t>other models:</w:t>
      </w:r>
      <w:bookmarkEnd w:id="74"/>
      <w:r w:rsidR="001319BB" w:rsidRPr="00EA3D27">
        <w:t xml:space="preserve"> </w:t>
      </w:r>
    </w:p>
    <w:p w14:paraId="0E6512BE" w14:textId="7A2FBBC6" w:rsidR="001319BB" w:rsidRDefault="001319BB" w:rsidP="001319BB">
      <w:r>
        <w:t xml:space="preserve">The TGA will continue to monitor developments with other overseas regulators (such as the SCCS and US FDA) on matters relating to safety of sunscreen ingredient assessments. </w:t>
      </w:r>
    </w:p>
    <w:p w14:paraId="38FC03E6" w14:textId="16D12EB3" w:rsidR="001319BB" w:rsidRDefault="001319BB" w:rsidP="00EA3D27">
      <w:pPr>
        <w:pStyle w:val="BodyText"/>
        <w:spacing w:before="119" w:line="259" w:lineRule="auto"/>
        <w:ind w:left="1" w:right="160"/>
      </w:pPr>
      <w:r>
        <w:t xml:space="preserve">Any new models or risk assessment approaches will be considered and inform whether the </w:t>
      </w:r>
      <w:r w:rsidR="00012B40">
        <w:t>adopted model</w:t>
      </w:r>
      <w:r>
        <w:t xml:space="preserve"> is still fit for purpose.    </w:t>
      </w:r>
    </w:p>
    <w:p w14:paraId="501926E0" w14:textId="23973693" w:rsidR="001319BB" w:rsidRDefault="004E6DA5" w:rsidP="00F47305">
      <w:pPr>
        <w:pStyle w:val="Heading4"/>
      </w:pPr>
      <w:bookmarkStart w:id="75" w:name="_Toc184730573"/>
      <w:r>
        <w:t>Reassessment of d</w:t>
      </w:r>
      <w:r w:rsidR="001319BB" w:rsidRPr="00B478EB">
        <w:t>ata gaps</w:t>
      </w:r>
      <w:bookmarkEnd w:id="75"/>
      <w:r w:rsidR="001319BB" w:rsidRPr="00B478EB">
        <w:t xml:space="preserve"> </w:t>
      </w:r>
    </w:p>
    <w:p w14:paraId="2D3C0B7F" w14:textId="64C8E23A" w:rsidR="00C564D3" w:rsidRPr="00C564D3" w:rsidRDefault="00C564D3" w:rsidP="00C564D3">
      <w:r>
        <w:t xml:space="preserve">Industry was unable to quantify </w:t>
      </w:r>
      <w:r w:rsidR="00DB0FC3">
        <w:t xml:space="preserve">(within the requested timeframe) </w:t>
      </w:r>
      <w:r>
        <w:t>what changes in dollar value/time could be attributed to using the proposed model. Industry feedback will be sought post implementation to determine if these values can be determined in practice</w:t>
      </w:r>
    </w:p>
    <w:p w14:paraId="654D97DE" w14:textId="7039FDF7" w:rsidR="001B0C20" w:rsidRPr="007633D1" w:rsidRDefault="001B0C20">
      <w:pPr>
        <w:pStyle w:val="Heading2"/>
        <w:numPr>
          <w:ilvl w:val="0"/>
          <w:numId w:val="8"/>
        </w:numPr>
      </w:pPr>
      <w:bookmarkStart w:id="76" w:name="_Toc181863275"/>
      <w:bookmarkStart w:id="77" w:name="_Toc182485107"/>
      <w:bookmarkStart w:id="78" w:name="_Toc182485194"/>
      <w:bookmarkStart w:id="79" w:name="_Toc181179950"/>
      <w:bookmarkStart w:id="80" w:name="_Toc181863276"/>
      <w:bookmarkStart w:id="81" w:name="_Toc182485108"/>
      <w:bookmarkStart w:id="82" w:name="_Toc182485195"/>
      <w:bookmarkStart w:id="83" w:name="_Toc184730574"/>
      <w:bookmarkEnd w:id="76"/>
      <w:bookmarkEnd w:id="77"/>
      <w:bookmarkEnd w:id="78"/>
      <w:bookmarkEnd w:id="79"/>
      <w:bookmarkEnd w:id="80"/>
      <w:bookmarkEnd w:id="81"/>
      <w:bookmarkEnd w:id="82"/>
      <w:r w:rsidRPr="007633D1">
        <w:t>What policy options are you considering</w:t>
      </w:r>
      <w:bookmarkEnd w:id="83"/>
    </w:p>
    <w:p w14:paraId="586ABC12" w14:textId="576EC255" w:rsidR="00FB0709" w:rsidRDefault="000C5437" w:rsidP="00FB0709">
      <w:pPr>
        <w:rPr>
          <w:color w:val="232323"/>
        </w:rPr>
      </w:pPr>
      <w:r w:rsidRPr="000C5437">
        <w:t xml:space="preserve">The TGA is </w:t>
      </w:r>
      <w:r>
        <w:t>considering 3</w:t>
      </w:r>
      <w:r w:rsidRPr="000C5437">
        <w:t xml:space="preserve"> options</w:t>
      </w:r>
      <w:r w:rsidR="00FB0709">
        <w:t xml:space="preserve"> to be used in ingredient risk assessments.</w:t>
      </w:r>
      <w:r w:rsidRPr="000C5437">
        <w:t xml:space="preserve"> </w:t>
      </w:r>
      <w:r w:rsidR="00FB0709">
        <w:rPr>
          <w:color w:val="232323"/>
        </w:rPr>
        <w:t>Each</w:t>
      </w:r>
      <w:r w:rsidR="00FB0709">
        <w:rPr>
          <w:color w:val="232323"/>
          <w:spacing w:val="-4"/>
        </w:rPr>
        <w:t xml:space="preserve"> </w:t>
      </w:r>
      <w:r w:rsidR="00FB0709">
        <w:rPr>
          <w:color w:val="232323"/>
        </w:rPr>
        <w:t>option</w:t>
      </w:r>
      <w:r w:rsidR="00FB0709">
        <w:rPr>
          <w:color w:val="232323"/>
          <w:spacing w:val="-2"/>
        </w:rPr>
        <w:t xml:space="preserve"> </w:t>
      </w:r>
      <w:r w:rsidR="00FB0709">
        <w:rPr>
          <w:color w:val="232323"/>
        </w:rPr>
        <w:t>demonstrates</w:t>
      </w:r>
      <w:r w:rsidR="00FB0709">
        <w:rPr>
          <w:color w:val="232323"/>
          <w:spacing w:val="-2"/>
        </w:rPr>
        <w:t xml:space="preserve"> </w:t>
      </w:r>
      <w:r w:rsidR="00FB0709">
        <w:rPr>
          <w:color w:val="232323"/>
        </w:rPr>
        <w:t>how</w:t>
      </w:r>
      <w:r w:rsidR="00FB0709">
        <w:rPr>
          <w:color w:val="232323"/>
          <w:spacing w:val="-3"/>
        </w:rPr>
        <w:t xml:space="preserve"> </w:t>
      </w:r>
      <w:r w:rsidR="00FB0709">
        <w:rPr>
          <w:color w:val="232323"/>
        </w:rPr>
        <w:t>to</w:t>
      </w:r>
      <w:r w:rsidR="00FB0709">
        <w:rPr>
          <w:color w:val="232323"/>
          <w:spacing w:val="-4"/>
        </w:rPr>
        <w:t xml:space="preserve"> </w:t>
      </w:r>
      <w:r w:rsidR="00FB0709">
        <w:rPr>
          <w:color w:val="232323"/>
        </w:rPr>
        <w:t>estimate</w:t>
      </w:r>
      <w:r w:rsidR="00FB0709">
        <w:rPr>
          <w:color w:val="232323"/>
          <w:spacing w:val="-4"/>
        </w:rPr>
        <w:t xml:space="preserve"> </w:t>
      </w:r>
      <w:r w:rsidR="00FB0709">
        <w:t>daily</w:t>
      </w:r>
      <w:r w:rsidR="00FB0709">
        <w:rPr>
          <w:spacing w:val="-3"/>
        </w:rPr>
        <w:t xml:space="preserve"> </w:t>
      </w:r>
      <w:r w:rsidR="00FB0709">
        <w:t>sunscreen</w:t>
      </w:r>
      <w:r w:rsidR="00FB0709">
        <w:rPr>
          <w:spacing w:val="-4"/>
        </w:rPr>
        <w:t xml:space="preserve"> </w:t>
      </w:r>
      <w:r w:rsidR="00FB0709">
        <w:t>exposure</w:t>
      </w:r>
      <w:r w:rsidR="00FB0709">
        <w:rPr>
          <w:spacing w:val="-4"/>
        </w:rPr>
        <w:t xml:space="preserve"> </w:t>
      </w:r>
      <w:r w:rsidR="00FB0709">
        <w:rPr>
          <w:color w:val="232323"/>
        </w:rPr>
        <w:t>(or</w:t>
      </w:r>
      <w:r w:rsidR="00FB0709">
        <w:rPr>
          <w:color w:val="232323"/>
          <w:spacing w:val="-3"/>
        </w:rPr>
        <w:t xml:space="preserve"> </w:t>
      </w:r>
      <w:r w:rsidR="00FB0709">
        <w:rPr>
          <w:color w:val="232323"/>
        </w:rPr>
        <w:t>“external</w:t>
      </w:r>
      <w:r w:rsidR="00FB0709">
        <w:rPr>
          <w:color w:val="232323"/>
          <w:spacing w:val="-3"/>
        </w:rPr>
        <w:t xml:space="preserve"> </w:t>
      </w:r>
      <w:r w:rsidR="00FB0709">
        <w:rPr>
          <w:color w:val="232323"/>
        </w:rPr>
        <w:t xml:space="preserve">exposure”) in Australia to calculate the SED. The SED was then used to calculate the maximum safe concentration using the MoS formula </w:t>
      </w:r>
      <w:r w:rsidR="00FB0709">
        <w:t xml:space="preserve">(see </w:t>
      </w:r>
      <w:hyperlink w:anchor="_How_risk_for" w:history="1">
        <w:r w:rsidR="00FB0709" w:rsidRPr="009E26C7">
          <w:rPr>
            <w:rStyle w:val="Hyperlink"/>
          </w:rPr>
          <w:t>How risk for ingredients is evaluated</w:t>
        </w:r>
      </w:hyperlink>
      <w:r w:rsidR="00FB0709">
        <w:t>)</w:t>
      </w:r>
      <w:r w:rsidR="00FB0709">
        <w:rPr>
          <w:color w:val="232323"/>
        </w:rPr>
        <w:t xml:space="preserve">. </w:t>
      </w:r>
    </w:p>
    <w:p w14:paraId="1F2B850F" w14:textId="11BDF022" w:rsidR="004E6DA5" w:rsidRDefault="000C5437" w:rsidP="004E6DA5">
      <w:r w:rsidRPr="000C5437">
        <w:t>These options are not intended to be included in legislation but will be provided as guidance for industry when making new ingredient applications</w:t>
      </w:r>
      <w:r>
        <w:t>.</w:t>
      </w:r>
    </w:p>
    <w:p w14:paraId="768AE092" w14:textId="271667D0" w:rsidR="00366937" w:rsidRDefault="00495F45" w:rsidP="004E6DA5">
      <w:r>
        <w:t xml:space="preserve">Many secondary sunscreen products, such as cosmetic sunscreens, are not considered to be therapeutic goods and are </w:t>
      </w:r>
      <w:r w:rsidR="00495226">
        <w:t xml:space="preserve">therefore </w:t>
      </w:r>
      <w:r>
        <w:t xml:space="preserve">‘excluded’ from therapeutic goods regulation. </w:t>
      </w:r>
      <w:r w:rsidR="00495226">
        <w:t>These c</w:t>
      </w:r>
      <w:r>
        <w:t xml:space="preserve">osmetic sunscreens </w:t>
      </w:r>
      <w:r w:rsidR="00495226">
        <w:t>fall under the</w:t>
      </w:r>
      <w:r>
        <w:t xml:space="preserve"> regulat</w:t>
      </w:r>
      <w:r w:rsidR="00495226">
        <w:t>ion</w:t>
      </w:r>
      <w:r>
        <w:t xml:space="preserve"> by the Australian Industrial Chemicals Introduction Scheme</w:t>
      </w:r>
      <w:r w:rsidR="00495226">
        <w:t xml:space="preserve"> (AICIS)</w:t>
      </w:r>
      <w:r>
        <w:t xml:space="preserve">, </w:t>
      </w:r>
      <w:r w:rsidR="00495226">
        <w:t xml:space="preserve">which oversees the </w:t>
      </w:r>
      <w:r>
        <w:t xml:space="preserve">introduction of ingredients in cosmetic sunscreens that </w:t>
      </w:r>
      <w:r w:rsidR="00495226">
        <w:t xml:space="preserve">comply with </w:t>
      </w:r>
      <w:r>
        <w:t xml:space="preserve">the Therapeutic Goods (Excluded Goods) Determination 2018. </w:t>
      </w:r>
      <w:r w:rsidR="00366937">
        <w:t xml:space="preserve">As these products are excluded from TGA regulation, the TGA has no authority to determine how the safety of the ingredients in these products are assessed. </w:t>
      </w:r>
      <w:r w:rsidR="0021703A">
        <w:t>Therefore, the options apply to sunscreens regulated as therapeutic goods and not to those sunscreens excluded form therapeutic goods legislation</w:t>
      </w:r>
      <w:r w:rsidR="00D4508D">
        <w:t xml:space="preserve">. </w:t>
      </w:r>
      <w:r w:rsidR="0021703A">
        <w:t xml:space="preserve">For more information, refer to </w:t>
      </w:r>
      <w:hyperlink w:anchor="_Therapeutic_sunscreens" w:history="1">
        <w:r w:rsidR="0021703A" w:rsidRPr="00EC2D0B">
          <w:rPr>
            <w:rStyle w:val="Hyperlink"/>
          </w:rPr>
          <w:t>Therapeutic sunscreens</w:t>
        </w:r>
      </w:hyperlink>
      <w:r w:rsidR="0021703A">
        <w:t>.</w:t>
      </w:r>
    </w:p>
    <w:p w14:paraId="376BC28F" w14:textId="2C1CD253" w:rsidR="004E6DA5" w:rsidRDefault="00495F45" w:rsidP="004E6DA5">
      <w:r>
        <w:t>Therapeutic sunscreens must be included in the ARTG and are assigned an AUST L or AUST R number</w:t>
      </w:r>
      <w:r w:rsidR="00F87FC4">
        <w:t>, noting</w:t>
      </w:r>
      <w:r>
        <w:t xml:space="preserve"> currently</w:t>
      </w:r>
      <w:r w:rsidR="009529B9">
        <w:t>, there are</w:t>
      </w:r>
      <w:r>
        <w:t xml:space="preserve"> no registered sunscreens</w:t>
      </w:r>
      <w:r w:rsidR="00F87FC4">
        <w:t xml:space="preserve"> with an AUST R</w:t>
      </w:r>
      <w:r>
        <w:t xml:space="preserve">. Consumers can </w:t>
      </w:r>
      <w:r w:rsidR="009529B9">
        <w:t>identify</w:t>
      </w:r>
      <w:r>
        <w:t xml:space="preserve"> therapeutic </w:t>
      </w:r>
      <w:r w:rsidR="009529B9">
        <w:t xml:space="preserve">sunscreens by the </w:t>
      </w:r>
      <w:r>
        <w:t>presence of the AUST L or AUST R number on the product</w:t>
      </w:r>
      <w:r w:rsidR="009529B9">
        <w:t xml:space="preserve"> label</w:t>
      </w:r>
      <w:r>
        <w:t xml:space="preserve">.  </w:t>
      </w:r>
      <w:r w:rsidR="00EC2D0B">
        <w:t xml:space="preserve">   </w:t>
      </w:r>
    </w:p>
    <w:p w14:paraId="26A99E99" w14:textId="5B8AE364" w:rsidR="000C5437" w:rsidRDefault="00D829B3" w:rsidP="000C5437">
      <w:r w:rsidRPr="00D829B3">
        <w:t>It is important to note that the proposed options are only related to sunscreen exposure assumptions used in the risk assessment process. However, any exposure assumptions are only one part of the risk assessment process, which depends on various other factors such as the available safety data. The risk assessment process and data requirements are standardi</w:t>
      </w:r>
      <w:r w:rsidR="00A3460E">
        <w:t>s</w:t>
      </w:r>
      <w:r w:rsidRPr="00D829B3">
        <w:t>ed and the same for all</w:t>
      </w:r>
      <w:r w:rsidR="00A3460E">
        <w:t xml:space="preserve"> </w:t>
      </w:r>
      <w:r w:rsidRPr="00D829B3">
        <w:t xml:space="preserve">options; they are not under consideration in the </w:t>
      </w:r>
      <w:r w:rsidR="00A3460E">
        <w:t>3</w:t>
      </w:r>
      <w:r w:rsidRPr="00D829B3">
        <w:t xml:space="preserve"> options</w:t>
      </w:r>
      <w:r>
        <w:t>.</w:t>
      </w:r>
    </w:p>
    <w:p w14:paraId="34BCF190" w14:textId="4A5C35DC" w:rsidR="00052B09" w:rsidRDefault="00052B09" w:rsidP="000C5437">
      <w:r>
        <w:t xml:space="preserve">In relation to existing sunscreen ingredients, the options do </w:t>
      </w:r>
      <w:r w:rsidRPr="008B5BBF">
        <w:t>not propose new regulatory requirements for currently approved sunscreen ingredients, such as reduced permitted concentrations stipulated in the Therapeutic Goods (Permissible Ingredients) Determination or the Poisons Standard.</w:t>
      </w:r>
      <w:r>
        <w:t xml:space="preserve"> However, the TGA will use the consistent methodology provided by the adopted model to complete safety reviews of ingredients.</w:t>
      </w:r>
    </w:p>
    <w:p w14:paraId="7E91C865" w14:textId="70858E07" w:rsidR="00665EB3" w:rsidRPr="007B4E17" w:rsidRDefault="00665EB3" w:rsidP="00EA3D27">
      <w:pPr>
        <w:pStyle w:val="Heading3"/>
      </w:pPr>
      <w:bookmarkStart w:id="84" w:name="_Toc184730575"/>
      <w:r w:rsidRPr="00151B4C">
        <w:t>A</w:t>
      </w:r>
      <w:r>
        <w:t xml:space="preserve">lternative options </w:t>
      </w:r>
      <w:r w:rsidR="00AD008C">
        <w:t>considered</w:t>
      </w:r>
      <w:bookmarkEnd w:id="84"/>
      <w:r w:rsidR="00AD008C">
        <w:t xml:space="preserve"> </w:t>
      </w:r>
    </w:p>
    <w:p w14:paraId="0119E540" w14:textId="0693A381" w:rsidR="005D13D9" w:rsidRDefault="005D13D9" w:rsidP="00F47305">
      <w:pPr>
        <w:pStyle w:val="Heading4"/>
      </w:pPr>
      <w:bookmarkStart w:id="85" w:name="_Toc184730576"/>
      <w:r>
        <w:t>International approaches</w:t>
      </w:r>
      <w:bookmarkEnd w:id="85"/>
    </w:p>
    <w:p w14:paraId="04219A3E" w14:textId="77777777" w:rsidR="00FB0709" w:rsidRDefault="005D13D9" w:rsidP="00FB0709">
      <w:pPr>
        <w:pStyle w:val="BodyText"/>
        <w:spacing w:before="117" w:line="259" w:lineRule="auto"/>
      </w:pPr>
      <w:r>
        <w:t>In considering alternative options, the TGA researched methods being used internationally and determined that the</w:t>
      </w:r>
      <w:r w:rsidRPr="00EA3D27">
        <w:t xml:space="preserve"> SCCS model is</w:t>
      </w:r>
      <w:r>
        <w:t xml:space="preserve"> the</w:t>
      </w:r>
      <w:r w:rsidRPr="00EA3D27">
        <w:t xml:space="preserve"> widely recognised </w:t>
      </w:r>
      <w:r>
        <w:t xml:space="preserve">international </w:t>
      </w:r>
      <w:r w:rsidRPr="00EA3D27">
        <w:t>framework used in various regions</w:t>
      </w:r>
      <w:r>
        <w:t xml:space="preserve">. </w:t>
      </w:r>
    </w:p>
    <w:p w14:paraId="5A9A6958" w14:textId="0083EBAC" w:rsidR="005D13D9" w:rsidRDefault="00FB0709" w:rsidP="005D13D9">
      <w:pPr>
        <w:pStyle w:val="BodyText"/>
        <w:spacing w:before="117" w:line="259" w:lineRule="auto"/>
      </w:pPr>
      <w:r>
        <w:t>S</w:t>
      </w:r>
      <w:r w:rsidRPr="00F615F7">
        <w:t>takeholders</w:t>
      </w:r>
      <w:r w:rsidRPr="00F615F7">
        <w:rPr>
          <w:spacing w:val="-1"/>
        </w:rPr>
        <w:t xml:space="preserve"> </w:t>
      </w:r>
      <w:r>
        <w:rPr>
          <w:spacing w:val="-1"/>
        </w:rPr>
        <w:t xml:space="preserve">were invited as part of the public </w:t>
      </w:r>
      <w:hyperlink r:id="rId31" w:history="1">
        <w:r w:rsidRPr="008F2C2B">
          <w:rPr>
            <w:rStyle w:val="Hyperlink"/>
          </w:rPr>
          <w:t>consultation</w:t>
        </w:r>
      </w:hyperlink>
      <w:r>
        <w:rPr>
          <w:rStyle w:val="Hyperlink"/>
        </w:rPr>
        <w:t xml:space="preserve"> </w:t>
      </w:r>
      <w:r w:rsidRPr="00F615F7">
        <w:t>to provide</w:t>
      </w:r>
      <w:r>
        <w:t xml:space="preserve"> any alternative international models, but none were identified.</w:t>
      </w:r>
      <w:r w:rsidRPr="00F615F7">
        <w:rPr>
          <w:spacing w:val="-2"/>
        </w:rPr>
        <w:t xml:space="preserve"> </w:t>
      </w:r>
      <w:r>
        <w:t xml:space="preserve">It appears that no other overseas jurisdiction has developed a similar model or methodology. </w:t>
      </w:r>
      <w:r w:rsidR="005D13D9">
        <w:t>Accordingly, the SCCC model has been proposed for adoption in Option 2.</w:t>
      </w:r>
    </w:p>
    <w:p w14:paraId="59360A29" w14:textId="2BD318F9" w:rsidR="005D13D9" w:rsidRDefault="005D13D9" w:rsidP="00EA3D27">
      <w:pPr>
        <w:pStyle w:val="BodyText"/>
        <w:spacing w:before="117" w:line="259" w:lineRule="auto"/>
      </w:pPr>
      <w:r>
        <w:t xml:space="preserve">In the USA, </w:t>
      </w:r>
      <w:r w:rsidR="001A426B">
        <w:t xml:space="preserve">the FDA recommends </w:t>
      </w:r>
      <w:r w:rsidR="001A426B" w:rsidRPr="003113E7">
        <w:t>Maximal Usage Trials (</w:t>
      </w:r>
      <w:r w:rsidR="001A426B">
        <w:t xml:space="preserve">MUsT) </w:t>
      </w:r>
      <w:r>
        <w:t xml:space="preserve">to assess systemic exposure </w:t>
      </w:r>
      <w:r w:rsidR="001A2C15">
        <w:t>of</w:t>
      </w:r>
      <w:r>
        <w:t xml:space="preserve"> a topical active ingredient, including sunscreen ingredients</w:t>
      </w:r>
      <w:r w:rsidR="001A426B">
        <w:t>.</w:t>
      </w:r>
      <w:r>
        <w:t xml:space="preserve"> Subjects are dosed at the highest daily dose and frequency proposed in the product labeling until levels of the active ingredient have reached steady state. The FDA use</w:t>
      </w:r>
      <w:r w:rsidR="001A426B">
        <w:t>s</w:t>
      </w:r>
      <w:r>
        <w:t xml:space="preserve"> information from a MUsT to identify the potential for systemic exposure and determine the need for additional safety data to support a finding that </w:t>
      </w:r>
      <w:r w:rsidR="001A2C15">
        <w:t>an</w:t>
      </w:r>
      <w:r w:rsidR="00F87FC4">
        <w:t xml:space="preserve"> </w:t>
      </w:r>
      <w:r>
        <w:t>active ingredient is generally recognized as safe and effective (GRASE) for its intended use.</w:t>
      </w:r>
      <w:r w:rsidR="001A426B">
        <w:t xml:space="preserve"> As the MuST is used on </w:t>
      </w:r>
      <w:r w:rsidR="001A2C15">
        <w:t>case-by-case</w:t>
      </w:r>
      <w:r w:rsidR="001A426B">
        <w:t xml:space="preserve"> basis for specific product</w:t>
      </w:r>
      <w:r w:rsidR="001A2C15">
        <w:t>s</w:t>
      </w:r>
      <w:r w:rsidR="00F87FC4">
        <w:t xml:space="preserve"> </w:t>
      </w:r>
      <w:r w:rsidR="00366937">
        <w:t xml:space="preserve">and is not based on general consumer usage and exposure, </w:t>
      </w:r>
      <w:r w:rsidR="001A426B">
        <w:t>it was not considered a viable option for adoption by the TGA to achieve the objectives of the proposed intervention.</w:t>
      </w:r>
    </w:p>
    <w:p w14:paraId="12D832AE" w14:textId="54D4A872" w:rsidR="001A426B" w:rsidRDefault="001A426B" w:rsidP="00F47305">
      <w:pPr>
        <w:pStyle w:val="Heading4"/>
      </w:pPr>
      <w:bookmarkStart w:id="86" w:name="_Toc184730577"/>
      <w:r>
        <w:t>Domestic approaches</w:t>
      </w:r>
      <w:bookmarkEnd w:id="86"/>
    </w:p>
    <w:p w14:paraId="4C942A6C" w14:textId="21996F34" w:rsidR="001A426B" w:rsidRDefault="001A426B" w:rsidP="00F20954">
      <w:pPr>
        <w:pStyle w:val="BodyText"/>
        <w:spacing w:before="117" w:line="259" w:lineRule="auto"/>
        <w:ind w:left="1"/>
      </w:pPr>
      <w:r>
        <w:t>One possible alternative is to adopt the Cancer Council Australia's guidelines</w:t>
      </w:r>
      <w:r>
        <w:rPr>
          <w:spacing w:val="-2"/>
        </w:rPr>
        <w:t xml:space="preserve"> </w:t>
      </w:r>
      <w:r>
        <w:t>of</w:t>
      </w:r>
      <w:r>
        <w:rPr>
          <w:spacing w:val="-3"/>
        </w:rPr>
        <w:t xml:space="preserve"> </w:t>
      </w:r>
      <w:r>
        <w:t>reapplying</w:t>
      </w:r>
      <w:r>
        <w:rPr>
          <w:spacing w:val="-3"/>
        </w:rPr>
        <w:t xml:space="preserve"> </w:t>
      </w:r>
      <w:r>
        <w:t>sunscreen</w:t>
      </w:r>
      <w:r>
        <w:rPr>
          <w:spacing w:val="-3"/>
        </w:rPr>
        <w:t xml:space="preserve"> </w:t>
      </w:r>
      <w:r>
        <w:t>every</w:t>
      </w:r>
      <w:r>
        <w:rPr>
          <w:spacing w:val="-2"/>
        </w:rPr>
        <w:t xml:space="preserve"> </w:t>
      </w:r>
      <w:r>
        <w:t>2</w:t>
      </w:r>
      <w:r>
        <w:rPr>
          <w:spacing w:val="-3"/>
        </w:rPr>
        <w:t xml:space="preserve"> </w:t>
      </w:r>
      <w:r>
        <w:t>hours</w:t>
      </w:r>
      <w:r>
        <w:rPr>
          <w:spacing w:val="-2"/>
        </w:rPr>
        <w:t xml:space="preserve"> </w:t>
      </w:r>
      <w:r w:rsidR="00F20954">
        <w:rPr>
          <w:spacing w:val="-2"/>
        </w:rPr>
        <w:t xml:space="preserve">with </w:t>
      </w:r>
      <w:r w:rsidR="00F20954" w:rsidRPr="002159BF">
        <w:t>140 mL sunscreen application for a full-day full body</w:t>
      </w:r>
      <w:r w:rsidR="00F20954">
        <w:t xml:space="preserve"> sun exposure. </w:t>
      </w:r>
      <w:r w:rsidR="00652613">
        <w:rPr>
          <w:spacing w:val="-3"/>
        </w:rPr>
        <w:t xml:space="preserve">However, industry feedback has been that this figure is far in excess of actual consumer sunscreen usage. It also </w:t>
      </w:r>
      <w:r w:rsidR="00353064">
        <w:t xml:space="preserve">does not account for the unique scenarios outlined in the </w:t>
      </w:r>
      <w:r w:rsidR="00FC375C">
        <w:t>A</w:t>
      </w:r>
      <w:r w:rsidR="009B2B09">
        <w:t>SEM</w:t>
      </w:r>
      <w:r w:rsidR="00353064">
        <w:t xml:space="preserve"> calculations</w:t>
      </w:r>
      <w:r w:rsidR="00FF729B">
        <w:t xml:space="preserve">. </w:t>
      </w:r>
    </w:p>
    <w:p w14:paraId="47C860B8" w14:textId="604E7BD9" w:rsidR="00F87FC4" w:rsidRDefault="00353064" w:rsidP="00F87FC4">
      <w:pPr>
        <w:pStyle w:val="BodyText"/>
        <w:spacing w:before="117" w:line="259" w:lineRule="auto"/>
      </w:pPr>
      <w:r>
        <w:t>Another option is to al</w:t>
      </w:r>
      <w:r w:rsidR="00665EB3">
        <w:t>low industry to develop their own exposure model</w:t>
      </w:r>
      <w:r w:rsidR="00652613">
        <w:t xml:space="preserve">. </w:t>
      </w:r>
      <w:r w:rsidR="00652613" w:rsidRPr="00652613">
        <w:t xml:space="preserve">However, the ability for the various stakeholders to agree on an approach may be challenging, time consuming and not achievable. </w:t>
      </w:r>
    </w:p>
    <w:p w14:paraId="35D163C7" w14:textId="5C71CE37" w:rsidR="007E268B" w:rsidRDefault="007E268B" w:rsidP="007E268B">
      <w:pPr>
        <w:pStyle w:val="Heading3"/>
      </w:pPr>
      <w:bookmarkStart w:id="87" w:name="_Toc184730578"/>
      <w:r>
        <w:t>Exposure Model (ASEM)</w:t>
      </w:r>
      <w:bookmarkEnd w:id="87"/>
    </w:p>
    <w:p w14:paraId="3CED92B9" w14:textId="68349963" w:rsidR="007E268B" w:rsidRPr="00F615F7" w:rsidRDefault="007E268B" w:rsidP="004813EC">
      <w:bookmarkStart w:id="88" w:name="_Hlk181097124"/>
      <w:r w:rsidRPr="00F615F7">
        <w:t>The</w:t>
      </w:r>
      <w:r w:rsidRPr="00F615F7">
        <w:rPr>
          <w:spacing w:val="-5"/>
        </w:rPr>
        <w:t xml:space="preserve"> </w:t>
      </w:r>
      <w:r w:rsidRPr="00F615F7">
        <w:t>Australian</w:t>
      </w:r>
      <w:r w:rsidRPr="00F615F7">
        <w:rPr>
          <w:spacing w:val="-3"/>
        </w:rPr>
        <w:t xml:space="preserve"> </w:t>
      </w:r>
      <w:r w:rsidRPr="00F615F7">
        <w:t>Sunscreen</w:t>
      </w:r>
      <w:r w:rsidRPr="00F615F7">
        <w:rPr>
          <w:spacing w:val="-3"/>
        </w:rPr>
        <w:t xml:space="preserve"> </w:t>
      </w:r>
      <w:r w:rsidRPr="00F615F7">
        <w:t>Exposure</w:t>
      </w:r>
      <w:r w:rsidRPr="00F615F7">
        <w:rPr>
          <w:spacing w:val="-3"/>
        </w:rPr>
        <w:t xml:space="preserve"> </w:t>
      </w:r>
      <w:r w:rsidRPr="00F615F7">
        <w:t>Model</w:t>
      </w:r>
      <w:r w:rsidRPr="00F615F7">
        <w:rPr>
          <w:spacing w:val="-6"/>
        </w:rPr>
        <w:t xml:space="preserve"> </w:t>
      </w:r>
      <w:r w:rsidR="006355B7">
        <w:rPr>
          <w:spacing w:val="-6"/>
        </w:rPr>
        <w:t xml:space="preserve">(ASEM) </w:t>
      </w:r>
      <w:r w:rsidRPr="00F615F7">
        <w:t>is</w:t>
      </w:r>
      <w:r w:rsidRPr="00F615F7">
        <w:rPr>
          <w:spacing w:val="-4"/>
        </w:rPr>
        <w:t xml:space="preserve"> </w:t>
      </w:r>
      <w:r w:rsidRPr="00F615F7">
        <w:t>proposed</w:t>
      </w:r>
      <w:r w:rsidRPr="00F615F7">
        <w:rPr>
          <w:spacing w:val="-5"/>
        </w:rPr>
        <w:t xml:space="preserve"> </w:t>
      </w:r>
      <w:r w:rsidRPr="00F615F7">
        <w:t>to</w:t>
      </w:r>
      <w:r w:rsidRPr="00F615F7">
        <w:rPr>
          <w:spacing w:val="-3"/>
        </w:rPr>
        <w:t xml:space="preserve"> </w:t>
      </w:r>
      <w:r w:rsidRPr="00F615F7">
        <w:t>accurately</w:t>
      </w:r>
      <w:r w:rsidRPr="00F615F7">
        <w:rPr>
          <w:spacing w:val="-3"/>
        </w:rPr>
        <w:t xml:space="preserve"> </w:t>
      </w:r>
      <w:r w:rsidRPr="00F615F7">
        <w:t>calculate</w:t>
      </w:r>
      <w:r w:rsidRPr="00F615F7">
        <w:rPr>
          <w:spacing w:val="-3"/>
        </w:rPr>
        <w:t xml:space="preserve"> </w:t>
      </w:r>
      <w:r w:rsidRPr="00F615F7">
        <w:t>sunscreen</w:t>
      </w:r>
      <w:r w:rsidRPr="00F615F7">
        <w:rPr>
          <w:spacing w:val="-3"/>
        </w:rPr>
        <w:t xml:space="preserve"> </w:t>
      </w:r>
      <w:r w:rsidRPr="00F615F7">
        <w:t xml:space="preserve">use </w:t>
      </w:r>
      <w:bookmarkEnd w:id="88"/>
      <w:r w:rsidRPr="00F615F7">
        <w:t>that accounts for the diverse needs of Australians and integrates the expected sunscreen application practices that align with current Australian recommendations, rather than utilising international</w:t>
      </w:r>
      <w:r w:rsidRPr="00F615F7">
        <w:rPr>
          <w:spacing w:val="-1"/>
        </w:rPr>
        <w:t xml:space="preserve"> </w:t>
      </w:r>
      <w:r w:rsidRPr="00F615F7">
        <w:t>models that do not. This ensures that sunscreen ingredients are evaluated for safety based on how they are, and recommended to be, used in Australia today.</w:t>
      </w:r>
    </w:p>
    <w:p w14:paraId="36EB1649" w14:textId="51A74F3A" w:rsidR="00151B4C" w:rsidRDefault="007E268B" w:rsidP="004813EC">
      <w:r w:rsidRPr="00F615F7">
        <w:t>The objective of this approach is to affirm the safety of sunscreen ingredients, considering the highest plausible sunscreen use throughout the year, for the most sensitive population. To achieve this, 6 theoretical</w:t>
      </w:r>
      <w:r w:rsidRPr="00F615F7">
        <w:rPr>
          <w:spacing w:val="-3"/>
        </w:rPr>
        <w:t xml:space="preserve"> </w:t>
      </w:r>
      <w:r w:rsidRPr="00F615F7">
        <w:t>ASEM</w:t>
      </w:r>
      <w:r w:rsidRPr="00F615F7">
        <w:rPr>
          <w:spacing w:val="-2"/>
        </w:rPr>
        <w:t xml:space="preserve"> </w:t>
      </w:r>
      <w:r w:rsidRPr="00F615F7">
        <w:t>scenarios have</w:t>
      </w:r>
      <w:r w:rsidRPr="00F615F7">
        <w:rPr>
          <w:spacing w:val="-2"/>
        </w:rPr>
        <w:t xml:space="preserve"> </w:t>
      </w:r>
      <w:r w:rsidRPr="00F615F7">
        <w:t>been developed</w:t>
      </w:r>
      <w:r w:rsidRPr="00F615F7">
        <w:rPr>
          <w:spacing w:val="-2"/>
        </w:rPr>
        <w:t xml:space="preserve"> </w:t>
      </w:r>
      <w:r w:rsidRPr="00F615F7">
        <w:t>to</w:t>
      </w:r>
      <w:r w:rsidRPr="00F615F7">
        <w:rPr>
          <w:spacing w:val="-2"/>
        </w:rPr>
        <w:t xml:space="preserve"> </w:t>
      </w:r>
      <w:r w:rsidRPr="00F615F7">
        <w:t>represent a</w:t>
      </w:r>
      <w:r w:rsidRPr="00F615F7">
        <w:rPr>
          <w:spacing w:val="-2"/>
        </w:rPr>
        <w:t xml:space="preserve"> </w:t>
      </w:r>
      <w:r w:rsidRPr="00F615F7">
        <w:t>broad</w:t>
      </w:r>
      <w:r w:rsidRPr="00F615F7">
        <w:rPr>
          <w:spacing w:val="-2"/>
        </w:rPr>
        <w:t xml:space="preserve"> </w:t>
      </w:r>
      <w:r w:rsidRPr="00F615F7">
        <w:t>spectrum of</w:t>
      </w:r>
      <w:r w:rsidRPr="00F615F7">
        <w:rPr>
          <w:spacing w:val="-2"/>
        </w:rPr>
        <w:t xml:space="preserve"> </w:t>
      </w:r>
      <w:r w:rsidRPr="00F615F7">
        <w:t>regular</w:t>
      </w:r>
      <w:r w:rsidRPr="00F615F7">
        <w:rPr>
          <w:spacing w:val="-1"/>
        </w:rPr>
        <w:t xml:space="preserve"> </w:t>
      </w:r>
      <w:r w:rsidRPr="00F615F7">
        <w:t>sunscreen usage patterns across different demographics across Australia (see</w:t>
      </w:r>
      <w:r w:rsidR="00CE0174">
        <w:t xml:space="preserve"> exposure model at</w:t>
      </w:r>
      <w:r w:rsidRPr="00F615F7">
        <w:t xml:space="preserve"> </w:t>
      </w:r>
      <w:hyperlink w:anchor="Table8" w:history="1">
        <w:r w:rsidR="007B5DC9" w:rsidRPr="00697917">
          <w:rPr>
            <w:rStyle w:val="Hyperlink"/>
          </w:rPr>
          <w:t xml:space="preserve">Table </w:t>
        </w:r>
        <w:r w:rsidR="00697917" w:rsidRPr="00697917">
          <w:rPr>
            <w:rStyle w:val="Hyperlink"/>
          </w:rPr>
          <w:t>8</w:t>
        </w:r>
      </w:hyperlink>
      <w:r w:rsidRPr="00F615F7">
        <w:t>). These scenarios</w:t>
      </w:r>
      <w:r w:rsidRPr="00F615F7">
        <w:rPr>
          <w:spacing w:val="40"/>
        </w:rPr>
        <w:t xml:space="preserve"> </w:t>
      </w:r>
      <w:r w:rsidRPr="00F615F7">
        <w:t>provide</w:t>
      </w:r>
      <w:r w:rsidRPr="00F615F7">
        <w:rPr>
          <w:spacing w:val="-2"/>
        </w:rPr>
        <w:t xml:space="preserve"> </w:t>
      </w:r>
      <w:r w:rsidRPr="00F615F7">
        <w:t>the</w:t>
      </w:r>
      <w:r w:rsidRPr="00F615F7">
        <w:rPr>
          <w:spacing w:val="-2"/>
        </w:rPr>
        <w:t xml:space="preserve"> </w:t>
      </w:r>
      <w:r w:rsidRPr="00F615F7">
        <w:t>highest</w:t>
      </w:r>
      <w:r w:rsidRPr="00F615F7">
        <w:rPr>
          <w:spacing w:val="-2"/>
        </w:rPr>
        <w:t xml:space="preserve"> </w:t>
      </w:r>
      <w:r w:rsidRPr="00F615F7">
        <w:t>estimated</w:t>
      </w:r>
      <w:r w:rsidRPr="00F615F7">
        <w:rPr>
          <w:spacing w:val="-4"/>
        </w:rPr>
        <w:t xml:space="preserve"> </w:t>
      </w:r>
      <w:r w:rsidR="009E26C7">
        <w:rPr>
          <w:spacing w:val="-4"/>
        </w:rPr>
        <w:t xml:space="preserve">average </w:t>
      </w:r>
      <w:r w:rsidRPr="00F615F7">
        <w:t>daily</w:t>
      </w:r>
      <w:r w:rsidRPr="00F615F7">
        <w:rPr>
          <w:spacing w:val="-3"/>
        </w:rPr>
        <w:t xml:space="preserve"> </w:t>
      </w:r>
      <w:r w:rsidRPr="00F615F7">
        <w:t>sunscreen</w:t>
      </w:r>
      <w:r w:rsidRPr="00F615F7">
        <w:rPr>
          <w:spacing w:val="-4"/>
        </w:rPr>
        <w:t xml:space="preserve"> </w:t>
      </w:r>
      <w:r w:rsidRPr="00F615F7">
        <w:t>exposure,</w:t>
      </w:r>
      <w:r w:rsidRPr="00F615F7">
        <w:rPr>
          <w:spacing w:val="-4"/>
        </w:rPr>
        <w:t xml:space="preserve"> </w:t>
      </w:r>
      <w:r w:rsidRPr="00F615F7">
        <w:t>to</w:t>
      </w:r>
      <w:r w:rsidRPr="00F615F7">
        <w:rPr>
          <w:spacing w:val="-4"/>
        </w:rPr>
        <w:t xml:space="preserve"> </w:t>
      </w:r>
      <w:r w:rsidRPr="00F615F7">
        <w:t>calculate</w:t>
      </w:r>
      <w:r w:rsidRPr="00F615F7">
        <w:rPr>
          <w:spacing w:val="-2"/>
        </w:rPr>
        <w:t xml:space="preserve"> </w:t>
      </w:r>
      <w:r w:rsidRPr="00F615F7">
        <w:t>maximum</w:t>
      </w:r>
      <w:r w:rsidRPr="00F615F7">
        <w:rPr>
          <w:spacing w:val="-4"/>
        </w:rPr>
        <w:t xml:space="preserve"> </w:t>
      </w:r>
      <w:r w:rsidRPr="00F615F7">
        <w:t>safe</w:t>
      </w:r>
      <w:r w:rsidRPr="00F615F7">
        <w:rPr>
          <w:spacing w:val="-4"/>
        </w:rPr>
        <w:t xml:space="preserve"> </w:t>
      </w:r>
      <w:r w:rsidRPr="00F615F7">
        <w:t>concentration</w:t>
      </w:r>
      <w:r w:rsidRPr="00F615F7">
        <w:rPr>
          <w:spacing w:val="-2"/>
        </w:rPr>
        <w:t xml:space="preserve"> </w:t>
      </w:r>
      <w:r w:rsidRPr="00F615F7">
        <w:t>of</w:t>
      </w:r>
      <w:r w:rsidRPr="00F615F7">
        <w:rPr>
          <w:spacing w:val="-4"/>
        </w:rPr>
        <w:t xml:space="preserve"> </w:t>
      </w:r>
      <w:r w:rsidRPr="00F615F7">
        <w:t xml:space="preserve">a sunscreen ingredient using the </w:t>
      </w:r>
      <w:r w:rsidRPr="00EF37D2">
        <w:t xml:space="preserve">SED </w:t>
      </w:r>
      <w:r w:rsidRPr="00F615F7">
        <w:t xml:space="preserve">and </w:t>
      </w:r>
      <w:r w:rsidRPr="00EF37D2">
        <w:t>MoS</w:t>
      </w:r>
      <w:r w:rsidRPr="00F615F7">
        <w:rPr>
          <w:color w:val="0000FF"/>
        </w:rPr>
        <w:t xml:space="preserve"> </w:t>
      </w:r>
      <w:r w:rsidRPr="00F615F7">
        <w:t>formulas</w:t>
      </w:r>
      <w:r w:rsidR="002E5850">
        <w:t>.</w:t>
      </w:r>
    </w:p>
    <w:p w14:paraId="62D5D624" w14:textId="0211E028" w:rsidR="0059196C" w:rsidRDefault="0059196C" w:rsidP="00151B4C">
      <w:r w:rsidRPr="00315067">
        <w:t>Th</w:t>
      </w:r>
      <w:r>
        <w:t>e</w:t>
      </w:r>
      <w:r w:rsidRPr="00315067">
        <w:t xml:space="preserve"> </w:t>
      </w:r>
      <w:r>
        <w:t xml:space="preserve">ASEM </w:t>
      </w:r>
      <w:r w:rsidRPr="00315067">
        <w:t>has been developed as a significant advancement for performing sunscreen exposure calculations that reflect the unique conditions and practices in Australia today. It aims to calculate safe levels of new ingredients proposed for use in Australian sunscreens, as well as reassess existing ingredients when new evidence suggests potential risks. Our goal is to ensure the approval of sunscreen ingredients is based on current information and scientific best practice so that sunscreens continue to be used safely and effectively by all Australians as one of the measures to prevent skin cancer</w:t>
      </w:r>
      <w:r>
        <w:t>.</w:t>
      </w:r>
    </w:p>
    <w:p w14:paraId="15689259" w14:textId="6C9008C6" w:rsidR="00151B4C" w:rsidRPr="007B4E17" w:rsidRDefault="00151B4C" w:rsidP="00F47305">
      <w:pPr>
        <w:pStyle w:val="Heading4"/>
      </w:pPr>
      <w:bookmarkStart w:id="89" w:name="_Toc184730579"/>
      <w:r w:rsidRPr="007B4E17">
        <w:t xml:space="preserve">How </w:t>
      </w:r>
      <w:r w:rsidR="007B4E17">
        <w:t>the</w:t>
      </w:r>
      <w:r w:rsidRPr="007B4E17">
        <w:t xml:space="preserve"> </w:t>
      </w:r>
      <w:r w:rsidR="007B4E17" w:rsidRPr="007B4E17">
        <w:t>Australian Sunscreen Exposure Model (ASEM)</w:t>
      </w:r>
      <w:r w:rsidR="007B4E17">
        <w:t xml:space="preserve"> </w:t>
      </w:r>
      <w:r w:rsidRPr="007B4E17">
        <w:t>work</w:t>
      </w:r>
      <w:r w:rsidR="007B4E17">
        <w:t>s</w:t>
      </w:r>
      <w:bookmarkEnd w:id="89"/>
    </w:p>
    <w:p w14:paraId="67C32557" w14:textId="5C8EA0D5" w:rsidR="00151B4C" w:rsidRPr="00151B4C" w:rsidRDefault="00151B4C" w:rsidP="00151B4C">
      <w:pPr>
        <w:widowControl w:val="0"/>
        <w:autoSpaceDE w:val="0"/>
        <w:autoSpaceDN w:val="0"/>
        <w:spacing w:before="120" w:after="0"/>
        <w:ind w:right="160"/>
        <w:rPr>
          <w:rFonts w:eastAsia="Arial" w:cs="Arial"/>
          <w:lang w:val="en-US"/>
        </w:rPr>
      </w:pPr>
      <w:r w:rsidRPr="00151B4C">
        <w:rPr>
          <w:rFonts w:eastAsia="Arial" w:cs="Arial"/>
          <w:lang w:val="en-US"/>
        </w:rPr>
        <w:t>The TGA draws upon the same risk assessment method developed by the SCCS for cosmetic ingredients</w:t>
      </w:r>
      <w:r w:rsidRPr="00151B4C">
        <w:rPr>
          <w:rFonts w:eastAsia="Arial" w:cs="Arial"/>
          <w:spacing w:val="-3"/>
          <w:lang w:val="en-US"/>
        </w:rPr>
        <w:t xml:space="preserve"> </w:t>
      </w:r>
      <w:r w:rsidRPr="00151B4C">
        <w:rPr>
          <w:rFonts w:eastAsia="Arial" w:cs="Arial"/>
          <w:lang w:val="en-US"/>
        </w:rPr>
        <w:t>to</w:t>
      </w:r>
      <w:r w:rsidRPr="00151B4C">
        <w:rPr>
          <w:rFonts w:eastAsia="Arial" w:cs="Arial"/>
          <w:spacing w:val="-2"/>
          <w:lang w:val="en-US"/>
        </w:rPr>
        <w:t xml:space="preserve"> </w:t>
      </w:r>
      <w:r w:rsidRPr="00151B4C">
        <w:rPr>
          <w:rFonts w:eastAsia="Arial" w:cs="Arial"/>
          <w:lang w:val="en-US"/>
        </w:rPr>
        <w:t>calculate</w:t>
      </w:r>
      <w:r w:rsidRPr="00151B4C">
        <w:rPr>
          <w:rFonts w:eastAsia="Arial" w:cs="Arial"/>
          <w:spacing w:val="-2"/>
          <w:lang w:val="en-US"/>
        </w:rPr>
        <w:t xml:space="preserve"> </w:t>
      </w:r>
      <w:r w:rsidRPr="00151B4C">
        <w:rPr>
          <w:rFonts w:eastAsia="Arial" w:cs="Arial"/>
          <w:lang w:val="en-US"/>
        </w:rPr>
        <w:t>the SED</w:t>
      </w:r>
      <w:r w:rsidRPr="00151B4C">
        <w:rPr>
          <w:rFonts w:eastAsia="Arial" w:cs="Arial"/>
          <w:spacing w:val="-1"/>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MoS</w:t>
      </w:r>
      <w:r w:rsidR="002744F8">
        <w:rPr>
          <w:rFonts w:eastAsia="Arial" w:cs="Arial"/>
          <w:lang w:val="en-US"/>
        </w:rPr>
        <w:t>.</w:t>
      </w:r>
      <w:r w:rsidRPr="00151B4C">
        <w:rPr>
          <w:rFonts w:eastAsia="Arial" w:cs="Arial"/>
          <w:spacing w:val="-4"/>
          <w:lang w:val="en-US"/>
        </w:rPr>
        <w:t xml:space="preserve"> </w:t>
      </w:r>
      <w:r w:rsidRPr="00151B4C">
        <w:rPr>
          <w:rFonts w:eastAsia="Arial" w:cs="Arial"/>
          <w:lang w:val="en-US"/>
        </w:rPr>
        <w:t>However,</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utilises</w:t>
      </w:r>
      <w:r w:rsidRPr="00151B4C">
        <w:rPr>
          <w:rFonts w:eastAsia="Arial" w:cs="Arial"/>
          <w:spacing w:val="-3"/>
          <w:lang w:val="en-US"/>
        </w:rPr>
        <w:t xml:space="preserve"> </w:t>
      </w:r>
      <w:r w:rsidRPr="00151B4C">
        <w:rPr>
          <w:rFonts w:eastAsia="Arial" w:cs="Arial"/>
          <w:lang w:val="en-US"/>
        </w:rPr>
        <w:t>a</w:t>
      </w:r>
      <w:r w:rsidRPr="00151B4C">
        <w:rPr>
          <w:rFonts w:eastAsia="Arial" w:cs="Arial"/>
          <w:spacing w:val="-4"/>
          <w:lang w:val="en-US"/>
        </w:rPr>
        <w:t xml:space="preserve"> </w:t>
      </w:r>
      <w:r w:rsidRPr="00151B4C">
        <w:rPr>
          <w:rFonts w:eastAsia="Arial" w:cs="Arial"/>
          <w:lang w:val="en-US"/>
        </w:rPr>
        <w:t>different estimated daily sunscreen exposure (external exposure) than is used by the SCCS to calculate the SED and MoS</w:t>
      </w:r>
      <w:r w:rsidR="00016629">
        <w:rPr>
          <w:rFonts w:eastAsia="Arial" w:cs="Arial"/>
          <w:lang w:val="en-US"/>
        </w:rPr>
        <w:t>.</w:t>
      </w:r>
    </w:p>
    <w:p w14:paraId="447C5F9C" w14:textId="2827A270" w:rsidR="00151B4C" w:rsidRDefault="00151B4C" w:rsidP="00151B4C">
      <w:pPr>
        <w:widowControl w:val="0"/>
        <w:autoSpaceDE w:val="0"/>
        <w:autoSpaceDN w:val="0"/>
        <w:spacing w:before="158" w:after="0" w:line="240" w:lineRule="auto"/>
        <w:rPr>
          <w:rFonts w:eastAsia="Arial" w:cs="Arial"/>
          <w:spacing w:val="-5"/>
          <w:lang w:val="en-US"/>
        </w:rPr>
      </w:pPr>
      <w:r w:rsidRPr="00151B4C">
        <w:rPr>
          <w:rFonts w:eastAsia="Arial" w:cs="Arial"/>
          <w:lang w:val="en-US"/>
        </w:rPr>
        <w:t>The</w:t>
      </w:r>
      <w:r w:rsidRPr="00151B4C">
        <w:rPr>
          <w:rFonts w:eastAsia="Arial" w:cs="Arial"/>
          <w:spacing w:val="-7"/>
          <w:lang w:val="en-US"/>
        </w:rPr>
        <w:t xml:space="preserve"> </w:t>
      </w:r>
      <w:r w:rsidRPr="00151B4C">
        <w:rPr>
          <w:rFonts w:eastAsia="Arial" w:cs="Arial"/>
          <w:lang w:val="en-US"/>
        </w:rPr>
        <w:t>SCCS</w:t>
      </w:r>
      <w:r w:rsidRPr="00151B4C">
        <w:rPr>
          <w:rFonts w:eastAsia="Arial" w:cs="Arial"/>
          <w:spacing w:val="-4"/>
          <w:lang w:val="en-US"/>
        </w:rPr>
        <w:t xml:space="preserve"> </w:t>
      </w:r>
      <w:r w:rsidRPr="00151B4C">
        <w:rPr>
          <w:rFonts w:eastAsia="Arial" w:cs="Arial"/>
          <w:lang w:val="en-US"/>
        </w:rPr>
        <w:t>estimated</w:t>
      </w:r>
      <w:r w:rsidRPr="00151B4C">
        <w:rPr>
          <w:rFonts w:eastAsia="Arial" w:cs="Arial"/>
          <w:spacing w:val="-6"/>
          <w:lang w:val="en-US"/>
        </w:rPr>
        <w:t xml:space="preserve"> </w:t>
      </w:r>
      <w:r w:rsidRPr="00151B4C">
        <w:rPr>
          <w:rFonts w:eastAsia="Arial" w:cs="Arial"/>
          <w:lang w:val="en-US"/>
        </w:rPr>
        <w:t>daily</w:t>
      </w:r>
      <w:r w:rsidRPr="00151B4C">
        <w:rPr>
          <w:rFonts w:eastAsia="Arial" w:cs="Arial"/>
          <w:spacing w:val="-5"/>
          <w:lang w:val="en-US"/>
        </w:rPr>
        <w:t xml:space="preserve"> </w:t>
      </w:r>
      <w:r w:rsidRPr="00151B4C">
        <w:rPr>
          <w:rFonts w:eastAsia="Arial" w:cs="Arial"/>
          <w:lang w:val="en-US"/>
        </w:rPr>
        <w:t>sunscreen</w:t>
      </w:r>
      <w:r w:rsidRPr="00151B4C">
        <w:rPr>
          <w:rFonts w:eastAsia="Arial" w:cs="Arial"/>
          <w:spacing w:val="-6"/>
          <w:lang w:val="en-US"/>
        </w:rPr>
        <w:t xml:space="preserve"> </w:t>
      </w:r>
      <w:r w:rsidRPr="00151B4C">
        <w:rPr>
          <w:rFonts w:eastAsia="Arial" w:cs="Arial"/>
          <w:lang w:val="en-US"/>
        </w:rPr>
        <w:t>exposure</w:t>
      </w:r>
      <w:r w:rsidRPr="00151B4C">
        <w:rPr>
          <w:rFonts w:eastAsia="Arial" w:cs="Arial"/>
          <w:spacing w:val="-6"/>
          <w:lang w:val="en-US"/>
        </w:rPr>
        <w:t xml:space="preserve"> </w:t>
      </w:r>
      <w:r w:rsidRPr="00151B4C">
        <w:rPr>
          <w:rFonts w:eastAsia="Arial" w:cs="Arial"/>
          <w:lang w:val="en-US"/>
        </w:rPr>
        <w:t>is</w:t>
      </w:r>
      <w:r w:rsidRPr="00151B4C">
        <w:rPr>
          <w:rFonts w:eastAsia="Arial" w:cs="Arial"/>
          <w:spacing w:val="-5"/>
          <w:lang w:val="en-US"/>
        </w:rPr>
        <w:t xml:space="preserve"> </w:t>
      </w:r>
      <w:r w:rsidRPr="00151B4C">
        <w:rPr>
          <w:rFonts w:eastAsia="Arial" w:cs="Arial"/>
          <w:lang w:val="en-US"/>
        </w:rPr>
        <w:t>expressed</w:t>
      </w:r>
      <w:r w:rsidRPr="00151B4C">
        <w:rPr>
          <w:rFonts w:eastAsia="Arial" w:cs="Arial"/>
          <w:spacing w:val="-6"/>
          <w:lang w:val="en-US"/>
        </w:rPr>
        <w:t xml:space="preserve"> </w:t>
      </w:r>
      <w:r w:rsidRPr="00151B4C">
        <w:rPr>
          <w:rFonts w:eastAsia="Arial" w:cs="Arial"/>
          <w:lang w:val="en-US"/>
        </w:rPr>
        <w:t>in</w:t>
      </w:r>
      <w:r w:rsidRPr="00151B4C">
        <w:rPr>
          <w:rFonts w:eastAsia="Arial" w:cs="Arial"/>
          <w:spacing w:val="-4"/>
          <w:lang w:val="en-US"/>
        </w:rPr>
        <w:t xml:space="preserve"> </w:t>
      </w:r>
      <w:r w:rsidRPr="00151B4C">
        <w:rPr>
          <w:rFonts w:eastAsia="Arial" w:cs="Arial"/>
          <w:lang w:val="en-US"/>
        </w:rPr>
        <w:t>2</w:t>
      </w:r>
      <w:r w:rsidRPr="00151B4C">
        <w:rPr>
          <w:rFonts w:eastAsia="Arial" w:cs="Arial"/>
          <w:spacing w:val="-5"/>
          <w:lang w:val="en-US"/>
        </w:rPr>
        <w:t xml:space="preserve"> </w:t>
      </w:r>
      <w:r w:rsidRPr="00151B4C">
        <w:rPr>
          <w:rFonts w:eastAsia="Arial" w:cs="Arial"/>
          <w:lang w:val="en-US"/>
        </w:rPr>
        <w:t>ways</w:t>
      </w:r>
      <w:r w:rsidR="00CE0174">
        <w:rPr>
          <w:rFonts w:eastAsia="Arial" w:cs="Arial"/>
          <w:lang w:val="en-US"/>
        </w:rPr>
        <w:t xml:space="preserve"> as shown in Table 4</w:t>
      </w:r>
      <w:r w:rsidR="002744F8">
        <w:rPr>
          <w:rFonts w:eastAsia="Arial" w:cs="Arial"/>
          <w:lang w:val="en-US"/>
        </w:rPr>
        <w:t>:</w:t>
      </w:r>
    </w:p>
    <w:p w14:paraId="726CB7D0" w14:textId="37110AEC" w:rsidR="00151B4C" w:rsidRPr="00151B4C" w:rsidRDefault="00894D5E" w:rsidP="00290E87">
      <w:pPr>
        <w:pStyle w:val="Tabletitle"/>
        <w:rPr>
          <w:lang w:val="en-US"/>
        </w:rPr>
      </w:pPr>
      <w:bookmarkStart w:id="90" w:name="Table4"/>
      <w:r>
        <w:rPr>
          <w:lang w:val="en-US"/>
        </w:rPr>
        <w:t>Table 4</w:t>
      </w:r>
      <w:r w:rsidR="00204C46">
        <w:rPr>
          <w:lang w:val="en-US"/>
        </w:rPr>
        <w:t xml:space="preserve">: </w:t>
      </w:r>
      <w:bookmarkEnd w:id="90"/>
      <w:r w:rsidR="00204C46">
        <w:rPr>
          <w:lang w:val="en-US"/>
        </w:rPr>
        <w:t>SCCS methods of e</w:t>
      </w:r>
      <w:r w:rsidR="00016629">
        <w:rPr>
          <w:lang w:val="en-US"/>
        </w:rPr>
        <w:t>x</w:t>
      </w:r>
      <w:r w:rsidR="00204C46">
        <w:rPr>
          <w:lang w:val="en-US"/>
        </w:rPr>
        <w:t xml:space="preserve">pressing </w:t>
      </w:r>
      <w:r w:rsidR="00204C46" w:rsidRPr="00151B4C">
        <w:rPr>
          <w:rFonts w:eastAsia="Arial" w:cs="Arial"/>
          <w:lang w:val="en-US"/>
        </w:rPr>
        <w:t>estimated</w:t>
      </w:r>
      <w:r w:rsidR="00204C46" w:rsidRPr="00151B4C">
        <w:rPr>
          <w:rFonts w:eastAsia="Arial" w:cs="Arial"/>
          <w:spacing w:val="-6"/>
          <w:lang w:val="en-US"/>
        </w:rPr>
        <w:t xml:space="preserve"> </w:t>
      </w:r>
      <w:r w:rsidR="00204C46" w:rsidRPr="00151B4C">
        <w:rPr>
          <w:rFonts w:eastAsia="Arial" w:cs="Arial"/>
          <w:lang w:val="en-US"/>
        </w:rPr>
        <w:t>daily</w:t>
      </w:r>
      <w:r w:rsidR="00204C46" w:rsidRPr="00151B4C">
        <w:rPr>
          <w:rFonts w:eastAsia="Arial" w:cs="Arial"/>
          <w:spacing w:val="-5"/>
          <w:lang w:val="en-US"/>
        </w:rPr>
        <w:t xml:space="preserve"> </w:t>
      </w:r>
      <w:r w:rsidR="00204C46" w:rsidRPr="00151B4C">
        <w:rPr>
          <w:rFonts w:eastAsia="Arial" w:cs="Arial"/>
          <w:lang w:val="en-US"/>
        </w:rPr>
        <w:t>sunscreen</w:t>
      </w:r>
      <w:r w:rsidR="00204C46" w:rsidRPr="00151B4C">
        <w:rPr>
          <w:rFonts w:eastAsia="Arial" w:cs="Arial"/>
          <w:spacing w:val="-6"/>
          <w:lang w:val="en-US"/>
        </w:rPr>
        <w:t xml:space="preserve"> </w:t>
      </w:r>
      <w:r w:rsidR="00204C46" w:rsidRPr="00151B4C">
        <w:rPr>
          <w:rFonts w:eastAsia="Arial" w:cs="Arial"/>
          <w:lang w:val="en-US"/>
        </w:rPr>
        <w:t>exposure</w:t>
      </w:r>
    </w:p>
    <w:tbl>
      <w:tblPr>
        <w:tblW w:w="9058" w:type="dxa"/>
        <w:tblInd w:w="10"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537"/>
        <w:gridCol w:w="3289"/>
        <w:gridCol w:w="3232"/>
      </w:tblGrid>
      <w:tr w:rsidR="00151B4C" w:rsidRPr="00151B4C" w14:paraId="6A079F62" w14:textId="77777777" w:rsidTr="00EA3D27">
        <w:trPr>
          <w:trHeight w:val="719"/>
          <w:tblHeader/>
        </w:trPr>
        <w:tc>
          <w:tcPr>
            <w:tcW w:w="2537" w:type="dxa"/>
            <w:shd w:val="clear" w:color="auto" w:fill="DEEAF6"/>
          </w:tcPr>
          <w:p w14:paraId="4FD4A617" w14:textId="77777777" w:rsidR="00151B4C" w:rsidRPr="00151B4C" w:rsidRDefault="00151B4C" w:rsidP="00290E87">
            <w:pPr>
              <w:widowControl w:val="0"/>
              <w:autoSpaceDE w:val="0"/>
              <w:autoSpaceDN w:val="0"/>
              <w:spacing w:before="129" w:after="0" w:line="249" w:lineRule="auto"/>
              <w:ind w:left="242"/>
              <w:rPr>
                <w:rFonts w:eastAsia="Arial" w:cs="Arial"/>
                <w:b/>
                <w:szCs w:val="22"/>
                <w:lang w:val="en-US"/>
              </w:rPr>
            </w:pPr>
            <w:r w:rsidRPr="009506B0">
              <w:rPr>
                <w:rFonts w:eastAsia="Arial" w:cs="Arial"/>
                <w:b/>
                <w:color w:val="253186"/>
                <w:szCs w:val="22"/>
                <w:lang w:val="en-US"/>
              </w:rPr>
              <w:t>How</w:t>
            </w:r>
            <w:r w:rsidRPr="009506B0">
              <w:rPr>
                <w:rFonts w:eastAsia="Arial" w:cs="Arial"/>
                <w:b/>
                <w:color w:val="253186"/>
                <w:spacing w:val="-14"/>
                <w:szCs w:val="22"/>
                <w:lang w:val="en-US"/>
              </w:rPr>
              <w:t xml:space="preserve"> </w:t>
            </w:r>
            <w:r w:rsidRPr="009506B0">
              <w:rPr>
                <w:rFonts w:eastAsia="Arial" w:cs="Arial"/>
                <w:b/>
                <w:color w:val="253186"/>
                <w:szCs w:val="22"/>
                <w:lang w:val="en-US"/>
              </w:rPr>
              <w:t>dermal</w:t>
            </w:r>
            <w:r w:rsidRPr="009506B0">
              <w:rPr>
                <w:rFonts w:eastAsia="Arial" w:cs="Arial"/>
                <w:b/>
                <w:color w:val="253186"/>
                <w:spacing w:val="-14"/>
                <w:szCs w:val="22"/>
                <w:lang w:val="en-US"/>
              </w:rPr>
              <w:t xml:space="preserve"> </w:t>
            </w:r>
            <w:r w:rsidRPr="009506B0">
              <w:rPr>
                <w:rFonts w:eastAsia="Arial" w:cs="Arial"/>
                <w:b/>
                <w:color w:val="253186"/>
                <w:szCs w:val="22"/>
                <w:lang w:val="en-US"/>
              </w:rPr>
              <w:t>absorption data is reported</w:t>
            </w:r>
          </w:p>
        </w:tc>
        <w:tc>
          <w:tcPr>
            <w:tcW w:w="3289" w:type="dxa"/>
            <w:shd w:val="clear" w:color="auto" w:fill="DEEAF6"/>
          </w:tcPr>
          <w:p w14:paraId="2BF4A031" w14:textId="77777777" w:rsidR="00151B4C" w:rsidRPr="00151B4C" w:rsidRDefault="00151B4C" w:rsidP="00290E87">
            <w:pPr>
              <w:widowControl w:val="0"/>
              <w:autoSpaceDE w:val="0"/>
              <w:autoSpaceDN w:val="0"/>
              <w:spacing w:before="129" w:after="0" w:line="249" w:lineRule="auto"/>
              <w:ind w:left="284"/>
              <w:rPr>
                <w:rFonts w:eastAsia="Arial" w:cs="Arial"/>
                <w:b/>
                <w:sz w:val="22"/>
                <w:szCs w:val="22"/>
                <w:lang w:val="en-US"/>
              </w:rPr>
            </w:pPr>
            <w:r w:rsidRPr="009506B0">
              <w:rPr>
                <w:rFonts w:eastAsia="Arial" w:cs="Arial"/>
                <w:b/>
                <w:color w:val="253186"/>
                <w:lang w:val="en-US"/>
              </w:rPr>
              <w:t>Estimated</w:t>
            </w:r>
            <w:r w:rsidRPr="009506B0">
              <w:rPr>
                <w:rFonts w:eastAsia="Arial" w:cs="Arial"/>
                <w:b/>
                <w:color w:val="253186"/>
                <w:spacing w:val="-4"/>
                <w:lang w:val="en-US"/>
              </w:rPr>
              <w:t xml:space="preserve"> </w:t>
            </w:r>
            <w:r w:rsidRPr="009506B0">
              <w:rPr>
                <w:rFonts w:eastAsia="Arial" w:cs="Arial"/>
                <w:b/>
                <w:color w:val="253186"/>
                <w:lang w:val="en-US"/>
              </w:rPr>
              <w:t>daily</w:t>
            </w:r>
            <w:r w:rsidRPr="009506B0">
              <w:rPr>
                <w:rFonts w:eastAsia="Arial" w:cs="Arial"/>
                <w:b/>
                <w:color w:val="253186"/>
                <w:spacing w:val="-5"/>
                <w:lang w:val="en-US"/>
              </w:rPr>
              <w:t xml:space="preserve"> </w:t>
            </w:r>
            <w:r w:rsidRPr="009506B0">
              <w:rPr>
                <w:rFonts w:eastAsia="Arial" w:cs="Arial"/>
                <w:b/>
                <w:color w:val="253186"/>
                <w:spacing w:val="-2"/>
                <w:lang w:val="en-US"/>
              </w:rPr>
              <w:t>exposure</w:t>
            </w:r>
          </w:p>
        </w:tc>
        <w:tc>
          <w:tcPr>
            <w:tcW w:w="3232" w:type="dxa"/>
            <w:shd w:val="clear" w:color="auto" w:fill="DEEAF6"/>
          </w:tcPr>
          <w:p w14:paraId="62B2377D" w14:textId="77777777" w:rsidR="00151B4C" w:rsidRPr="00151B4C" w:rsidRDefault="00151B4C" w:rsidP="00290E87">
            <w:pPr>
              <w:widowControl w:val="0"/>
              <w:autoSpaceDE w:val="0"/>
              <w:autoSpaceDN w:val="0"/>
              <w:spacing w:before="129" w:after="0" w:line="249" w:lineRule="auto"/>
              <w:ind w:left="284"/>
              <w:rPr>
                <w:rFonts w:eastAsia="Arial" w:cs="Arial"/>
                <w:b/>
                <w:szCs w:val="22"/>
                <w:lang w:val="en-US"/>
              </w:rPr>
            </w:pPr>
            <w:r w:rsidRPr="00151B4C">
              <w:rPr>
                <w:rFonts w:eastAsia="Arial" w:cs="Arial"/>
                <w:b/>
                <w:color w:val="253186"/>
                <w:szCs w:val="22"/>
                <w:lang w:val="en-US"/>
              </w:rPr>
              <w:t>Estimated</w:t>
            </w:r>
            <w:r w:rsidRPr="00151B4C">
              <w:rPr>
                <w:rFonts w:eastAsia="Arial" w:cs="Arial"/>
                <w:b/>
                <w:color w:val="253186"/>
                <w:spacing w:val="-14"/>
                <w:szCs w:val="22"/>
                <w:lang w:val="en-US"/>
              </w:rPr>
              <w:t xml:space="preserve"> </w:t>
            </w:r>
            <w:r w:rsidRPr="00151B4C">
              <w:rPr>
                <w:rFonts w:eastAsia="Arial" w:cs="Arial"/>
                <w:b/>
                <w:color w:val="253186"/>
                <w:szCs w:val="22"/>
                <w:lang w:val="en-US"/>
              </w:rPr>
              <w:t>daily</w:t>
            </w:r>
            <w:r w:rsidRPr="00151B4C">
              <w:rPr>
                <w:rFonts w:eastAsia="Arial" w:cs="Arial"/>
                <w:b/>
                <w:color w:val="253186"/>
                <w:spacing w:val="-13"/>
                <w:szCs w:val="22"/>
                <w:lang w:val="en-US"/>
              </w:rPr>
              <w:t xml:space="preserve"> </w:t>
            </w:r>
            <w:r w:rsidRPr="00151B4C">
              <w:rPr>
                <w:rFonts w:eastAsia="Arial" w:cs="Arial"/>
                <w:b/>
                <w:color w:val="253186"/>
                <w:szCs w:val="22"/>
                <w:lang w:val="en-US"/>
              </w:rPr>
              <w:t>exposure</w:t>
            </w:r>
            <w:r w:rsidRPr="00151B4C">
              <w:rPr>
                <w:rFonts w:eastAsia="Arial" w:cs="Arial"/>
                <w:b/>
                <w:color w:val="253186"/>
                <w:spacing w:val="-13"/>
                <w:szCs w:val="22"/>
                <w:lang w:val="en-US"/>
              </w:rPr>
              <w:t xml:space="preserve"> </w:t>
            </w:r>
            <w:r w:rsidRPr="00151B4C">
              <w:rPr>
                <w:rFonts w:eastAsia="Arial" w:cs="Arial"/>
                <w:b/>
                <w:color w:val="253186"/>
                <w:szCs w:val="22"/>
                <w:lang w:val="en-US"/>
              </w:rPr>
              <w:t>per unit body weight*</w:t>
            </w:r>
          </w:p>
        </w:tc>
      </w:tr>
      <w:tr w:rsidR="00151B4C" w:rsidRPr="00151B4C" w14:paraId="1E74C37D" w14:textId="77777777" w:rsidTr="00406CF7">
        <w:trPr>
          <w:trHeight w:val="640"/>
        </w:trPr>
        <w:tc>
          <w:tcPr>
            <w:tcW w:w="2537" w:type="dxa"/>
          </w:tcPr>
          <w:p w14:paraId="417A5ECC" w14:textId="77777777" w:rsidR="00151B4C" w:rsidRPr="006D28D0" w:rsidRDefault="00151B4C" w:rsidP="00290E87">
            <w:pPr>
              <w:widowControl w:val="0"/>
              <w:autoSpaceDE w:val="0"/>
              <w:autoSpaceDN w:val="0"/>
              <w:spacing w:before="152" w:after="0" w:line="240" w:lineRule="auto"/>
              <w:ind w:left="173"/>
              <w:rPr>
                <w:rFonts w:eastAsia="Arial" w:cs="Arial"/>
                <w:sz w:val="18"/>
                <w:szCs w:val="18"/>
                <w:lang w:val="en-US"/>
              </w:rPr>
            </w:pPr>
            <w:r w:rsidRPr="006D28D0">
              <w:rPr>
                <w:rFonts w:eastAsia="Arial" w:cs="Arial"/>
                <w:sz w:val="18"/>
                <w:szCs w:val="18"/>
                <w:lang w:val="en-US"/>
              </w:rPr>
              <w:t>Method 1</w:t>
            </w:r>
            <w:r w:rsidRPr="006D28D0">
              <w:rPr>
                <w:rFonts w:eastAsia="Arial" w:cs="Arial"/>
                <w:spacing w:val="-2"/>
                <w:sz w:val="18"/>
                <w:szCs w:val="18"/>
                <w:lang w:val="en-US"/>
              </w:rPr>
              <w:t xml:space="preserve"> </w:t>
            </w:r>
            <w:r w:rsidRPr="006D28D0">
              <w:rPr>
                <w:rFonts w:eastAsia="Arial" w:cs="Arial"/>
                <w:spacing w:val="-5"/>
                <w:sz w:val="18"/>
                <w:szCs w:val="18"/>
                <w:lang w:val="en-US"/>
              </w:rPr>
              <w:t>(%)</w:t>
            </w:r>
          </w:p>
        </w:tc>
        <w:tc>
          <w:tcPr>
            <w:tcW w:w="3289" w:type="dxa"/>
          </w:tcPr>
          <w:p w14:paraId="0E939D0B" w14:textId="77777777" w:rsidR="00151B4C" w:rsidRPr="006D28D0" w:rsidRDefault="00151B4C" w:rsidP="002744F8">
            <w:pPr>
              <w:widowControl w:val="0"/>
              <w:autoSpaceDE w:val="0"/>
              <w:autoSpaceDN w:val="0"/>
              <w:spacing w:before="152" w:after="0" w:line="240" w:lineRule="auto"/>
              <w:ind w:left="173"/>
              <w:rPr>
                <w:rFonts w:eastAsia="Arial" w:cs="Arial"/>
                <w:sz w:val="18"/>
                <w:szCs w:val="18"/>
                <w:lang w:val="en-US"/>
              </w:rPr>
            </w:pPr>
            <w:r w:rsidRPr="006D28D0">
              <w:rPr>
                <w:rFonts w:eastAsia="Arial" w:cs="Arial"/>
                <w:sz w:val="18"/>
                <w:szCs w:val="18"/>
                <w:lang w:val="en-US"/>
              </w:rPr>
              <w:t>18 g/day (i.e. 9 g of sunscreen applied twice daily)</w:t>
            </w:r>
          </w:p>
        </w:tc>
        <w:tc>
          <w:tcPr>
            <w:tcW w:w="3232" w:type="dxa"/>
          </w:tcPr>
          <w:p w14:paraId="4FFC55CF" w14:textId="77777777" w:rsidR="00151B4C" w:rsidRPr="006D28D0" w:rsidRDefault="00151B4C" w:rsidP="002744F8">
            <w:pPr>
              <w:widowControl w:val="0"/>
              <w:autoSpaceDE w:val="0"/>
              <w:autoSpaceDN w:val="0"/>
              <w:spacing w:before="152" w:after="0" w:line="240" w:lineRule="auto"/>
              <w:ind w:left="173"/>
              <w:rPr>
                <w:rFonts w:eastAsia="Arial" w:cs="Arial"/>
                <w:sz w:val="18"/>
                <w:szCs w:val="18"/>
                <w:lang w:val="en-US"/>
              </w:rPr>
            </w:pPr>
            <w:r w:rsidRPr="006D28D0">
              <w:rPr>
                <w:rFonts w:eastAsia="Arial" w:cs="Arial"/>
                <w:sz w:val="18"/>
                <w:szCs w:val="18"/>
                <w:lang w:val="en-US"/>
              </w:rPr>
              <w:t>300 mg/kg bw/day</w:t>
            </w:r>
          </w:p>
        </w:tc>
      </w:tr>
      <w:tr w:rsidR="00151B4C" w:rsidRPr="00151B4C" w14:paraId="1E0FDB4D" w14:textId="77777777" w:rsidTr="00406CF7">
        <w:trPr>
          <w:trHeight w:val="640"/>
        </w:trPr>
        <w:tc>
          <w:tcPr>
            <w:tcW w:w="2537" w:type="dxa"/>
          </w:tcPr>
          <w:p w14:paraId="007C4B5C" w14:textId="77777777" w:rsidR="00151B4C" w:rsidRPr="006D28D0" w:rsidRDefault="00151B4C" w:rsidP="00290E87">
            <w:pPr>
              <w:widowControl w:val="0"/>
              <w:autoSpaceDE w:val="0"/>
              <w:autoSpaceDN w:val="0"/>
              <w:spacing w:before="149" w:after="0" w:line="240" w:lineRule="auto"/>
              <w:ind w:left="173" w:right="51"/>
              <w:rPr>
                <w:rFonts w:eastAsia="Arial" w:cs="Arial"/>
                <w:sz w:val="18"/>
                <w:szCs w:val="18"/>
                <w:lang w:val="en-US"/>
              </w:rPr>
            </w:pPr>
            <w:r w:rsidRPr="006D28D0">
              <w:rPr>
                <w:rFonts w:eastAsia="Arial" w:cs="Arial"/>
                <w:sz w:val="18"/>
                <w:szCs w:val="18"/>
                <w:lang w:val="en-US"/>
              </w:rPr>
              <w:t>Method 2</w:t>
            </w:r>
            <w:r w:rsidRPr="006D28D0">
              <w:rPr>
                <w:rFonts w:eastAsia="Arial" w:cs="Arial"/>
                <w:spacing w:val="1"/>
                <w:sz w:val="18"/>
                <w:szCs w:val="18"/>
                <w:lang w:val="en-US"/>
              </w:rPr>
              <w:t xml:space="preserve"> </w:t>
            </w:r>
            <w:r w:rsidRPr="006D28D0">
              <w:rPr>
                <w:rFonts w:eastAsia="Arial" w:cs="Arial"/>
                <w:spacing w:val="-2"/>
                <w:sz w:val="18"/>
                <w:szCs w:val="18"/>
                <w:lang w:val="en-US"/>
              </w:rPr>
              <w:t>(µg/cm</w:t>
            </w:r>
            <w:r w:rsidRPr="003413F6">
              <w:rPr>
                <w:rFonts w:eastAsia="Arial" w:cs="Arial"/>
                <w:spacing w:val="-2"/>
                <w:position w:val="6"/>
                <w:sz w:val="18"/>
                <w:szCs w:val="18"/>
                <w:lang w:val="en-US"/>
              </w:rPr>
              <w:t>2</w:t>
            </w:r>
            <w:r w:rsidRPr="006D28D0">
              <w:rPr>
                <w:rFonts w:eastAsia="Arial" w:cs="Arial"/>
                <w:spacing w:val="-2"/>
                <w:sz w:val="18"/>
                <w:szCs w:val="18"/>
                <w:lang w:val="en-US"/>
              </w:rPr>
              <w:t>)</w:t>
            </w:r>
          </w:p>
        </w:tc>
        <w:tc>
          <w:tcPr>
            <w:tcW w:w="3289" w:type="dxa"/>
          </w:tcPr>
          <w:p w14:paraId="3B63BDB2" w14:textId="77777777" w:rsidR="00151B4C" w:rsidRPr="006D28D0" w:rsidRDefault="00151B4C" w:rsidP="002744F8">
            <w:pPr>
              <w:widowControl w:val="0"/>
              <w:autoSpaceDE w:val="0"/>
              <w:autoSpaceDN w:val="0"/>
              <w:spacing w:before="152" w:after="0" w:line="240" w:lineRule="auto"/>
              <w:ind w:left="173"/>
              <w:rPr>
                <w:rFonts w:eastAsia="Arial" w:cs="Arial"/>
                <w:sz w:val="18"/>
                <w:szCs w:val="18"/>
                <w:lang w:val="en-US"/>
              </w:rPr>
            </w:pPr>
            <w:r w:rsidRPr="006D28D0">
              <w:rPr>
                <w:rFonts w:eastAsia="Arial" w:cs="Arial"/>
                <w:sz w:val="18"/>
                <w:szCs w:val="18"/>
                <w:lang w:val="en-US"/>
              </w:rPr>
              <w:t>35,000 cm2/day (i.e. 2x whole body applications daily)</w:t>
            </w:r>
          </w:p>
        </w:tc>
        <w:tc>
          <w:tcPr>
            <w:tcW w:w="3232" w:type="dxa"/>
          </w:tcPr>
          <w:p w14:paraId="7C71351F" w14:textId="77777777" w:rsidR="00151B4C" w:rsidRPr="006D28D0" w:rsidRDefault="00151B4C" w:rsidP="002744F8">
            <w:pPr>
              <w:widowControl w:val="0"/>
              <w:autoSpaceDE w:val="0"/>
              <w:autoSpaceDN w:val="0"/>
              <w:spacing w:before="152" w:after="0" w:line="240" w:lineRule="auto"/>
              <w:ind w:left="173"/>
              <w:rPr>
                <w:rFonts w:eastAsia="Arial" w:cs="Arial"/>
                <w:sz w:val="18"/>
                <w:szCs w:val="18"/>
                <w:lang w:val="en-US"/>
              </w:rPr>
            </w:pPr>
            <w:r w:rsidRPr="006D28D0">
              <w:rPr>
                <w:rFonts w:eastAsia="Arial" w:cs="Arial"/>
                <w:sz w:val="18"/>
                <w:szCs w:val="18"/>
                <w:lang w:val="en-US"/>
              </w:rPr>
              <w:t>583 cm2/kg bw/day</w:t>
            </w:r>
          </w:p>
        </w:tc>
      </w:tr>
    </w:tbl>
    <w:p w14:paraId="615CE852" w14:textId="77777777" w:rsidR="00151B4C" w:rsidRPr="00151B4C" w:rsidRDefault="00151B4C" w:rsidP="002744F8">
      <w:pPr>
        <w:pStyle w:val="Tabledescription"/>
      </w:pPr>
      <w:r w:rsidRPr="00151B4C">
        <w:t>*SCCS</w:t>
      </w:r>
      <w:r w:rsidRPr="00151B4C">
        <w:rPr>
          <w:spacing w:val="-2"/>
        </w:rPr>
        <w:t xml:space="preserve"> </w:t>
      </w:r>
      <w:r w:rsidRPr="00151B4C">
        <w:t>uses</w:t>
      </w:r>
      <w:r w:rsidRPr="00151B4C">
        <w:rPr>
          <w:spacing w:val="-2"/>
        </w:rPr>
        <w:t xml:space="preserve"> </w:t>
      </w:r>
      <w:r w:rsidRPr="00151B4C">
        <w:t>a</w:t>
      </w:r>
      <w:r w:rsidRPr="00151B4C">
        <w:rPr>
          <w:spacing w:val="-1"/>
        </w:rPr>
        <w:t xml:space="preserve"> </w:t>
      </w:r>
      <w:r w:rsidRPr="00151B4C">
        <w:t>default</w:t>
      </w:r>
      <w:r w:rsidRPr="00151B4C">
        <w:rPr>
          <w:spacing w:val="-1"/>
        </w:rPr>
        <w:t xml:space="preserve"> </w:t>
      </w:r>
      <w:r w:rsidRPr="00151B4C">
        <w:t>human</w:t>
      </w:r>
      <w:r w:rsidRPr="00151B4C">
        <w:rPr>
          <w:spacing w:val="-5"/>
        </w:rPr>
        <w:t xml:space="preserve"> </w:t>
      </w:r>
      <w:r w:rsidRPr="00151B4C">
        <w:t>body</w:t>
      </w:r>
      <w:r w:rsidRPr="00151B4C">
        <w:rPr>
          <w:spacing w:val="-3"/>
        </w:rPr>
        <w:t xml:space="preserve"> </w:t>
      </w:r>
      <w:r w:rsidRPr="00151B4C">
        <w:t>weight</w:t>
      </w:r>
      <w:r w:rsidRPr="00151B4C">
        <w:rPr>
          <w:spacing w:val="-1"/>
        </w:rPr>
        <w:t xml:space="preserve"> </w:t>
      </w:r>
      <w:r w:rsidRPr="00151B4C">
        <w:t>of</w:t>
      </w:r>
      <w:r w:rsidRPr="00151B4C">
        <w:rPr>
          <w:spacing w:val="-3"/>
        </w:rPr>
        <w:t xml:space="preserve"> </w:t>
      </w:r>
      <w:r w:rsidRPr="00151B4C">
        <w:t>60</w:t>
      </w:r>
      <w:r w:rsidRPr="00151B4C">
        <w:rPr>
          <w:spacing w:val="-3"/>
        </w:rPr>
        <w:t xml:space="preserve"> </w:t>
      </w:r>
      <w:r w:rsidRPr="00151B4C">
        <w:rPr>
          <w:spacing w:val="-5"/>
        </w:rPr>
        <w:t>kg</w:t>
      </w:r>
    </w:p>
    <w:p w14:paraId="44497957" w14:textId="0B46C215" w:rsidR="00151B4C" w:rsidRPr="00151B4C" w:rsidRDefault="00151B4C" w:rsidP="00151B4C">
      <w:pPr>
        <w:widowControl w:val="0"/>
        <w:autoSpaceDE w:val="0"/>
        <w:autoSpaceDN w:val="0"/>
        <w:spacing w:before="137" w:after="0"/>
        <w:ind w:right="113"/>
        <w:rPr>
          <w:rFonts w:eastAsia="Arial" w:cs="Arial"/>
          <w:lang w:val="en-US"/>
        </w:rPr>
      </w:pPr>
      <w:r w:rsidRPr="00151B4C">
        <w:rPr>
          <w:rFonts w:eastAsia="Arial" w:cs="Arial"/>
          <w:lang w:val="en-US"/>
        </w:rPr>
        <w:t xml:space="preserve">The ASEM is a model to calculate the estimated </w:t>
      </w:r>
      <w:r w:rsidR="006C633B">
        <w:rPr>
          <w:rFonts w:eastAsia="Arial" w:cs="Arial"/>
          <w:lang w:val="en-US"/>
        </w:rPr>
        <w:t xml:space="preserve">average </w:t>
      </w:r>
      <w:r w:rsidRPr="00151B4C">
        <w:rPr>
          <w:rFonts w:eastAsia="Arial" w:cs="Arial"/>
          <w:lang w:val="en-US"/>
        </w:rPr>
        <w:t>daily sunscreen exposure using a formula, and the input into that formula is based on Australian expected sunscreen use scenarios. For the purpose of regulatory</w:t>
      </w:r>
      <w:r w:rsidRPr="00151B4C">
        <w:rPr>
          <w:rFonts w:eastAsia="Arial" w:cs="Arial"/>
          <w:spacing w:val="-4"/>
          <w:lang w:val="en-US"/>
        </w:rPr>
        <w:t xml:space="preserve"> </w:t>
      </w:r>
      <w:r w:rsidRPr="00151B4C">
        <w:rPr>
          <w:rFonts w:eastAsia="Arial" w:cs="Arial"/>
          <w:lang w:val="en-US"/>
        </w:rPr>
        <w:t>risk</w:t>
      </w:r>
      <w:r w:rsidRPr="00151B4C">
        <w:rPr>
          <w:rFonts w:eastAsia="Arial" w:cs="Arial"/>
          <w:spacing w:val="-4"/>
          <w:lang w:val="en-US"/>
        </w:rPr>
        <w:t xml:space="preserve"> </w:t>
      </w:r>
      <w:r w:rsidRPr="00151B4C">
        <w:rPr>
          <w:rFonts w:eastAsia="Arial" w:cs="Arial"/>
          <w:lang w:val="en-US"/>
        </w:rPr>
        <w:t>assessments,</w:t>
      </w:r>
      <w:r w:rsidRPr="00151B4C">
        <w:rPr>
          <w:rFonts w:eastAsia="Arial" w:cs="Arial"/>
          <w:spacing w:val="-5"/>
          <w:lang w:val="en-US"/>
        </w:rPr>
        <w:t xml:space="preserve"> </w:t>
      </w:r>
      <w:r w:rsidRPr="00151B4C">
        <w:rPr>
          <w:rFonts w:eastAsia="Arial" w:cs="Arial"/>
          <w:lang w:val="en-US"/>
        </w:rPr>
        <w:t>the</w:t>
      </w:r>
      <w:r w:rsidRPr="00151B4C">
        <w:rPr>
          <w:rFonts w:eastAsia="Arial" w:cs="Arial"/>
          <w:spacing w:val="-5"/>
          <w:lang w:val="en-US"/>
        </w:rPr>
        <w:t xml:space="preserve"> </w:t>
      </w:r>
      <w:r w:rsidRPr="00151B4C">
        <w:rPr>
          <w:rFonts w:eastAsia="Arial" w:cs="Arial"/>
          <w:lang w:val="en-US"/>
        </w:rPr>
        <w:t>TGA</w:t>
      </w:r>
      <w:r w:rsidRPr="00151B4C">
        <w:rPr>
          <w:rFonts w:eastAsia="Arial" w:cs="Arial"/>
          <w:spacing w:val="-3"/>
          <w:lang w:val="en-US"/>
        </w:rPr>
        <w:t xml:space="preserve"> </w:t>
      </w:r>
      <w:r w:rsidRPr="00151B4C">
        <w:rPr>
          <w:rFonts w:eastAsia="Arial" w:cs="Arial"/>
          <w:lang w:val="en-US"/>
        </w:rPr>
        <w:t>has</w:t>
      </w:r>
      <w:r w:rsidRPr="00151B4C">
        <w:rPr>
          <w:rFonts w:eastAsia="Arial" w:cs="Arial"/>
          <w:spacing w:val="-4"/>
          <w:lang w:val="en-US"/>
        </w:rPr>
        <w:t xml:space="preserve"> </w:t>
      </w:r>
      <w:r w:rsidRPr="00151B4C">
        <w:rPr>
          <w:rFonts w:eastAsia="Arial" w:cs="Arial"/>
          <w:lang w:val="en-US"/>
        </w:rPr>
        <w:t>established</w:t>
      </w:r>
      <w:r w:rsidRPr="00151B4C">
        <w:rPr>
          <w:rFonts w:eastAsia="Arial" w:cs="Arial"/>
          <w:spacing w:val="-3"/>
          <w:lang w:val="en-US"/>
        </w:rPr>
        <w:t xml:space="preserve"> </w:t>
      </w:r>
      <w:r w:rsidRPr="00151B4C">
        <w:rPr>
          <w:rFonts w:eastAsia="Arial" w:cs="Arial"/>
          <w:lang w:val="en-US"/>
        </w:rPr>
        <w:t>the</w:t>
      </w:r>
      <w:r w:rsidRPr="00151B4C">
        <w:rPr>
          <w:rFonts w:eastAsia="Arial" w:cs="Arial"/>
          <w:spacing w:val="-3"/>
          <w:lang w:val="en-US"/>
        </w:rPr>
        <w:t xml:space="preserve"> </w:t>
      </w:r>
      <w:r w:rsidRPr="00151B4C">
        <w:rPr>
          <w:rFonts w:eastAsia="Arial" w:cs="Arial"/>
          <w:lang w:val="en-US"/>
        </w:rPr>
        <w:t>highest</w:t>
      </w:r>
      <w:r w:rsidRPr="00151B4C">
        <w:rPr>
          <w:rFonts w:eastAsia="Arial" w:cs="Arial"/>
          <w:spacing w:val="-4"/>
          <w:lang w:val="en-US"/>
        </w:rPr>
        <w:t xml:space="preserve"> </w:t>
      </w:r>
      <w:r w:rsidRPr="00151B4C">
        <w:rPr>
          <w:rFonts w:eastAsia="Arial" w:cs="Arial"/>
          <w:lang w:val="en-US"/>
        </w:rPr>
        <w:t>estimated</w:t>
      </w:r>
      <w:r w:rsidRPr="00151B4C">
        <w:rPr>
          <w:rFonts w:eastAsia="Arial" w:cs="Arial"/>
          <w:spacing w:val="-3"/>
          <w:lang w:val="en-US"/>
        </w:rPr>
        <w:t xml:space="preserve"> </w:t>
      </w:r>
      <w:r w:rsidR="006C633B">
        <w:rPr>
          <w:rFonts w:eastAsia="Arial" w:cs="Arial"/>
          <w:spacing w:val="-3"/>
          <w:lang w:val="en-US"/>
        </w:rPr>
        <w:t xml:space="preserve">average </w:t>
      </w:r>
      <w:r w:rsidRPr="00151B4C">
        <w:rPr>
          <w:rFonts w:eastAsia="Arial" w:cs="Arial"/>
          <w:lang w:val="en-US"/>
        </w:rPr>
        <w:t>daily</w:t>
      </w:r>
      <w:r w:rsidRPr="00151B4C">
        <w:rPr>
          <w:rFonts w:eastAsia="Arial" w:cs="Arial"/>
          <w:spacing w:val="-1"/>
          <w:lang w:val="en-US"/>
        </w:rPr>
        <w:t xml:space="preserve"> </w:t>
      </w:r>
      <w:r w:rsidRPr="00151B4C">
        <w:rPr>
          <w:rFonts w:eastAsia="Arial" w:cs="Arial"/>
          <w:lang w:val="en-US"/>
        </w:rPr>
        <w:t>sunscreen</w:t>
      </w:r>
      <w:r w:rsidRPr="00151B4C">
        <w:rPr>
          <w:rFonts w:eastAsia="Arial" w:cs="Arial"/>
          <w:spacing w:val="-5"/>
          <w:lang w:val="en-US"/>
        </w:rPr>
        <w:t xml:space="preserve"> </w:t>
      </w:r>
      <w:r w:rsidRPr="00151B4C">
        <w:rPr>
          <w:rFonts w:eastAsia="Arial" w:cs="Arial"/>
          <w:lang w:val="en-US"/>
        </w:rPr>
        <w:t>exposure using the ASEM, that is proposed to be used to calculate</w:t>
      </w:r>
      <w:r w:rsidR="002744F8">
        <w:rPr>
          <w:rFonts w:eastAsia="Arial" w:cs="Arial"/>
          <w:lang w:val="en-US"/>
        </w:rPr>
        <w:t xml:space="preserve"> SED and MoS, </w:t>
      </w:r>
      <w:r w:rsidRPr="00151B4C">
        <w:rPr>
          <w:rFonts w:eastAsia="Arial" w:cs="Arial"/>
          <w:lang w:val="en-US"/>
        </w:rPr>
        <w:t xml:space="preserve">rather than the SCCS values above. The highest estimated </w:t>
      </w:r>
      <w:r w:rsidR="006C633B">
        <w:rPr>
          <w:rFonts w:eastAsia="Arial" w:cs="Arial"/>
          <w:lang w:val="en-US"/>
        </w:rPr>
        <w:t xml:space="preserve">average </w:t>
      </w:r>
      <w:r w:rsidRPr="00151B4C">
        <w:rPr>
          <w:rFonts w:eastAsia="Arial" w:cs="Arial"/>
          <w:lang w:val="en-US"/>
        </w:rPr>
        <w:t>daily sunscreen exposure values are expressed below depending on how dermal absorption data for the ingredient is reported</w:t>
      </w:r>
      <w:r w:rsidR="00CE0174">
        <w:rPr>
          <w:rFonts w:eastAsia="Arial" w:cs="Arial"/>
          <w:lang w:val="en-US"/>
        </w:rPr>
        <w:t>, as shown in table 5</w:t>
      </w:r>
      <w:r w:rsidRPr="00151B4C">
        <w:rPr>
          <w:rFonts w:eastAsia="Arial" w:cs="Arial"/>
          <w:lang w:val="en-US"/>
        </w:rPr>
        <w:t>:</w:t>
      </w:r>
    </w:p>
    <w:p w14:paraId="7246E44F" w14:textId="54C8C98D" w:rsidR="00204C46" w:rsidRPr="00151B4C" w:rsidRDefault="00204C46" w:rsidP="00204C46">
      <w:pPr>
        <w:pStyle w:val="Tabletitle"/>
        <w:rPr>
          <w:lang w:val="en-US"/>
        </w:rPr>
      </w:pPr>
      <w:bookmarkStart w:id="91" w:name="Table5"/>
      <w:r>
        <w:rPr>
          <w:lang w:val="en-US"/>
        </w:rPr>
        <w:t xml:space="preserve">Table 5: </w:t>
      </w:r>
      <w:bookmarkEnd w:id="91"/>
      <w:r>
        <w:rPr>
          <w:lang w:val="en-US"/>
        </w:rPr>
        <w:t>SCCS methods for determining dermal absorption</w:t>
      </w:r>
    </w:p>
    <w:tbl>
      <w:tblPr>
        <w:tblW w:w="8931"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4111"/>
        <w:gridCol w:w="4820"/>
      </w:tblGrid>
      <w:tr w:rsidR="00204C46" w:rsidRPr="00204C46" w14:paraId="042CE8BF" w14:textId="77777777" w:rsidTr="002744F8">
        <w:trPr>
          <w:trHeight w:val="719"/>
        </w:trPr>
        <w:tc>
          <w:tcPr>
            <w:tcW w:w="4111" w:type="dxa"/>
            <w:shd w:val="clear" w:color="auto" w:fill="DEEAF6"/>
          </w:tcPr>
          <w:p w14:paraId="6E649D46" w14:textId="77777777" w:rsidR="00151B4C" w:rsidRPr="00290E87" w:rsidRDefault="00151B4C" w:rsidP="00290E87">
            <w:pPr>
              <w:widowControl w:val="0"/>
              <w:autoSpaceDE w:val="0"/>
              <w:autoSpaceDN w:val="0"/>
              <w:spacing w:before="129" w:after="0" w:line="249" w:lineRule="auto"/>
              <w:ind w:left="242"/>
              <w:rPr>
                <w:rFonts w:eastAsia="Arial" w:cs="Arial"/>
                <w:b/>
                <w:color w:val="253186"/>
                <w:szCs w:val="22"/>
                <w:lang w:val="en-US"/>
              </w:rPr>
            </w:pPr>
            <w:r w:rsidRPr="00151B4C">
              <w:rPr>
                <w:rFonts w:eastAsia="Arial" w:cs="Arial"/>
                <w:b/>
                <w:color w:val="253186"/>
                <w:szCs w:val="22"/>
                <w:lang w:val="en-US"/>
              </w:rPr>
              <w:t>How</w:t>
            </w:r>
            <w:r w:rsidRPr="00290E87">
              <w:rPr>
                <w:rFonts w:eastAsia="Arial" w:cs="Arial"/>
                <w:b/>
                <w:color w:val="253186"/>
                <w:szCs w:val="22"/>
                <w:lang w:val="en-US"/>
              </w:rPr>
              <w:t xml:space="preserve"> </w:t>
            </w:r>
            <w:r w:rsidRPr="00151B4C">
              <w:rPr>
                <w:rFonts w:eastAsia="Arial" w:cs="Arial"/>
                <w:b/>
                <w:color w:val="253186"/>
                <w:szCs w:val="22"/>
                <w:lang w:val="en-US"/>
              </w:rPr>
              <w:t>dermal</w:t>
            </w:r>
            <w:r w:rsidRPr="00290E87">
              <w:rPr>
                <w:rFonts w:eastAsia="Arial" w:cs="Arial"/>
                <w:b/>
                <w:color w:val="253186"/>
                <w:szCs w:val="22"/>
                <w:lang w:val="en-US"/>
              </w:rPr>
              <w:t xml:space="preserve"> </w:t>
            </w:r>
            <w:r w:rsidRPr="00151B4C">
              <w:rPr>
                <w:rFonts w:eastAsia="Arial" w:cs="Arial"/>
                <w:b/>
                <w:color w:val="253186"/>
                <w:szCs w:val="22"/>
                <w:lang w:val="en-US"/>
              </w:rPr>
              <w:t>absorption data is reported</w:t>
            </w:r>
          </w:p>
        </w:tc>
        <w:tc>
          <w:tcPr>
            <w:tcW w:w="4820" w:type="dxa"/>
            <w:shd w:val="clear" w:color="auto" w:fill="DEEAF6"/>
          </w:tcPr>
          <w:p w14:paraId="24F272DA" w14:textId="7A300848" w:rsidR="00151B4C" w:rsidRPr="00290E87" w:rsidRDefault="00151B4C" w:rsidP="00290E87">
            <w:pPr>
              <w:widowControl w:val="0"/>
              <w:autoSpaceDE w:val="0"/>
              <w:autoSpaceDN w:val="0"/>
              <w:spacing w:before="129" w:after="0" w:line="249" w:lineRule="auto"/>
              <w:ind w:left="242"/>
              <w:rPr>
                <w:rFonts w:eastAsia="Arial" w:cs="Arial"/>
                <w:b/>
                <w:color w:val="253186"/>
                <w:szCs w:val="22"/>
                <w:lang w:val="en-US"/>
              </w:rPr>
            </w:pPr>
            <w:r w:rsidRPr="00151B4C">
              <w:rPr>
                <w:rFonts w:eastAsia="Arial" w:cs="Arial"/>
                <w:b/>
                <w:color w:val="253186"/>
                <w:szCs w:val="22"/>
                <w:lang w:val="en-US"/>
              </w:rPr>
              <w:t>ASEM</w:t>
            </w:r>
            <w:r w:rsidRPr="00290E87">
              <w:rPr>
                <w:rFonts w:eastAsia="Arial" w:cs="Arial"/>
                <w:b/>
                <w:color w:val="253186"/>
                <w:szCs w:val="22"/>
                <w:lang w:val="en-US"/>
              </w:rPr>
              <w:t xml:space="preserve"> </w:t>
            </w:r>
            <w:r w:rsidR="006C633B">
              <w:rPr>
                <w:rFonts w:eastAsia="Arial" w:cs="Arial"/>
                <w:b/>
                <w:color w:val="253186"/>
                <w:szCs w:val="22"/>
                <w:lang w:val="en-US"/>
              </w:rPr>
              <w:t>highest estimated average daily sunscreen exposure</w:t>
            </w:r>
          </w:p>
        </w:tc>
      </w:tr>
      <w:tr w:rsidR="00204C46" w:rsidRPr="00204C46" w14:paraId="18FACEFE" w14:textId="77777777" w:rsidTr="002744F8">
        <w:trPr>
          <w:trHeight w:val="479"/>
        </w:trPr>
        <w:tc>
          <w:tcPr>
            <w:tcW w:w="4111" w:type="dxa"/>
          </w:tcPr>
          <w:p w14:paraId="49E988CE" w14:textId="77777777" w:rsidR="00151B4C" w:rsidRPr="00290E87" w:rsidRDefault="00151B4C" w:rsidP="002744F8">
            <w:pPr>
              <w:widowControl w:val="0"/>
              <w:autoSpaceDE w:val="0"/>
              <w:autoSpaceDN w:val="0"/>
              <w:spacing w:before="152" w:after="0" w:line="240" w:lineRule="auto"/>
              <w:ind w:left="173"/>
              <w:rPr>
                <w:lang w:val="en-US"/>
              </w:rPr>
            </w:pPr>
            <w:r w:rsidRPr="002744F8">
              <w:rPr>
                <w:rFonts w:eastAsia="Arial" w:cs="Arial"/>
                <w:sz w:val="18"/>
                <w:szCs w:val="22"/>
                <w:lang w:val="en-US"/>
              </w:rPr>
              <w:t>Method 1 (%)</w:t>
            </w:r>
          </w:p>
        </w:tc>
        <w:tc>
          <w:tcPr>
            <w:tcW w:w="4820" w:type="dxa"/>
          </w:tcPr>
          <w:p w14:paraId="1F322120" w14:textId="77777777" w:rsidR="00151B4C" w:rsidRPr="00290E87" w:rsidRDefault="00151B4C" w:rsidP="002744F8">
            <w:pPr>
              <w:widowControl w:val="0"/>
              <w:autoSpaceDE w:val="0"/>
              <w:autoSpaceDN w:val="0"/>
              <w:spacing w:before="152" w:after="0" w:line="240" w:lineRule="auto"/>
              <w:ind w:left="173"/>
              <w:rPr>
                <w:lang w:val="en-US"/>
              </w:rPr>
            </w:pPr>
            <w:r w:rsidRPr="002744F8">
              <w:rPr>
                <w:rFonts w:eastAsia="Arial" w:cs="Arial"/>
                <w:sz w:val="18"/>
                <w:szCs w:val="22"/>
                <w:lang w:val="en-US"/>
              </w:rPr>
              <w:t>673 mg/kg bw/day</w:t>
            </w:r>
          </w:p>
        </w:tc>
      </w:tr>
      <w:tr w:rsidR="00204C46" w:rsidRPr="00204C46" w14:paraId="1702F694" w14:textId="77777777" w:rsidTr="002744F8">
        <w:trPr>
          <w:trHeight w:val="481"/>
        </w:trPr>
        <w:tc>
          <w:tcPr>
            <w:tcW w:w="4111" w:type="dxa"/>
          </w:tcPr>
          <w:p w14:paraId="2E09690D" w14:textId="77777777" w:rsidR="00151B4C" w:rsidRPr="00290E87" w:rsidRDefault="00151B4C" w:rsidP="002744F8">
            <w:pPr>
              <w:widowControl w:val="0"/>
              <w:autoSpaceDE w:val="0"/>
              <w:autoSpaceDN w:val="0"/>
              <w:spacing w:before="152" w:after="0" w:line="240" w:lineRule="auto"/>
              <w:ind w:left="173"/>
              <w:rPr>
                <w:lang w:val="en-US"/>
              </w:rPr>
            </w:pPr>
            <w:r w:rsidRPr="002744F8">
              <w:rPr>
                <w:rFonts w:eastAsia="Arial" w:cs="Arial"/>
                <w:sz w:val="18"/>
                <w:szCs w:val="22"/>
                <w:lang w:val="en-US"/>
              </w:rPr>
              <w:t>Method 2 (µg/cm2)</w:t>
            </w:r>
          </w:p>
        </w:tc>
        <w:tc>
          <w:tcPr>
            <w:tcW w:w="4820" w:type="dxa"/>
          </w:tcPr>
          <w:p w14:paraId="3A0FE832" w14:textId="77777777" w:rsidR="00151B4C" w:rsidRPr="00290E87" w:rsidRDefault="00151B4C" w:rsidP="002744F8">
            <w:pPr>
              <w:widowControl w:val="0"/>
              <w:autoSpaceDE w:val="0"/>
              <w:autoSpaceDN w:val="0"/>
              <w:spacing w:before="152" w:after="0" w:line="240" w:lineRule="auto"/>
              <w:ind w:left="173"/>
              <w:rPr>
                <w:lang w:val="en-US"/>
              </w:rPr>
            </w:pPr>
            <w:r w:rsidRPr="002744F8">
              <w:rPr>
                <w:rFonts w:eastAsia="Arial" w:cs="Arial"/>
                <w:sz w:val="18"/>
                <w:szCs w:val="22"/>
                <w:lang w:val="en-US"/>
              </w:rPr>
              <w:t>336 cm2/kg bw/day</w:t>
            </w:r>
          </w:p>
        </w:tc>
      </w:tr>
    </w:tbl>
    <w:p w14:paraId="63BED29A" w14:textId="77777777" w:rsidR="00151B4C" w:rsidRPr="00151B4C" w:rsidRDefault="00151B4C" w:rsidP="00151B4C">
      <w:pPr>
        <w:widowControl w:val="0"/>
        <w:autoSpaceDE w:val="0"/>
        <w:autoSpaceDN w:val="0"/>
        <w:spacing w:after="0" w:line="256" w:lineRule="auto"/>
        <w:ind w:right="491"/>
        <w:rPr>
          <w:rFonts w:eastAsia="Arial" w:cs="Arial"/>
          <w:lang w:val="en-US"/>
        </w:rPr>
      </w:pPr>
    </w:p>
    <w:p w14:paraId="2AA24A12" w14:textId="571193E9" w:rsidR="00151B4C" w:rsidRPr="00151B4C" w:rsidRDefault="00151B4C" w:rsidP="00151B4C">
      <w:pPr>
        <w:widowControl w:val="0"/>
        <w:autoSpaceDE w:val="0"/>
        <w:autoSpaceDN w:val="0"/>
        <w:spacing w:after="0" w:line="256" w:lineRule="auto"/>
        <w:ind w:right="491"/>
        <w:rPr>
          <w:rFonts w:eastAsia="Arial" w:cs="Arial"/>
          <w:lang w:val="en-US"/>
        </w:rPr>
      </w:pP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following</w:t>
      </w:r>
      <w:r w:rsidRPr="00151B4C">
        <w:rPr>
          <w:rFonts w:eastAsia="Arial" w:cs="Arial"/>
          <w:spacing w:val="-2"/>
          <w:lang w:val="en-US"/>
        </w:rPr>
        <w:t xml:space="preserve"> </w:t>
      </w:r>
      <w:r w:rsidRPr="00151B4C">
        <w:rPr>
          <w:rFonts w:eastAsia="Arial" w:cs="Arial"/>
          <w:lang w:val="en-US"/>
        </w:rPr>
        <w:t>aspects</w:t>
      </w:r>
      <w:r w:rsidRPr="00151B4C">
        <w:rPr>
          <w:rFonts w:eastAsia="Arial" w:cs="Arial"/>
          <w:spacing w:val="-3"/>
          <w:lang w:val="en-US"/>
        </w:rPr>
        <w:t xml:space="preserve"> </w:t>
      </w:r>
      <w:r w:rsidRPr="00151B4C">
        <w:rPr>
          <w:rFonts w:eastAsia="Arial" w:cs="Arial"/>
          <w:lang w:val="en-US"/>
        </w:rPr>
        <w:t>of</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that</w:t>
      </w:r>
      <w:r w:rsidRPr="00151B4C">
        <w:rPr>
          <w:rFonts w:eastAsia="Arial" w:cs="Arial"/>
          <w:spacing w:val="-4"/>
          <w:lang w:val="en-US"/>
        </w:rPr>
        <w:t xml:space="preserve"> </w:t>
      </w:r>
      <w:r w:rsidRPr="00151B4C">
        <w:rPr>
          <w:rFonts w:eastAsia="Arial" w:cs="Arial"/>
          <w:lang w:val="en-US"/>
        </w:rPr>
        <w:t>establish</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above</w:t>
      </w:r>
      <w:r w:rsidRPr="00151B4C">
        <w:rPr>
          <w:rFonts w:eastAsia="Arial" w:cs="Arial"/>
          <w:spacing w:val="-2"/>
          <w:lang w:val="en-US"/>
        </w:rPr>
        <w:t xml:space="preserve"> </w:t>
      </w:r>
      <w:r w:rsidR="006C633B">
        <w:rPr>
          <w:rFonts w:eastAsia="Arial" w:cs="Arial"/>
          <w:lang w:val="en-US"/>
        </w:rPr>
        <w:t>highest estimated average daily sunscreen exposure</w:t>
      </w:r>
      <w:r w:rsidRPr="00151B4C">
        <w:rPr>
          <w:rFonts w:eastAsia="Arial" w:cs="Arial"/>
          <w:lang w:val="en-US"/>
        </w:rPr>
        <w:t xml:space="preserve"> values are discussed below:</w:t>
      </w:r>
    </w:p>
    <w:p w14:paraId="2F004C23" w14:textId="4153350B" w:rsidR="00151B4C" w:rsidRPr="000C428E" w:rsidRDefault="00ED32F1" w:rsidP="006D28D0">
      <w:pPr>
        <w:pStyle w:val="Numberbullet0"/>
        <w:numPr>
          <w:ilvl w:val="0"/>
          <w:numId w:val="16"/>
        </w:numPr>
      </w:pPr>
      <w:hyperlink w:anchor="ASEMFormula" w:history="1">
        <w:r w:rsidR="00151B4C" w:rsidRPr="006D28D0">
          <w:rPr>
            <w:color w:val="0000FF"/>
            <w:u w:val="single" w:color="0000FF"/>
          </w:rPr>
          <w:t>ASEM</w:t>
        </w:r>
        <w:r w:rsidR="00151B4C" w:rsidRPr="006D28D0">
          <w:rPr>
            <w:color w:val="0000FF"/>
            <w:spacing w:val="-8"/>
            <w:u w:val="single" w:color="0000FF"/>
          </w:rPr>
          <w:t xml:space="preserve"> </w:t>
        </w:r>
        <w:r w:rsidR="00151B4C" w:rsidRPr="006D28D0">
          <w:rPr>
            <w:color w:val="0000FF"/>
            <w:spacing w:val="-2"/>
            <w:u w:val="single" w:color="0000FF"/>
          </w:rPr>
          <w:t>formula</w:t>
        </w:r>
      </w:hyperlink>
    </w:p>
    <w:p w14:paraId="3975AC03" w14:textId="5E3D7411" w:rsidR="00151B4C" w:rsidRPr="000C428E" w:rsidRDefault="00ED32F1">
      <w:pPr>
        <w:numPr>
          <w:ilvl w:val="0"/>
          <w:numId w:val="7"/>
        </w:numPr>
        <w:tabs>
          <w:tab w:val="left" w:pos="425"/>
        </w:tabs>
        <w:spacing w:before="120" w:after="180" w:line="240" w:lineRule="atLeast"/>
        <w:rPr>
          <w:rFonts w:eastAsia="Cambria" w:cs="Times New Roman"/>
        </w:rPr>
      </w:pPr>
      <w:hyperlink w:anchor="ASEMScenarios" w:history="1">
        <w:r w:rsidR="00151B4C" w:rsidRPr="000C428E">
          <w:rPr>
            <w:rFonts w:eastAsia="Cambria" w:cs="Times New Roman"/>
            <w:color w:val="0000FF"/>
            <w:u w:val="single" w:color="0000FF"/>
          </w:rPr>
          <w:t>ASEM</w:t>
        </w:r>
        <w:r w:rsidR="00151B4C" w:rsidRPr="000C428E">
          <w:rPr>
            <w:rFonts w:eastAsia="Cambria" w:cs="Times New Roman"/>
            <w:color w:val="0000FF"/>
            <w:spacing w:val="-8"/>
            <w:u w:val="single" w:color="0000FF"/>
          </w:rPr>
          <w:t xml:space="preserve"> </w:t>
        </w:r>
        <w:r w:rsidR="00151B4C" w:rsidRPr="000C428E">
          <w:rPr>
            <w:rFonts w:eastAsia="Cambria" w:cs="Times New Roman"/>
            <w:color w:val="0000FF"/>
            <w:spacing w:val="-2"/>
            <w:u w:val="single" w:color="0000FF"/>
          </w:rPr>
          <w:t>scenarios</w:t>
        </w:r>
      </w:hyperlink>
    </w:p>
    <w:p w14:paraId="7254CC00" w14:textId="18494A2D" w:rsidR="00151B4C" w:rsidRPr="00B034D8" w:rsidRDefault="00ED32F1">
      <w:pPr>
        <w:numPr>
          <w:ilvl w:val="0"/>
          <w:numId w:val="7"/>
        </w:numPr>
        <w:tabs>
          <w:tab w:val="left" w:pos="425"/>
        </w:tabs>
        <w:spacing w:before="120" w:after="180" w:line="240" w:lineRule="atLeast"/>
        <w:rPr>
          <w:rFonts w:eastAsia="Cambria" w:cs="Times New Roman"/>
        </w:rPr>
      </w:pPr>
      <w:hyperlink w:anchor="Calculationsexposure" w:history="1">
        <w:r w:rsidR="00151B4C" w:rsidRPr="00B034D8">
          <w:rPr>
            <w:rFonts w:eastAsia="Cambria" w:cs="Times New Roman"/>
            <w:color w:val="0000FF"/>
            <w:u w:val="single" w:color="0000FF"/>
          </w:rPr>
          <w:t>Calculations</w:t>
        </w:r>
        <w:r w:rsidR="00151B4C" w:rsidRPr="00B034D8">
          <w:rPr>
            <w:rFonts w:eastAsia="Cambria" w:cs="Times New Roman"/>
            <w:color w:val="0000FF"/>
            <w:spacing w:val="-8"/>
            <w:u w:val="single" w:color="0000FF"/>
          </w:rPr>
          <w:t xml:space="preserve"> </w:t>
        </w:r>
        <w:r w:rsidR="00151B4C" w:rsidRPr="00B034D8">
          <w:rPr>
            <w:rFonts w:eastAsia="Cambria" w:cs="Times New Roman"/>
            <w:color w:val="0000FF"/>
            <w:u w:val="single" w:color="0000FF"/>
          </w:rPr>
          <w:t>for</w:t>
        </w:r>
        <w:r w:rsidR="00151B4C" w:rsidRPr="00B034D8">
          <w:rPr>
            <w:rFonts w:eastAsia="Cambria" w:cs="Times New Roman"/>
            <w:color w:val="0000FF"/>
            <w:spacing w:val="-8"/>
            <w:u w:val="single" w:color="0000FF"/>
          </w:rPr>
          <w:t xml:space="preserve"> </w:t>
        </w:r>
        <w:r w:rsidR="00151B4C" w:rsidRPr="00B034D8">
          <w:rPr>
            <w:rFonts w:eastAsia="Cambria" w:cs="Times New Roman"/>
            <w:color w:val="0000FF"/>
            <w:u w:val="single" w:color="0000FF"/>
          </w:rPr>
          <w:t>establishing</w:t>
        </w:r>
        <w:r w:rsidR="00151B4C" w:rsidRPr="00B034D8">
          <w:rPr>
            <w:rFonts w:eastAsia="Cambria" w:cs="Times New Roman"/>
            <w:color w:val="0000FF"/>
            <w:spacing w:val="-9"/>
            <w:u w:val="single" w:color="0000FF"/>
          </w:rPr>
          <w:t xml:space="preserve"> </w:t>
        </w:r>
        <w:r w:rsidR="00151B4C" w:rsidRPr="00B034D8">
          <w:rPr>
            <w:rFonts w:eastAsia="Cambria" w:cs="Times New Roman"/>
            <w:color w:val="0000FF"/>
            <w:u w:val="single" w:color="0000FF"/>
          </w:rPr>
          <w:t>the</w:t>
        </w:r>
        <w:r w:rsidR="00151B4C" w:rsidRPr="00B034D8">
          <w:rPr>
            <w:rFonts w:eastAsia="Cambria" w:cs="Times New Roman"/>
            <w:color w:val="0000FF"/>
            <w:spacing w:val="-7"/>
            <w:u w:val="single" w:color="0000FF"/>
          </w:rPr>
          <w:t xml:space="preserve"> </w:t>
        </w:r>
        <w:r w:rsidR="006C633B">
          <w:rPr>
            <w:rFonts w:eastAsia="Cambria" w:cs="Times New Roman"/>
            <w:color w:val="0000FF"/>
            <w:u w:val="single" w:color="0000FF"/>
          </w:rPr>
          <w:t>highest estimated average daily sunscreen exposure</w:t>
        </w:r>
      </w:hyperlink>
    </w:p>
    <w:p w14:paraId="3A22FED5" w14:textId="77777777" w:rsidR="00151B4C" w:rsidRPr="007B4E17" w:rsidRDefault="00151B4C" w:rsidP="00F47305">
      <w:pPr>
        <w:pStyle w:val="Heading4"/>
      </w:pPr>
      <w:bookmarkStart w:id="92" w:name="_Toc184730580"/>
      <w:bookmarkStart w:id="93" w:name="ASEMFormula"/>
      <w:r w:rsidRPr="00151B4C">
        <w:t>ASEM Formula</w:t>
      </w:r>
      <w:bookmarkEnd w:id="92"/>
    </w:p>
    <w:bookmarkEnd w:id="93"/>
    <w:p w14:paraId="6B96FB55" w14:textId="31358B53" w:rsidR="00151B4C" w:rsidRPr="00151B4C" w:rsidRDefault="00151B4C" w:rsidP="00151B4C">
      <w:pPr>
        <w:widowControl w:val="0"/>
        <w:autoSpaceDE w:val="0"/>
        <w:autoSpaceDN w:val="0"/>
        <w:spacing w:before="117" w:after="0"/>
        <w:ind w:right="219"/>
        <w:rPr>
          <w:rFonts w:eastAsia="Arial" w:cs="Arial"/>
          <w:lang w:val="en-US"/>
        </w:rPr>
      </w:pPr>
      <w:r w:rsidRPr="00151B4C">
        <w:rPr>
          <w:rFonts w:eastAsia="Arial" w:cs="Arial"/>
          <w:lang w:val="en-US"/>
        </w:rPr>
        <w:t>The ASEM formula is a way to calculate and therefore estimate how much sunscreen is used daily. It is based on data for skin surface area, age, and body weight</w:t>
      </w:r>
      <w:r w:rsidRPr="00151B4C">
        <w:rPr>
          <w:rFonts w:eastAsia="Arial" w:cs="Arial"/>
          <w:spacing w:val="-3"/>
          <w:lang w:val="en-US"/>
        </w:rPr>
        <w:t xml:space="preserve"> </w:t>
      </w:r>
      <w:r w:rsidRPr="00151B4C">
        <w:rPr>
          <w:rFonts w:eastAsia="Arial" w:cs="Arial"/>
          <w:lang w:val="en-US"/>
        </w:rPr>
        <w:t>for</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1"/>
          <w:lang w:val="en-US"/>
        </w:rPr>
        <w:t xml:space="preserve"> </w:t>
      </w:r>
      <w:r w:rsidRPr="00151B4C">
        <w:rPr>
          <w:rFonts w:eastAsia="Arial" w:cs="Arial"/>
          <w:lang w:val="en-US"/>
        </w:rPr>
        <w:t>Australian</w:t>
      </w:r>
      <w:r w:rsidRPr="00151B4C">
        <w:rPr>
          <w:rFonts w:eastAsia="Arial" w:cs="Arial"/>
          <w:spacing w:val="-1"/>
          <w:lang w:val="en-US"/>
        </w:rPr>
        <w:t xml:space="preserve"> </w:t>
      </w:r>
      <w:r w:rsidRPr="00151B4C">
        <w:rPr>
          <w:rFonts w:eastAsia="Arial" w:cs="Arial"/>
          <w:lang w:val="en-US"/>
        </w:rPr>
        <w:t>population.</w:t>
      </w:r>
      <w:r w:rsidRPr="00151B4C">
        <w:rPr>
          <w:rFonts w:eastAsia="Arial" w:cs="Arial"/>
          <w:spacing w:val="-3"/>
          <w:lang w:val="en-US"/>
        </w:rPr>
        <w:t xml:space="preserve"> </w:t>
      </w:r>
      <w:r w:rsidRPr="00151B4C">
        <w:rPr>
          <w:rFonts w:eastAsia="Arial" w:cs="Arial"/>
          <w:lang w:val="en-US"/>
        </w:rPr>
        <w:t>The</w:t>
      </w:r>
      <w:r w:rsidRPr="00151B4C">
        <w:rPr>
          <w:rFonts w:eastAsia="Arial" w:cs="Arial"/>
          <w:spacing w:val="-3"/>
          <w:lang w:val="en-US"/>
        </w:rPr>
        <w:t xml:space="preserve"> </w:t>
      </w:r>
      <w:r w:rsidRPr="00151B4C">
        <w:rPr>
          <w:rFonts w:eastAsia="Arial" w:cs="Arial"/>
          <w:lang w:val="en-US"/>
        </w:rPr>
        <w:t>formula</w:t>
      </w:r>
      <w:r w:rsidRPr="00151B4C">
        <w:rPr>
          <w:rFonts w:eastAsia="Arial" w:cs="Arial"/>
          <w:spacing w:val="-3"/>
          <w:lang w:val="en-US"/>
        </w:rPr>
        <w:t xml:space="preserve"> </w:t>
      </w:r>
      <w:r w:rsidRPr="00151B4C">
        <w:rPr>
          <w:rFonts w:eastAsia="Arial" w:cs="Arial"/>
          <w:lang w:val="en-US"/>
        </w:rPr>
        <w:t>calculates</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3"/>
          <w:lang w:val="en-US"/>
        </w:rPr>
        <w:t xml:space="preserve"> </w:t>
      </w:r>
      <w:r w:rsidR="00DF3F30">
        <w:rPr>
          <w:rFonts w:eastAsia="Arial" w:cs="Arial"/>
          <w:spacing w:val="-3"/>
          <w:lang w:val="en-US"/>
        </w:rPr>
        <w:t xml:space="preserve">average </w:t>
      </w:r>
      <w:r w:rsidRPr="00151B4C">
        <w:rPr>
          <w:rFonts w:eastAsia="Arial" w:cs="Arial"/>
          <w:lang w:val="en-US"/>
        </w:rPr>
        <w:t>daily</w:t>
      </w:r>
      <w:r w:rsidRPr="00151B4C">
        <w:rPr>
          <w:rFonts w:eastAsia="Arial" w:cs="Arial"/>
          <w:spacing w:val="-2"/>
          <w:lang w:val="en-US"/>
        </w:rPr>
        <w:t xml:space="preserve"> </w:t>
      </w:r>
      <w:r w:rsidRPr="00151B4C">
        <w:rPr>
          <w:rFonts w:eastAsia="Arial" w:cs="Arial"/>
          <w:lang w:val="en-US"/>
        </w:rPr>
        <w:t>sunscreen</w:t>
      </w:r>
      <w:r w:rsidRPr="00151B4C">
        <w:rPr>
          <w:rFonts w:eastAsia="Arial" w:cs="Arial"/>
          <w:spacing w:val="-3"/>
          <w:lang w:val="en-US"/>
        </w:rPr>
        <w:t xml:space="preserve"> </w:t>
      </w:r>
      <w:r w:rsidRPr="00151B4C">
        <w:rPr>
          <w:rFonts w:eastAsia="Arial" w:cs="Arial"/>
          <w:lang w:val="en-US"/>
        </w:rPr>
        <w:t>exposure</w:t>
      </w:r>
      <w:r w:rsidRPr="00151B4C">
        <w:rPr>
          <w:rFonts w:eastAsia="Arial" w:cs="Arial"/>
          <w:spacing w:val="-3"/>
          <w:lang w:val="en-US"/>
        </w:rPr>
        <w:t xml:space="preserve"> </w:t>
      </w:r>
      <w:r w:rsidRPr="00151B4C">
        <w:rPr>
          <w:rFonts w:eastAsia="Arial" w:cs="Arial"/>
          <w:lang w:val="en-US"/>
        </w:rPr>
        <w:t>by</w:t>
      </w:r>
      <w:r w:rsidRPr="00151B4C">
        <w:rPr>
          <w:rFonts w:eastAsia="Arial" w:cs="Arial"/>
          <w:spacing w:val="-2"/>
          <w:lang w:val="en-US"/>
        </w:rPr>
        <w:t xml:space="preserve"> </w:t>
      </w:r>
      <w:r w:rsidRPr="00151B4C">
        <w:rPr>
          <w:rFonts w:eastAsia="Arial" w:cs="Arial"/>
          <w:lang w:val="en-US"/>
        </w:rPr>
        <w:t>considering</w:t>
      </w:r>
      <w:r w:rsidRPr="00151B4C">
        <w:rPr>
          <w:rFonts w:eastAsia="Arial" w:cs="Arial"/>
          <w:spacing w:val="-1"/>
          <w:lang w:val="en-US"/>
        </w:rPr>
        <w:t xml:space="preserve"> </w:t>
      </w:r>
      <w:r w:rsidRPr="00151B4C">
        <w:rPr>
          <w:rFonts w:eastAsia="Arial" w:cs="Arial"/>
          <w:lang w:val="en-US"/>
        </w:rPr>
        <w:t>how many</w:t>
      </w:r>
      <w:r w:rsidRPr="00151B4C">
        <w:rPr>
          <w:rFonts w:eastAsia="Arial" w:cs="Arial"/>
          <w:spacing w:val="-2"/>
          <w:lang w:val="en-US"/>
        </w:rPr>
        <w:t xml:space="preserve"> </w:t>
      </w:r>
      <w:r w:rsidRPr="00151B4C">
        <w:rPr>
          <w:rFonts w:eastAsia="Arial" w:cs="Arial"/>
          <w:lang w:val="en-US"/>
        </w:rPr>
        <w:t>times it</w:t>
      </w:r>
      <w:r w:rsidRPr="00151B4C">
        <w:rPr>
          <w:rFonts w:eastAsia="Arial" w:cs="Arial"/>
          <w:spacing w:val="-1"/>
          <w:lang w:val="en-US"/>
        </w:rPr>
        <w:t xml:space="preserve"> </w:t>
      </w:r>
      <w:r w:rsidRPr="00151B4C">
        <w:rPr>
          <w:rFonts w:eastAsia="Arial" w:cs="Arial"/>
          <w:lang w:val="en-US"/>
        </w:rPr>
        <w:t>is applied</w:t>
      </w:r>
      <w:r w:rsidRPr="00151B4C">
        <w:rPr>
          <w:rFonts w:eastAsia="Arial" w:cs="Arial"/>
          <w:spacing w:val="-1"/>
          <w:lang w:val="en-US"/>
        </w:rPr>
        <w:t xml:space="preserve"> </w:t>
      </w:r>
      <w:r w:rsidRPr="00151B4C">
        <w:rPr>
          <w:rFonts w:eastAsia="Arial" w:cs="Arial"/>
          <w:lang w:val="en-US"/>
        </w:rPr>
        <w:t>a</w:t>
      </w:r>
      <w:r w:rsidRPr="00151B4C">
        <w:rPr>
          <w:rFonts w:eastAsia="Arial" w:cs="Arial"/>
          <w:spacing w:val="-3"/>
          <w:lang w:val="en-US"/>
        </w:rPr>
        <w:t xml:space="preserve"> </w:t>
      </w:r>
      <w:r w:rsidRPr="00151B4C">
        <w:rPr>
          <w:rFonts w:eastAsia="Arial" w:cs="Arial"/>
          <w:lang w:val="en-US"/>
        </w:rPr>
        <w:t>day,</w:t>
      </w:r>
      <w:r w:rsidRPr="00151B4C">
        <w:rPr>
          <w:rFonts w:eastAsia="Arial" w:cs="Arial"/>
          <w:spacing w:val="-3"/>
          <w:lang w:val="en-US"/>
        </w:rPr>
        <w:t xml:space="preserve"> </w:t>
      </w:r>
      <w:r w:rsidRPr="00151B4C">
        <w:rPr>
          <w:rFonts w:eastAsia="Arial" w:cs="Arial"/>
          <w:lang w:val="en-US"/>
        </w:rPr>
        <w:t>number</w:t>
      </w:r>
      <w:r w:rsidRPr="00151B4C">
        <w:rPr>
          <w:rFonts w:eastAsia="Arial" w:cs="Arial"/>
          <w:spacing w:val="-2"/>
          <w:lang w:val="en-US"/>
        </w:rPr>
        <w:t xml:space="preserve"> </w:t>
      </w:r>
      <w:r w:rsidRPr="00151B4C">
        <w:rPr>
          <w:rFonts w:eastAsia="Arial" w:cs="Arial"/>
          <w:lang w:val="en-US"/>
        </w:rPr>
        <w:t>of</w:t>
      </w:r>
      <w:r w:rsidRPr="00151B4C">
        <w:rPr>
          <w:rFonts w:eastAsia="Arial" w:cs="Arial"/>
          <w:spacing w:val="-3"/>
          <w:lang w:val="en-US"/>
        </w:rPr>
        <w:t xml:space="preserve"> </w:t>
      </w:r>
      <w:r w:rsidRPr="00151B4C">
        <w:rPr>
          <w:rFonts w:eastAsia="Arial" w:cs="Arial"/>
          <w:lang w:val="en-US"/>
        </w:rPr>
        <w:t>days of the year it is applied, and the skin surface area of each body part it is applied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51B4C" w:rsidRPr="00151B4C" w14:paraId="772D032B" w14:textId="77777777" w:rsidTr="000F32AA">
        <w:tc>
          <w:tcPr>
            <w:tcW w:w="9016" w:type="dxa"/>
          </w:tcPr>
          <w:p w14:paraId="43D1F848" w14:textId="77777777" w:rsidR="00DB5FA8" w:rsidRDefault="00DB5FA8" w:rsidP="00C23134">
            <w:pPr>
              <w:keepNext/>
              <w:rPr>
                <w:rFonts w:cs="Arial"/>
              </w:rPr>
            </w:pPr>
          </w:p>
          <w:p w14:paraId="692EBC11" w14:textId="77777777" w:rsidR="00DB5FA8" w:rsidRPr="00F629F0" w:rsidRDefault="00DB5FA8" w:rsidP="00C23134">
            <w:pPr>
              <w:keepNext/>
              <w:rPr>
                <w:rFonts w:eastAsiaTheme="minorEastAsia" w:cs="Arial"/>
                <w:sz w:val="22"/>
                <w:szCs w:val="22"/>
              </w:rPr>
            </w:pPr>
            <m:oMathPara>
              <m:oMath>
                <m:r>
                  <w:rPr>
                    <w:rFonts w:ascii="Cambria Math" w:hAnsi="Cambria Math" w:cs="Arial"/>
                    <w:sz w:val="22"/>
                    <w:szCs w:val="22"/>
                  </w:rPr>
                  <m:t>ASEM (method 1)=</m:t>
                </m:r>
                <m:f>
                  <m:fPr>
                    <m:ctrlPr>
                      <w:rPr>
                        <w:rFonts w:ascii="Cambria Math" w:hAnsi="Cambria Math" w:cs="Arial"/>
                        <w:i/>
                        <w:sz w:val="22"/>
                        <w:szCs w:val="22"/>
                      </w:rPr>
                    </m:ctrlPr>
                  </m:fPr>
                  <m:num>
                    <m:r>
                      <w:rPr>
                        <w:rFonts w:ascii="Cambria Math" w:hAnsi="Cambria Math" w:cs="Arial"/>
                        <w:sz w:val="22"/>
                        <w:szCs w:val="22"/>
                      </w:rPr>
                      <m:t>Appl Rate× SSA ×  AF × Duration</m:t>
                    </m:r>
                  </m:num>
                  <m:den>
                    <m:r>
                      <w:rPr>
                        <w:rFonts w:ascii="Cambria Math" w:hAnsi="Cambria Math" w:cs="Arial"/>
                        <w:sz w:val="22"/>
                        <w:szCs w:val="22"/>
                      </w:rPr>
                      <m:t>B</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t</m:t>
                        </m:r>
                      </m:sub>
                    </m:sSub>
                    <m:r>
                      <w:rPr>
                        <w:rFonts w:ascii="Cambria Math" w:hAnsi="Cambria Math" w:cs="Arial"/>
                        <w:sz w:val="22"/>
                        <w:szCs w:val="22"/>
                      </w:rPr>
                      <m:t xml:space="preserve"> × AT</m:t>
                    </m:r>
                  </m:den>
                </m:f>
              </m:oMath>
            </m:oMathPara>
          </w:p>
          <w:p w14:paraId="40F1D72E" w14:textId="77777777" w:rsidR="00DB5FA8" w:rsidRPr="00F629F0" w:rsidRDefault="00DB5FA8" w:rsidP="00C23134">
            <w:pPr>
              <w:keepNext/>
              <w:rPr>
                <w:rFonts w:eastAsiaTheme="minorEastAsia" w:cs="Arial"/>
                <w:sz w:val="22"/>
                <w:szCs w:val="22"/>
              </w:rPr>
            </w:pPr>
          </w:p>
          <w:p w14:paraId="1A34D06F" w14:textId="18A83B0E" w:rsidR="00151B4C" w:rsidRPr="00DB5FA8" w:rsidRDefault="00DB5FA8" w:rsidP="00C23134">
            <w:pPr>
              <w:keepNext/>
              <w:rPr>
                <w:rFonts w:cs="Arial"/>
                <w:sz w:val="22"/>
                <w:szCs w:val="22"/>
              </w:rPr>
            </w:pPr>
            <m:oMathPara>
              <m:oMath>
                <m:r>
                  <w:rPr>
                    <w:rFonts w:ascii="Cambria Math" w:hAnsi="Cambria Math" w:cs="Arial"/>
                    <w:sz w:val="22"/>
                    <w:szCs w:val="22"/>
                  </w:rPr>
                  <m:t>ASEM (method 2)=</m:t>
                </m:r>
                <m:f>
                  <m:fPr>
                    <m:ctrlPr>
                      <w:rPr>
                        <w:rFonts w:ascii="Cambria Math" w:hAnsi="Cambria Math" w:cs="Arial"/>
                        <w:i/>
                        <w:sz w:val="22"/>
                        <w:szCs w:val="22"/>
                      </w:rPr>
                    </m:ctrlPr>
                  </m:fPr>
                  <m:num>
                    <m:r>
                      <w:rPr>
                        <w:rFonts w:ascii="Cambria Math" w:hAnsi="Cambria Math" w:cs="Arial"/>
                        <w:sz w:val="22"/>
                        <w:szCs w:val="22"/>
                      </w:rPr>
                      <m:t>SSA ×  AF × Duration</m:t>
                    </m:r>
                  </m:num>
                  <m:den>
                    <m:r>
                      <w:rPr>
                        <w:rFonts w:ascii="Cambria Math" w:hAnsi="Cambria Math" w:cs="Arial"/>
                        <w:sz w:val="22"/>
                        <w:szCs w:val="22"/>
                      </w:rPr>
                      <m:t>B</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t</m:t>
                        </m:r>
                      </m:sub>
                    </m:sSub>
                    <m:r>
                      <w:rPr>
                        <w:rFonts w:ascii="Cambria Math" w:hAnsi="Cambria Math" w:cs="Arial"/>
                        <w:sz w:val="22"/>
                        <w:szCs w:val="22"/>
                      </w:rPr>
                      <m:t xml:space="preserve"> × AT</m:t>
                    </m:r>
                  </m:den>
                </m:f>
              </m:oMath>
            </m:oMathPara>
          </w:p>
        </w:tc>
      </w:tr>
    </w:tbl>
    <w:p w14:paraId="14DF8874" w14:textId="77777777" w:rsidR="00151B4C" w:rsidRDefault="00151B4C" w:rsidP="00C23134">
      <w:pPr>
        <w:keepNext/>
      </w:pPr>
      <w:r w:rsidRPr="00151B4C">
        <w:t>where:</w:t>
      </w:r>
    </w:p>
    <w:p w14:paraId="1379EF32" w14:textId="0EE24DBB" w:rsidR="00204C46" w:rsidRPr="00290E87" w:rsidRDefault="00204C46" w:rsidP="00290E87">
      <w:pPr>
        <w:pStyle w:val="Tabletitle"/>
        <w:rPr>
          <w:lang w:val="en-US"/>
        </w:rPr>
      </w:pPr>
      <w:bookmarkStart w:id="94" w:name="Table6"/>
      <w:r>
        <w:rPr>
          <w:lang w:val="en-US"/>
        </w:rPr>
        <w:t>T</w:t>
      </w:r>
      <w:r w:rsidRPr="00290E87">
        <w:rPr>
          <w:lang w:val="en-US"/>
        </w:rPr>
        <w:t>able</w:t>
      </w:r>
      <w:r>
        <w:rPr>
          <w:lang w:val="en-US"/>
        </w:rPr>
        <w:t xml:space="preserve"> 6: </w:t>
      </w:r>
      <w:bookmarkEnd w:id="94"/>
      <w:r w:rsidR="000C428E">
        <w:rPr>
          <w:lang w:val="en-US"/>
        </w:rPr>
        <w:t>ASEM</w:t>
      </w:r>
      <w:r>
        <w:rPr>
          <w:lang w:val="en-US"/>
        </w:rPr>
        <w:t xml:space="preserve"> Parameters</w:t>
      </w:r>
    </w:p>
    <w:tbl>
      <w:tblPr>
        <w:tblW w:w="9026"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276"/>
        <w:gridCol w:w="1843"/>
        <w:gridCol w:w="5907"/>
      </w:tblGrid>
      <w:tr w:rsidR="00151B4C" w:rsidRPr="00151B4C" w14:paraId="4C345385" w14:textId="77777777" w:rsidTr="00C23134">
        <w:trPr>
          <w:trHeight w:val="448"/>
          <w:tblHeader/>
        </w:trPr>
        <w:tc>
          <w:tcPr>
            <w:tcW w:w="1276" w:type="dxa"/>
            <w:shd w:val="clear" w:color="auto" w:fill="DEEAF6"/>
          </w:tcPr>
          <w:p w14:paraId="5E82791E"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Parameter</w:t>
            </w:r>
          </w:p>
        </w:tc>
        <w:tc>
          <w:tcPr>
            <w:tcW w:w="1843" w:type="dxa"/>
            <w:shd w:val="clear" w:color="auto" w:fill="DEEAF6"/>
          </w:tcPr>
          <w:p w14:paraId="4E6D6FD4"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Description</w:t>
            </w:r>
          </w:p>
        </w:tc>
        <w:tc>
          <w:tcPr>
            <w:tcW w:w="5907" w:type="dxa"/>
            <w:shd w:val="clear" w:color="auto" w:fill="DEEAF6"/>
          </w:tcPr>
          <w:p w14:paraId="5768027D"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Explanation</w:t>
            </w:r>
          </w:p>
        </w:tc>
      </w:tr>
      <w:tr w:rsidR="00151B4C" w:rsidRPr="00151B4C" w14:paraId="64BBB5FB" w14:textId="77777777" w:rsidTr="00C23134">
        <w:trPr>
          <w:trHeight w:val="945"/>
        </w:trPr>
        <w:tc>
          <w:tcPr>
            <w:tcW w:w="1276" w:type="dxa"/>
          </w:tcPr>
          <w:p w14:paraId="0E74F48E" w14:textId="77777777" w:rsidR="00151B4C" w:rsidRPr="006D28D0" w:rsidRDefault="00151B4C" w:rsidP="00151B4C">
            <w:pPr>
              <w:widowControl w:val="0"/>
              <w:autoSpaceDE w:val="0"/>
              <w:autoSpaceDN w:val="0"/>
              <w:spacing w:before="78" w:after="0" w:line="240" w:lineRule="auto"/>
              <w:ind w:left="220"/>
              <w:rPr>
                <w:rFonts w:eastAsia="Arial" w:cs="Arial"/>
                <w:b/>
                <w:sz w:val="18"/>
                <w:szCs w:val="18"/>
                <w:lang w:val="en-US"/>
              </w:rPr>
            </w:pPr>
            <w:r w:rsidRPr="006D28D0">
              <w:rPr>
                <w:rFonts w:eastAsia="Arial" w:cs="Arial"/>
                <w:b/>
                <w:spacing w:val="-4"/>
                <w:sz w:val="18"/>
                <w:szCs w:val="18"/>
                <w:lang w:val="en-US"/>
              </w:rPr>
              <w:t>ASEM</w:t>
            </w:r>
          </w:p>
        </w:tc>
        <w:tc>
          <w:tcPr>
            <w:tcW w:w="1843" w:type="dxa"/>
          </w:tcPr>
          <w:p w14:paraId="37D699E4" w14:textId="77777777" w:rsidR="00151B4C" w:rsidRPr="006D28D0" w:rsidRDefault="00151B4C" w:rsidP="00151B4C">
            <w:pPr>
              <w:widowControl w:val="0"/>
              <w:autoSpaceDE w:val="0"/>
              <w:autoSpaceDN w:val="0"/>
              <w:spacing w:before="78" w:after="0" w:line="261" w:lineRule="auto"/>
              <w:ind w:left="220"/>
              <w:rPr>
                <w:rFonts w:eastAsia="Arial" w:cs="Arial"/>
                <w:sz w:val="18"/>
                <w:szCs w:val="18"/>
                <w:lang w:val="en-US"/>
              </w:rPr>
            </w:pPr>
            <w:r w:rsidRPr="006D28D0">
              <w:rPr>
                <w:rFonts w:eastAsia="Arial" w:cs="Arial"/>
                <w:sz w:val="18"/>
                <w:szCs w:val="18"/>
                <w:lang w:val="en-US"/>
              </w:rPr>
              <w:t>Estimated</w:t>
            </w:r>
            <w:r w:rsidRPr="006D28D0">
              <w:rPr>
                <w:rFonts w:eastAsia="Arial" w:cs="Arial"/>
                <w:spacing w:val="-14"/>
                <w:sz w:val="18"/>
                <w:szCs w:val="18"/>
                <w:lang w:val="en-US"/>
              </w:rPr>
              <w:t xml:space="preserve"> </w:t>
            </w:r>
            <w:r w:rsidRPr="006D28D0">
              <w:rPr>
                <w:rFonts w:eastAsia="Arial" w:cs="Arial"/>
                <w:sz w:val="18"/>
                <w:szCs w:val="18"/>
                <w:lang w:val="en-US"/>
              </w:rPr>
              <w:t>daily</w:t>
            </w:r>
            <w:r w:rsidRPr="006D28D0">
              <w:rPr>
                <w:rFonts w:eastAsia="Arial" w:cs="Arial"/>
                <w:spacing w:val="-13"/>
                <w:sz w:val="18"/>
                <w:szCs w:val="18"/>
                <w:lang w:val="en-US"/>
              </w:rPr>
              <w:t xml:space="preserve"> </w:t>
            </w:r>
            <w:r w:rsidRPr="006D28D0">
              <w:rPr>
                <w:rFonts w:eastAsia="Arial" w:cs="Arial"/>
                <w:sz w:val="18"/>
                <w:szCs w:val="18"/>
                <w:lang w:val="en-US"/>
              </w:rPr>
              <w:t>sunscreen</w:t>
            </w:r>
            <w:r w:rsidRPr="006D28D0">
              <w:rPr>
                <w:rFonts w:eastAsia="Arial" w:cs="Arial"/>
                <w:spacing w:val="-13"/>
                <w:sz w:val="18"/>
                <w:szCs w:val="18"/>
                <w:lang w:val="en-US"/>
              </w:rPr>
              <w:t xml:space="preserve"> </w:t>
            </w:r>
            <w:r w:rsidRPr="006D28D0">
              <w:rPr>
                <w:rFonts w:eastAsia="Arial" w:cs="Arial"/>
                <w:sz w:val="18"/>
                <w:szCs w:val="18"/>
                <w:lang w:val="en-US"/>
              </w:rPr>
              <w:t>exposure (mg/kg bw/d) or (cm</w:t>
            </w:r>
            <w:r w:rsidRPr="006D28D0">
              <w:rPr>
                <w:rFonts w:eastAsia="Arial" w:cs="Arial"/>
                <w:position w:val="6"/>
                <w:sz w:val="18"/>
                <w:szCs w:val="18"/>
                <w:lang w:val="en-US"/>
              </w:rPr>
              <w:t>2</w:t>
            </w:r>
            <w:r w:rsidRPr="006D28D0">
              <w:rPr>
                <w:rFonts w:eastAsia="Arial" w:cs="Arial"/>
                <w:sz w:val="18"/>
                <w:szCs w:val="18"/>
                <w:lang w:val="en-US"/>
              </w:rPr>
              <w:t>/kg bw/day)</w:t>
            </w:r>
          </w:p>
        </w:tc>
        <w:tc>
          <w:tcPr>
            <w:tcW w:w="5907" w:type="dxa"/>
          </w:tcPr>
          <w:p w14:paraId="3EDAA369" w14:textId="77777777" w:rsidR="00151B4C" w:rsidRPr="006D28D0" w:rsidRDefault="00151B4C" w:rsidP="00151B4C">
            <w:pPr>
              <w:widowControl w:val="0"/>
              <w:autoSpaceDE w:val="0"/>
              <w:autoSpaceDN w:val="0"/>
              <w:spacing w:before="78" w:after="0"/>
              <w:ind w:left="221" w:right="140"/>
              <w:rPr>
                <w:rFonts w:eastAsia="Arial" w:cs="Arial"/>
                <w:sz w:val="18"/>
                <w:szCs w:val="18"/>
                <w:lang w:val="en-US"/>
              </w:rPr>
            </w:pP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ASEM</w:t>
            </w:r>
            <w:r w:rsidRPr="006D28D0">
              <w:rPr>
                <w:rFonts w:eastAsia="Arial" w:cs="Arial"/>
                <w:spacing w:val="-4"/>
                <w:sz w:val="18"/>
                <w:szCs w:val="18"/>
                <w:lang w:val="en-US"/>
              </w:rPr>
              <w:t xml:space="preserve"> </w:t>
            </w:r>
            <w:r w:rsidRPr="006D28D0">
              <w:rPr>
                <w:rFonts w:eastAsia="Arial" w:cs="Arial"/>
                <w:sz w:val="18"/>
                <w:szCs w:val="18"/>
                <w:lang w:val="en-US"/>
              </w:rPr>
              <w:t>formula</w:t>
            </w:r>
            <w:r w:rsidRPr="006D28D0">
              <w:rPr>
                <w:rFonts w:eastAsia="Arial" w:cs="Arial"/>
                <w:spacing w:val="-4"/>
                <w:sz w:val="18"/>
                <w:szCs w:val="18"/>
                <w:lang w:val="en-US"/>
              </w:rPr>
              <w:t xml:space="preserve"> </w:t>
            </w:r>
            <w:r w:rsidRPr="006D28D0">
              <w:rPr>
                <w:rFonts w:eastAsia="Arial" w:cs="Arial"/>
                <w:sz w:val="18"/>
                <w:szCs w:val="18"/>
                <w:lang w:val="en-US"/>
              </w:rPr>
              <w:t>provides</w:t>
            </w:r>
            <w:r w:rsidRPr="006D28D0">
              <w:rPr>
                <w:rFonts w:eastAsia="Arial" w:cs="Arial"/>
                <w:spacing w:val="-3"/>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amount</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sunscreen</w:t>
            </w:r>
            <w:r w:rsidRPr="006D28D0">
              <w:rPr>
                <w:rFonts w:eastAsia="Arial" w:cs="Arial"/>
                <w:spacing w:val="-2"/>
                <w:sz w:val="18"/>
                <w:szCs w:val="18"/>
                <w:lang w:val="en-US"/>
              </w:rPr>
              <w:t xml:space="preserve"> </w:t>
            </w:r>
            <w:r w:rsidRPr="006D28D0">
              <w:rPr>
                <w:rFonts w:eastAsia="Arial" w:cs="Arial"/>
                <w:sz w:val="18"/>
                <w:szCs w:val="18"/>
                <w:lang w:val="en-US"/>
              </w:rPr>
              <w:t>applied</w:t>
            </w:r>
            <w:r w:rsidRPr="006D28D0">
              <w:rPr>
                <w:rFonts w:eastAsia="Arial" w:cs="Arial"/>
                <w:spacing w:val="-4"/>
                <w:sz w:val="18"/>
                <w:szCs w:val="18"/>
                <w:lang w:val="en-US"/>
              </w:rPr>
              <w:t xml:space="preserve"> </w:t>
            </w:r>
            <w:r w:rsidRPr="006D28D0">
              <w:rPr>
                <w:rFonts w:eastAsia="Arial" w:cs="Arial"/>
                <w:sz w:val="18"/>
                <w:szCs w:val="18"/>
                <w:lang w:val="en-US"/>
              </w:rPr>
              <w:t>to</w:t>
            </w:r>
            <w:r w:rsidRPr="006D28D0">
              <w:rPr>
                <w:rFonts w:eastAsia="Arial" w:cs="Arial"/>
                <w:spacing w:val="-2"/>
                <w:sz w:val="18"/>
                <w:szCs w:val="18"/>
                <w:lang w:val="en-US"/>
              </w:rPr>
              <w:t xml:space="preserve"> </w:t>
            </w:r>
            <w:r w:rsidRPr="006D28D0">
              <w:rPr>
                <w:rFonts w:eastAsia="Arial" w:cs="Arial"/>
                <w:sz w:val="18"/>
                <w:szCs w:val="18"/>
                <w:lang w:val="en-US"/>
              </w:rPr>
              <w:t>the</w:t>
            </w:r>
            <w:r w:rsidRPr="006D28D0">
              <w:rPr>
                <w:rFonts w:eastAsia="Arial" w:cs="Arial"/>
                <w:spacing w:val="-2"/>
                <w:sz w:val="18"/>
                <w:szCs w:val="18"/>
                <w:lang w:val="en-US"/>
              </w:rPr>
              <w:t xml:space="preserve"> </w:t>
            </w:r>
            <w:r w:rsidRPr="006D28D0">
              <w:rPr>
                <w:rFonts w:eastAsia="Arial" w:cs="Arial"/>
                <w:sz w:val="18"/>
                <w:szCs w:val="18"/>
                <w:lang w:val="en-US"/>
              </w:rPr>
              <w:t>skin</w:t>
            </w:r>
            <w:r w:rsidRPr="006D28D0">
              <w:rPr>
                <w:rFonts w:eastAsia="Arial" w:cs="Arial"/>
                <w:spacing w:val="-4"/>
                <w:sz w:val="18"/>
                <w:szCs w:val="18"/>
                <w:lang w:val="en-US"/>
              </w:rPr>
              <w:t xml:space="preserve"> </w:t>
            </w:r>
            <w:r w:rsidRPr="006D28D0">
              <w:rPr>
                <w:rFonts w:eastAsia="Arial" w:cs="Arial"/>
                <w:sz w:val="18"/>
                <w:szCs w:val="18"/>
                <w:lang w:val="en-US"/>
              </w:rPr>
              <w:t>per</w:t>
            </w:r>
            <w:r w:rsidRPr="006D28D0">
              <w:rPr>
                <w:rFonts w:eastAsia="Arial" w:cs="Arial"/>
                <w:spacing w:val="-3"/>
                <w:sz w:val="18"/>
                <w:szCs w:val="18"/>
                <w:lang w:val="en-US"/>
              </w:rPr>
              <w:t xml:space="preserve"> </w:t>
            </w:r>
            <w:r w:rsidRPr="006D28D0">
              <w:rPr>
                <w:rFonts w:eastAsia="Arial" w:cs="Arial"/>
                <w:sz w:val="18"/>
                <w:szCs w:val="18"/>
                <w:lang w:val="en-US"/>
              </w:rPr>
              <w:t>day relative</w:t>
            </w:r>
            <w:r w:rsidRPr="006D28D0">
              <w:rPr>
                <w:rFonts w:eastAsia="Arial" w:cs="Arial"/>
                <w:spacing w:val="-4"/>
                <w:sz w:val="18"/>
                <w:szCs w:val="18"/>
                <w:lang w:val="en-US"/>
              </w:rPr>
              <w:t xml:space="preserve"> </w:t>
            </w:r>
            <w:r w:rsidRPr="006D28D0">
              <w:rPr>
                <w:rFonts w:eastAsia="Arial" w:cs="Arial"/>
                <w:sz w:val="18"/>
                <w:szCs w:val="18"/>
                <w:lang w:val="en-US"/>
              </w:rPr>
              <w:t>to</w:t>
            </w:r>
            <w:r w:rsidRPr="006D28D0">
              <w:rPr>
                <w:rFonts w:eastAsia="Arial" w:cs="Arial"/>
                <w:spacing w:val="-2"/>
                <w:sz w:val="18"/>
                <w:szCs w:val="18"/>
                <w:lang w:val="en-US"/>
              </w:rPr>
              <w:t xml:space="preserve"> </w:t>
            </w:r>
            <w:r w:rsidRPr="006D28D0">
              <w:rPr>
                <w:rFonts w:eastAsia="Arial" w:cs="Arial"/>
                <w:sz w:val="18"/>
                <w:szCs w:val="18"/>
                <w:lang w:val="en-US"/>
              </w:rPr>
              <w:t>body weight (kg). The amount is expressed in units of either mass (mg) or surface area (cm</w:t>
            </w:r>
            <w:r w:rsidRPr="006D28D0">
              <w:rPr>
                <w:rFonts w:eastAsia="Arial" w:cs="Arial"/>
                <w:position w:val="6"/>
                <w:sz w:val="18"/>
                <w:szCs w:val="18"/>
                <w:lang w:val="en-US"/>
              </w:rPr>
              <w:t>2</w:t>
            </w:r>
            <w:r w:rsidRPr="006D28D0">
              <w:rPr>
                <w:rFonts w:eastAsia="Arial" w:cs="Arial"/>
                <w:sz w:val="18"/>
                <w:szCs w:val="18"/>
                <w:lang w:val="en-US"/>
              </w:rPr>
              <w:t>), depending on how the data for dermal absorption of an ingredient is reported.</w:t>
            </w:r>
          </w:p>
        </w:tc>
      </w:tr>
      <w:tr w:rsidR="00151B4C" w:rsidRPr="00151B4C" w14:paraId="06678E07" w14:textId="77777777" w:rsidTr="00C23134">
        <w:trPr>
          <w:trHeight w:val="1518"/>
        </w:trPr>
        <w:tc>
          <w:tcPr>
            <w:tcW w:w="1276" w:type="dxa"/>
          </w:tcPr>
          <w:p w14:paraId="104138ED" w14:textId="77777777" w:rsidR="00151B4C" w:rsidRPr="006D28D0" w:rsidRDefault="00151B4C" w:rsidP="00151B4C">
            <w:pPr>
              <w:widowControl w:val="0"/>
              <w:autoSpaceDE w:val="0"/>
              <w:autoSpaceDN w:val="0"/>
              <w:spacing w:before="78" w:after="0" w:line="240" w:lineRule="auto"/>
              <w:ind w:left="220"/>
              <w:rPr>
                <w:rFonts w:eastAsia="Arial" w:cs="Arial"/>
                <w:b/>
                <w:sz w:val="18"/>
                <w:szCs w:val="18"/>
                <w:lang w:val="en-US"/>
              </w:rPr>
            </w:pPr>
            <w:r w:rsidRPr="006D28D0">
              <w:rPr>
                <w:rFonts w:eastAsia="Arial" w:cs="Arial"/>
                <w:b/>
                <w:sz w:val="18"/>
                <w:szCs w:val="18"/>
                <w:lang w:val="en-US"/>
              </w:rPr>
              <w:t>Appl</w:t>
            </w:r>
            <w:r w:rsidRPr="006D28D0">
              <w:rPr>
                <w:rFonts w:eastAsia="Arial" w:cs="Arial"/>
                <w:b/>
                <w:spacing w:val="-6"/>
                <w:sz w:val="18"/>
                <w:szCs w:val="18"/>
                <w:lang w:val="en-US"/>
              </w:rPr>
              <w:t xml:space="preserve"> </w:t>
            </w:r>
            <w:r w:rsidRPr="006D28D0">
              <w:rPr>
                <w:rFonts w:eastAsia="Arial" w:cs="Arial"/>
                <w:b/>
                <w:spacing w:val="-4"/>
                <w:sz w:val="18"/>
                <w:szCs w:val="18"/>
                <w:lang w:val="en-US"/>
              </w:rPr>
              <w:t>Rate</w:t>
            </w:r>
          </w:p>
        </w:tc>
        <w:tc>
          <w:tcPr>
            <w:tcW w:w="1843" w:type="dxa"/>
          </w:tcPr>
          <w:p w14:paraId="31318E4D" w14:textId="77777777" w:rsidR="00151B4C" w:rsidRPr="006D28D0" w:rsidRDefault="00151B4C" w:rsidP="00151B4C">
            <w:pPr>
              <w:widowControl w:val="0"/>
              <w:autoSpaceDE w:val="0"/>
              <w:autoSpaceDN w:val="0"/>
              <w:spacing w:before="78" w:after="0" w:line="240" w:lineRule="auto"/>
              <w:ind w:left="220"/>
              <w:rPr>
                <w:rFonts w:eastAsia="Arial" w:cs="Arial"/>
                <w:sz w:val="18"/>
                <w:szCs w:val="18"/>
                <w:lang w:val="en-US"/>
              </w:rPr>
            </w:pPr>
            <w:r w:rsidRPr="006D28D0">
              <w:rPr>
                <w:rFonts w:eastAsia="Arial" w:cs="Arial"/>
                <w:sz w:val="18"/>
                <w:szCs w:val="18"/>
                <w:lang w:val="en-US"/>
              </w:rPr>
              <w:t>Application</w:t>
            </w:r>
            <w:r w:rsidRPr="006D28D0">
              <w:rPr>
                <w:rFonts w:eastAsia="Arial" w:cs="Arial"/>
                <w:spacing w:val="-9"/>
                <w:sz w:val="18"/>
                <w:szCs w:val="18"/>
                <w:lang w:val="en-US"/>
              </w:rPr>
              <w:t xml:space="preserve"> </w:t>
            </w:r>
            <w:r w:rsidRPr="006D28D0">
              <w:rPr>
                <w:rFonts w:eastAsia="Arial" w:cs="Arial"/>
                <w:sz w:val="18"/>
                <w:szCs w:val="18"/>
                <w:lang w:val="en-US"/>
              </w:rPr>
              <w:t>rate</w:t>
            </w:r>
            <w:r w:rsidRPr="006D28D0">
              <w:rPr>
                <w:rFonts w:eastAsia="Arial" w:cs="Arial"/>
                <w:spacing w:val="-6"/>
                <w:sz w:val="18"/>
                <w:szCs w:val="18"/>
                <w:lang w:val="en-US"/>
              </w:rPr>
              <w:t xml:space="preserve"> </w:t>
            </w:r>
            <w:r w:rsidRPr="006D28D0">
              <w:rPr>
                <w:rFonts w:eastAsia="Arial" w:cs="Arial"/>
                <w:sz w:val="18"/>
                <w:szCs w:val="18"/>
                <w:lang w:val="en-US"/>
              </w:rPr>
              <w:t>of</w:t>
            </w:r>
            <w:r w:rsidRPr="006D28D0">
              <w:rPr>
                <w:rFonts w:eastAsia="Arial" w:cs="Arial"/>
                <w:spacing w:val="-7"/>
                <w:sz w:val="18"/>
                <w:szCs w:val="18"/>
                <w:lang w:val="en-US"/>
              </w:rPr>
              <w:t xml:space="preserve"> </w:t>
            </w:r>
            <w:r w:rsidRPr="006D28D0">
              <w:rPr>
                <w:rFonts w:eastAsia="Arial" w:cs="Arial"/>
                <w:sz w:val="18"/>
                <w:szCs w:val="18"/>
                <w:lang w:val="en-US"/>
              </w:rPr>
              <w:t>product</w:t>
            </w:r>
            <w:r w:rsidRPr="006D28D0">
              <w:rPr>
                <w:rFonts w:eastAsia="Arial" w:cs="Arial"/>
                <w:spacing w:val="-6"/>
                <w:sz w:val="18"/>
                <w:szCs w:val="18"/>
                <w:lang w:val="en-US"/>
              </w:rPr>
              <w:t xml:space="preserve"> </w:t>
            </w:r>
            <w:r w:rsidRPr="006D28D0">
              <w:rPr>
                <w:rFonts w:eastAsia="Arial" w:cs="Arial"/>
                <w:spacing w:val="-2"/>
                <w:sz w:val="18"/>
                <w:szCs w:val="18"/>
                <w:lang w:val="en-US"/>
              </w:rPr>
              <w:t>mg/cm</w:t>
            </w:r>
            <w:r w:rsidRPr="006D28D0">
              <w:rPr>
                <w:rFonts w:eastAsia="Arial" w:cs="Arial"/>
                <w:spacing w:val="-2"/>
                <w:position w:val="6"/>
                <w:sz w:val="18"/>
                <w:szCs w:val="18"/>
                <w:lang w:val="en-US"/>
              </w:rPr>
              <w:t>2</w:t>
            </w:r>
          </w:p>
        </w:tc>
        <w:tc>
          <w:tcPr>
            <w:tcW w:w="5907" w:type="dxa"/>
          </w:tcPr>
          <w:p w14:paraId="552CEE46" w14:textId="77777777" w:rsidR="00151B4C" w:rsidRPr="006D28D0" w:rsidRDefault="00151B4C" w:rsidP="00151B4C">
            <w:pPr>
              <w:widowControl w:val="0"/>
              <w:autoSpaceDE w:val="0"/>
              <w:autoSpaceDN w:val="0"/>
              <w:spacing w:before="78" w:after="0"/>
              <w:ind w:left="221" w:right="140"/>
              <w:rPr>
                <w:rFonts w:eastAsia="Arial" w:cs="Arial"/>
                <w:sz w:val="18"/>
                <w:szCs w:val="18"/>
                <w:lang w:val="en-US"/>
              </w:rPr>
            </w:pPr>
            <w:r w:rsidRPr="006D28D0">
              <w:rPr>
                <w:rFonts w:eastAsia="Arial" w:cs="Arial"/>
                <w:sz w:val="18"/>
                <w:szCs w:val="18"/>
                <w:lang w:val="en-US"/>
              </w:rPr>
              <w:t>For a sunscreen product to reach the labelled sun protection factor (SPF), it must be applied in quantities</w:t>
            </w:r>
            <w:r w:rsidRPr="006D28D0">
              <w:rPr>
                <w:rFonts w:eastAsia="Arial" w:cs="Arial"/>
                <w:spacing w:val="-3"/>
                <w:sz w:val="18"/>
                <w:szCs w:val="18"/>
                <w:lang w:val="en-US"/>
              </w:rPr>
              <w:t xml:space="preserve"> </w:t>
            </w:r>
            <w:r w:rsidRPr="006D28D0">
              <w:rPr>
                <w:rFonts w:eastAsia="Arial" w:cs="Arial"/>
                <w:sz w:val="18"/>
                <w:szCs w:val="18"/>
                <w:lang w:val="en-US"/>
              </w:rPr>
              <w:t>similar</w:t>
            </w:r>
            <w:r w:rsidRPr="006D28D0">
              <w:rPr>
                <w:rFonts w:eastAsia="Arial" w:cs="Arial"/>
                <w:spacing w:val="-3"/>
                <w:sz w:val="18"/>
                <w:szCs w:val="18"/>
                <w:lang w:val="en-US"/>
              </w:rPr>
              <w:t xml:space="preserve"> </w:t>
            </w:r>
            <w:r w:rsidRPr="006D28D0">
              <w:rPr>
                <w:rFonts w:eastAsia="Arial" w:cs="Arial"/>
                <w:sz w:val="18"/>
                <w:szCs w:val="18"/>
                <w:lang w:val="en-US"/>
              </w:rPr>
              <w:t>to</w:t>
            </w:r>
            <w:r w:rsidRPr="006D28D0">
              <w:rPr>
                <w:rFonts w:eastAsia="Arial" w:cs="Arial"/>
                <w:spacing w:val="-2"/>
                <w:sz w:val="18"/>
                <w:szCs w:val="18"/>
                <w:lang w:val="en-US"/>
              </w:rPr>
              <w:t xml:space="preserve"> </w:t>
            </w:r>
            <w:r w:rsidRPr="006D28D0">
              <w:rPr>
                <w:rFonts w:eastAsia="Arial" w:cs="Arial"/>
                <w:sz w:val="18"/>
                <w:szCs w:val="18"/>
                <w:lang w:val="en-US"/>
              </w:rPr>
              <w:t>those</w:t>
            </w:r>
            <w:r w:rsidRPr="006D28D0">
              <w:rPr>
                <w:rFonts w:eastAsia="Arial" w:cs="Arial"/>
                <w:spacing w:val="-2"/>
                <w:sz w:val="18"/>
                <w:szCs w:val="18"/>
                <w:lang w:val="en-US"/>
              </w:rPr>
              <w:t xml:space="preserve"> </w:t>
            </w:r>
            <w:r w:rsidRPr="006D28D0">
              <w:rPr>
                <w:rFonts w:eastAsia="Arial" w:cs="Arial"/>
                <w:sz w:val="18"/>
                <w:szCs w:val="18"/>
                <w:lang w:val="en-US"/>
              </w:rPr>
              <w:t>used</w:t>
            </w:r>
            <w:r w:rsidRPr="006D28D0">
              <w:rPr>
                <w:rFonts w:eastAsia="Arial" w:cs="Arial"/>
                <w:spacing w:val="-4"/>
                <w:sz w:val="18"/>
                <w:szCs w:val="18"/>
                <w:lang w:val="en-US"/>
              </w:rPr>
              <w:t xml:space="preserve"> </w:t>
            </w:r>
            <w:r w:rsidRPr="006D28D0">
              <w:rPr>
                <w:rFonts w:eastAsia="Arial" w:cs="Arial"/>
                <w:sz w:val="18"/>
                <w:szCs w:val="18"/>
                <w:lang w:val="en-US"/>
              </w:rPr>
              <w:t>in</w:t>
            </w:r>
            <w:r w:rsidRPr="006D28D0">
              <w:rPr>
                <w:rFonts w:eastAsia="Arial" w:cs="Arial"/>
                <w:spacing w:val="-2"/>
                <w:sz w:val="18"/>
                <w:szCs w:val="18"/>
                <w:lang w:val="en-US"/>
              </w:rPr>
              <w:t xml:space="preserve"> </w:t>
            </w:r>
            <w:r w:rsidRPr="006D28D0">
              <w:rPr>
                <w:rFonts w:eastAsia="Arial" w:cs="Arial"/>
                <w:sz w:val="18"/>
                <w:szCs w:val="18"/>
                <w:lang w:val="en-US"/>
              </w:rPr>
              <w:t>SPF</w:t>
            </w:r>
            <w:r w:rsidRPr="006D28D0">
              <w:rPr>
                <w:rFonts w:eastAsia="Arial" w:cs="Arial"/>
                <w:spacing w:val="-3"/>
                <w:sz w:val="18"/>
                <w:szCs w:val="18"/>
                <w:lang w:val="en-US"/>
              </w:rPr>
              <w:t xml:space="preserve"> </w:t>
            </w:r>
            <w:r w:rsidRPr="006D28D0">
              <w:rPr>
                <w:rFonts w:eastAsia="Arial" w:cs="Arial"/>
                <w:sz w:val="18"/>
                <w:szCs w:val="18"/>
                <w:lang w:val="en-US"/>
              </w:rPr>
              <w:t>testing.</w:t>
            </w:r>
            <w:r w:rsidRPr="006D28D0">
              <w:rPr>
                <w:rFonts w:eastAsia="Arial" w:cs="Arial"/>
                <w:spacing w:val="-2"/>
                <w:sz w:val="18"/>
                <w:szCs w:val="18"/>
                <w:lang w:val="en-US"/>
              </w:rPr>
              <w:t xml:space="preserve"> </w:t>
            </w:r>
            <w:r w:rsidRPr="006D28D0">
              <w:rPr>
                <w:rFonts w:eastAsia="Arial" w:cs="Arial"/>
                <w:sz w:val="18"/>
                <w:szCs w:val="18"/>
                <w:lang w:val="en-US"/>
              </w:rPr>
              <w:t>This application</w:t>
            </w:r>
            <w:r w:rsidRPr="006D28D0">
              <w:rPr>
                <w:rFonts w:eastAsia="Arial" w:cs="Arial"/>
                <w:spacing w:val="-4"/>
                <w:sz w:val="18"/>
                <w:szCs w:val="18"/>
                <w:lang w:val="en-US"/>
              </w:rPr>
              <w:t xml:space="preserve"> </w:t>
            </w:r>
            <w:r w:rsidRPr="006D28D0">
              <w:rPr>
                <w:rFonts w:eastAsia="Arial" w:cs="Arial"/>
                <w:sz w:val="18"/>
                <w:szCs w:val="18"/>
                <w:lang w:val="en-US"/>
              </w:rPr>
              <w:t>rate</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2</w:t>
            </w:r>
            <w:r w:rsidRPr="006D28D0">
              <w:rPr>
                <w:rFonts w:eastAsia="Arial" w:cs="Arial"/>
                <w:spacing w:val="-4"/>
                <w:sz w:val="18"/>
                <w:szCs w:val="18"/>
                <w:lang w:val="en-US"/>
              </w:rPr>
              <w:t xml:space="preserve"> </w:t>
            </w:r>
            <w:r w:rsidRPr="006D28D0">
              <w:rPr>
                <w:rFonts w:eastAsia="Arial" w:cs="Arial"/>
                <w:sz w:val="18"/>
                <w:szCs w:val="18"/>
                <w:lang w:val="en-US"/>
              </w:rPr>
              <w:t>mg/cm</w:t>
            </w:r>
            <w:r w:rsidRPr="006D28D0">
              <w:rPr>
                <w:rFonts w:eastAsia="Arial" w:cs="Arial"/>
                <w:position w:val="6"/>
                <w:sz w:val="18"/>
                <w:szCs w:val="18"/>
                <w:lang w:val="en-US"/>
              </w:rPr>
              <w:t>2</w:t>
            </w:r>
            <w:r w:rsidRPr="006D28D0">
              <w:rPr>
                <w:rFonts w:eastAsia="Arial" w:cs="Arial"/>
                <w:spacing w:val="18"/>
                <w:position w:val="6"/>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specified</w:t>
            </w:r>
            <w:r w:rsidRPr="006D28D0">
              <w:rPr>
                <w:rFonts w:eastAsia="Arial" w:cs="Arial"/>
                <w:spacing w:val="-2"/>
                <w:sz w:val="18"/>
                <w:szCs w:val="18"/>
                <w:lang w:val="en-US"/>
              </w:rPr>
              <w:t xml:space="preserve"> </w:t>
            </w:r>
            <w:r w:rsidRPr="006D28D0">
              <w:rPr>
                <w:rFonts w:eastAsia="Arial" w:cs="Arial"/>
                <w:sz w:val="18"/>
                <w:szCs w:val="18"/>
                <w:lang w:val="en-US"/>
              </w:rPr>
              <w:t>in</w:t>
            </w:r>
            <w:r w:rsidRPr="006D28D0">
              <w:rPr>
                <w:rFonts w:eastAsia="Arial" w:cs="Arial"/>
                <w:spacing w:val="-4"/>
                <w:sz w:val="18"/>
                <w:szCs w:val="18"/>
                <w:lang w:val="en-US"/>
              </w:rPr>
              <w:t xml:space="preserve"> </w:t>
            </w:r>
            <w:r w:rsidRPr="006D28D0">
              <w:rPr>
                <w:rFonts w:eastAsia="Arial" w:cs="Arial"/>
                <w:sz w:val="18"/>
                <w:szCs w:val="18"/>
                <w:lang w:val="en-US"/>
              </w:rPr>
              <w:t>the Sunscreen Standard.</w:t>
            </w:r>
          </w:p>
          <w:p w14:paraId="37BDC627" w14:textId="77777777" w:rsidR="00151B4C" w:rsidRPr="006D28D0" w:rsidRDefault="00151B4C" w:rsidP="00151B4C">
            <w:pPr>
              <w:widowControl w:val="0"/>
              <w:autoSpaceDE w:val="0"/>
              <w:autoSpaceDN w:val="0"/>
              <w:spacing w:before="81" w:after="0" w:line="256" w:lineRule="auto"/>
              <w:ind w:left="221" w:right="15"/>
              <w:rPr>
                <w:rFonts w:eastAsia="Arial" w:cs="Arial"/>
                <w:sz w:val="18"/>
                <w:szCs w:val="18"/>
                <w:lang w:val="en-US"/>
              </w:rPr>
            </w:pPr>
            <w:r w:rsidRPr="006D28D0">
              <w:rPr>
                <w:rFonts w:eastAsia="Arial" w:cs="Arial"/>
                <w:b/>
                <w:sz w:val="18"/>
                <w:szCs w:val="18"/>
                <w:lang w:val="en-US"/>
              </w:rPr>
              <w:t>NOTE:</w:t>
            </w:r>
            <w:r w:rsidRPr="006D28D0">
              <w:rPr>
                <w:rFonts w:eastAsia="Arial" w:cs="Arial"/>
                <w:b/>
                <w:spacing w:val="-3"/>
                <w:sz w:val="18"/>
                <w:szCs w:val="18"/>
                <w:lang w:val="en-US"/>
              </w:rPr>
              <w:t xml:space="preserve"> </w:t>
            </w:r>
            <w:r w:rsidRPr="006D28D0">
              <w:rPr>
                <w:rFonts w:eastAsia="Arial" w:cs="Arial"/>
                <w:sz w:val="18"/>
                <w:szCs w:val="18"/>
                <w:lang w:val="en-US"/>
              </w:rPr>
              <w:t>Appl</w:t>
            </w:r>
            <w:r w:rsidRPr="006D28D0">
              <w:rPr>
                <w:rFonts w:eastAsia="Arial" w:cs="Arial"/>
                <w:spacing w:val="-5"/>
                <w:sz w:val="18"/>
                <w:szCs w:val="18"/>
                <w:lang w:val="en-US"/>
              </w:rPr>
              <w:t xml:space="preserve"> </w:t>
            </w:r>
            <w:r w:rsidRPr="006D28D0">
              <w:rPr>
                <w:rFonts w:eastAsia="Arial" w:cs="Arial"/>
                <w:sz w:val="18"/>
                <w:szCs w:val="18"/>
                <w:lang w:val="en-US"/>
              </w:rPr>
              <w:t>rate</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not</w:t>
            </w:r>
            <w:r w:rsidRPr="006D28D0">
              <w:rPr>
                <w:rFonts w:eastAsia="Arial" w:cs="Arial"/>
                <w:spacing w:val="-4"/>
                <w:sz w:val="18"/>
                <w:szCs w:val="18"/>
                <w:lang w:val="en-US"/>
              </w:rPr>
              <w:t xml:space="preserve"> </w:t>
            </w:r>
            <w:r w:rsidRPr="006D28D0">
              <w:rPr>
                <w:rFonts w:eastAsia="Arial" w:cs="Arial"/>
                <w:sz w:val="18"/>
                <w:szCs w:val="18"/>
                <w:lang w:val="en-US"/>
              </w:rPr>
              <w:t>required</w:t>
            </w:r>
            <w:r w:rsidRPr="006D28D0">
              <w:rPr>
                <w:rFonts w:eastAsia="Arial" w:cs="Arial"/>
                <w:spacing w:val="-2"/>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Method</w:t>
            </w:r>
            <w:r w:rsidRPr="006D28D0">
              <w:rPr>
                <w:rFonts w:eastAsia="Arial" w:cs="Arial"/>
                <w:spacing w:val="-4"/>
                <w:sz w:val="18"/>
                <w:szCs w:val="18"/>
                <w:lang w:val="en-US"/>
              </w:rPr>
              <w:t xml:space="preserve"> </w:t>
            </w:r>
            <w:r w:rsidRPr="006D28D0">
              <w:rPr>
                <w:rFonts w:eastAsia="Arial" w:cs="Arial"/>
                <w:sz w:val="18"/>
                <w:szCs w:val="18"/>
                <w:lang w:val="en-US"/>
              </w:rPr>
              <w:t>2</w:t>
            </w:r>
            <w:r w:rsidRPr="006D28D0">
              <w:rPr>
                <w:rFonts w:eastAsia="Arial" w:cs="Arial"/>
                <w:spacing w:val="-2"/>
                <w:sz w:val="18"/>
                <w:szCs w:val="18"/>
                <w:lang w:val="en-US"/>
              </w:rPr>
              <w:t xml:space="preserve"> </w:t>
            </w:r>
            <w:r w:rsidRPr="006D28D0">
              <w:rPr>
                <w:rFonts w:eastAsia="Arial" w:cs="Arial"/>
                <w:sz w:val="18"/>
                <w:szCs w:val="18"/>
                <w:lang w:val="en-US"/>
              </w:rPr>
              <w:t>calculations</w:t>
            </w:r>
            <w:r w:rsidRPr="006D28D0">
              <w:rPr>
                <w:rFonts w:eastAsia="Arial" w:cs="Arial"/>
                <w:spacing w:val="-3"/>
                <w:sz w:val="18"/>
                <w:szCs w:val="18"/>
                <w:lang w:val="en-US"/>
              </w:rPr>
              <w:t xml:space="preserve"> </w:t>
            </w:r>
            <w:r w:rsidRPr="006D28D0">
              <w:rPr>
                <w:rFonts w:eastAsia="Arial" w:cs="Arial"/>
                <w:sz w:val="18"/>
                <w:szCs w:val="18"/>
                <w:lang w:val="en-US"/>
              </w:rPr>
              <w:t>because</w:t>
            </w:r>
            <w:r w:rsidRPr="006D28D0">
              <w:rPr>
                <w:rFonts w:eastAsia="Arial" w:cs="Arial"/>
                <w:spacing w:val="-4"/>
                <w:sz w:val="18"/>
                <w:szCs w:val="18"/>
                <w:lang w:val="en-US"/>
              </w:rPr>
              <w:t xml:space="preserve"> </w:t>
            </w:r>
            <w:r w:rsidRPr="006D28D0">
              <w:rPr>
                <w:rFonts w:eastAsia="Arial" w:cs="Arial"/>
                <w:sz w:val="18"/>
                <w:szCs w:val="18"/>
                <w:lang w:val="en-US"/>
              </w:rPr>
              <w:t>it</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accounted</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as</w:t>
            </w:r>
            <w:r w:rsidRPr="006D28D0">
              <w:rPr>
                <w:rFonts w:eastAsia="Arial" w:cs="Arial"/>
                <w:spacing w:val="-3"/>
                <w:sz w:val="18"/>
                <w:szCs w:val="18"/>
                <w:lang w:val="en-US"/>
              </w:rPr>
              <w:t xml:space="preserve"> </w:t>
            </w:r>
            <w:r w:rsidRPr="006D28D0">
              <w:rPr>
                <w:rFonts w:eastAsia="Arial" w:cs="Arial"/>
                <w:sz w:val="18"/>
                <w:szCs w:val="18"/>
                <w:lang w:val="en-US"/>
              </w:rPr>
              <w:t>part</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the dermal absorption study protocol.</w:t>
            </w:r>
          </w:p>
        </w:tc>
      </w:tr>
      <w:tr w:rsidR="00151B4C" w:rsidRPr="00151B4C" w14:paraId="6BD2A633" w14:textId="77777777" w:rsidTr="00C23134">
        <w:trPr>
          <w:trHeight w:val="698"/>
        </w:trPr>
        <w:tc>
          <w:tcPr>
            <w:tcW w:w="1276" w:type="dxa"/>
          </w:tcPr>
          <w:p w14:paraId="4DC05D70" w14:textId="77777777" w:rsidR="00151B4C" w:rsidRPr="006D28D0" w:rsidRDefault="00151B4C" w:rsidP="00151B4C">
            <w:pPr>
              <w:widowControl w:val="0"/>
              <w:autoSpaceDE w:val="0"/>
              <w:autoSpaceDN w:val="0"/>
              <w:spacing w:before="81" w:after="0" w:line="240" w:lineRule="auto"/>
              <w:ind w:left="220"/>
              <w:rPr>
                <w:rFonts w:eastAsia="Arial" w:cs="Arial"/>
                <w:b/>
                <w:sz w:val="18"/>
                <w:szCs w:val="18"/>
                <w:lang w:val="en-US"/>
              </w:rPr>
            </w:pPr>
            <w:r w:rsidRPr="006D28D0">
              <w:rPr>
                <w:rFonts w:eastAsia="Arial" w:cs="Arial"/>
                <w:b/>
                <w:spacing w:val="-5"/>
                <w:sz w:val="18"/>
                <w:szCs w:val="18"/>
                <w:lang w:val="en-US"/>
              </w:rPr>
              <w:t>SSA</w:t>
            </w:r>
          </w:p>
        </w:tc>
        <w:tc>
          <w:tcPr>
            <w:tcW w:w="1843" w:type="dxa"/>
          </w:tcPr>
          <w:p w14:paraId="67CD62AF" w14:textId="77777777" w:rsidR="00151B4C" w:rsidRPr="006D28D0" w:rsidRDefault="00151B4C" w:rsidP="00151B4C">
            <w:pPr>
              <w:widowControl w:val="0"/>
              <w:autoSpaceDE w:val="0"/>
              <w:autoSpaceDN w:val="0"/>
              <w:spacing w:before="81" w:after="0" w:line="256" w:lineRule="auto"/>
              <w:ind w:left="220" w:right="77"/>
              <w:rPr>
                <w:rFonts w:eastAsia="Arial" w:cs="Arial"/>
                <w:sz w:val="18"/>
                <w:szCs w:val="18"/>
                <w:lang w:val="en-US"/>
              </w:rPr>
            </w:pPr>
            <w:r w:rsidRPr="006D28D0">
              <w:rPr>
                <w:rFonts w:eastAsia="Arial" w:cs="Arial"/>
                <w:sz w:val="18"/>
                <w:szCs w:val="18"/>
                <w:lang w:val="en-US"/>
              </w:rPr>
              <w:t>Surface</w:t>
            </w:r>
            <w:r w:rsidRPr="006D28D0">
              <w:rPr>
                <w:rFonts w:eastAsia="Arial" w:cs="Arial"/>
                <w:spacing w:val="-9"/>
                <w:sz w:val="18"/>
                <w:szCs w:val="18"/>
                <w:lang w:val="en-US"/>
              </w:rPr>
              <w:t xml:space="preserve"> </w:t>
            </w:r>
            <w:r w:rsidRPr="006D28D0">
              <w:rPr>
                <w:rFonts w:eastAsia="Arial" w:cs="Arial"/>
                <w:sz w:val="18"/>
                <w:szCs w:val="18"/>
                <w:lang w:val="en-US"/>
              </w:rPr>
              <w:t>area</w:t>
            </w:r>
            <w:r w:rsidRPr="006D28D0">
              <w:rPr>
                <w:rFonts w:eastAsia="Arial" w:cs="Arial"/>
                <w:spacing w:val="-9"/>
                <w:sz w:val="18"/>
                <w:szCs w:val="18"/>
                <w:lang w:val="en-US"/>
              </w:rPr>
              <w:t xml:space="preserve"> </w:t>
            </w:r>
            <w:r w:rsidRPr="006D28D0">
              <w:rPr>
                <w:rFonts w:eastAsia="Arial" w:cs="Arial"/>
                <w:sz w:val="18"/>
                <w:szCs w:val="18"/>
                <w:lang w:val="en-US"/>
              </w:rPr>
              <w:t>of</w:t>
            </w:r>
            <w:r w:rsidRPr="006D28D0">
              <w:rPr>
                <w:rFonts w:eastAsia="Arial" w:cs="Arial"/>
                <w:spacing w:val="-11"/>
                <w:sz w:val="18"/>
                <w:szCs w:val="18"/>
                <w:lang w:val="en-US"/>
              </w:rPr>
              <w:t xml:space="preserve"> </w:t>
            </w:r>
            <w:r w:rsidRPr="006D28D0">
              <w:rPr>
                <w:rFonts w:eastAsia="Arial" w:cs="Arial"/>
                <w:sz w:val="18"/>
                <w:szCs w:val="18"/>
                <w:lang w:val="en-US"/>
              </w:rPr>
              <w:t>skin</w:t>
            </w:r>
            <w:r w:rsidRPr="006D28D0">
              <w:rPr>
                <w:rFonts w:eastAsia="Arial" w:cs="Arial"/>
                <w:spacing w:val="-11"/>
                <w:sz w:val="18"/>
                <w:szCs w:val="18"/>
                <w:lang w:val="en-US"/>
              </w:rPr>
              <w:t xml:space="preserve"> </w:t>
            </w:r>
            <w:r w:rsidRPr="006D28D0">
              <w:rPr>
                <w:rFonts w:eastAsia="Arial" w:cs="Arial"/>
                <w:sz w:val="18"/>
                <w:szCs w:val="18"/>
                <w:lang w:val="en-US"/>
              </w:rPr>
              <w:t>sunscreen applied</w:t>
            </w:r>
            <w:r w:rsidRPr="006D28D0">
              <w:rPr>
                <w:rFonts w:eastAsia="Arial" w:cs="Arial"/>
                <w:spacing w:val="-7"/>
                <w:sz w:val="18"/>
                <w:szCs w:val="18"/>
                <w:lang w:val="en-US"/>
              </w:rPr>
              <w:t xml:space="preserve"> </w:t>
            </w:r>
            <w:r w:rsidRPr="006D28D0">
              <w:rPr>
                <w:rFonts w:eastAsia="Arial" w:cs="Arial"/>
                <w:sz w:val="18"/>
                <w:szCs w:val="18"/>
                <w:lang w:val="en-US"/>
              </w:rPr>
              <w:t>to</w:t>
            </w:r>
            <w:r w:rsidRPr="006D28D0">
              <w:rPr>
                <w:rFonts w:eastAsia="Arial" w:cs="Arial"/>
                <w:spacing w:val="-4"/>
                <w:sz w:val="18"/>
                <w:szCs w:val="18"/>
                <w:lang w:val="en-US"/>
              </w:rPr>
              <w:t xml:space="preserve"> </w:t>
            </w:r>
            <w:r w:rsidRPr="006D28D0">
              <w:rPr>
                <w:rFonts w:eastAsia="Arial" w:cs="Arial"/>
                <w:sz w:val="18"/>
                <w:szCs w:val="18"/>
                <w:lang w:val="en-US"/>
              </w:rPr>
              <w:t>(cm</w:t>
            </w:r>
            <w:r w:rsidRPr="006D28D0">
              <w:rPr>
                <w:rFonts w:eastAsia="Arial" w:cs="Arial"/>
                <w:position w:val="6"/>
                <w:sz w:val="18"/>
                <w:szCs w:val="18"/>
                <w:lang w:val="en-US"/>
              </w:rPr>
              <w:t>2</w:t>
            </w:r>
            <w:r w:rsidRPr="006D28D0">
              <w:rPr>
                <w:rFonts w:eastAsia="Arial" w:cs="Arial"/>
                <w:sz w:val="18"/>
                <w:szCs w:val="18"/>
                <w:lang w:val="en-US"/>
              </w:rPr>
              <w:t>)</w:t>
            </w:r>
            <w:r w:rsidRPr="006D28D0">
              <w:rPr>
                <w:rFonts w:eastAsia="Arial" w:cs="Arial"/>
                <w:spacing w:val="-6"/>
                <w:sz w:val="18"/>
                <w:szCs w:val="18"/>
                <w:lang w:val="en-US"/>
              </w:rPr>
              <w:t xml:space="preserve"> </w:t>
            </w:r>
            <w:r w:rsidRPr="006D28D0">
              <w:rPr>
                <w:rFonts w:eastAsia="Arial" w:cs="Arial"/>
                <w:sz w:val="18"/>
                <w:szCs w:val="18"/>
                <w:lang w:val="en-US"/>
              </w:rPr>
              <w:t>per</w:t>
            </w:r>
            <w:r w:rsidRPr="006D28D0">
              <w:rPr>
                <w:rFonts w:eastAsia="Arial" w:cs="Arial"/>
                <w:spacing w:val="-5"/>
                <w:sz w:val="18"/>
                <w:szCs w:val="18"/>
                <w:lang w:val="en-US"/>
              </w:rPr>
              <w:t xml:space="preserve"> </w:t>
            </w:r>
            <w:r w:rsidRPr="006D28D0">
              <w:rPr>
                <w:rFonts w:eastAsia="Arial" w:cs="Arial"/>
                <w:spacing w:val="-2"/>
                <w:sz w:val="18"/>
                <w:szCs w:val="18"/>
                <w:lang w:val="en-US"/>
              </w:rPr>
              <w:t>application</w:t>
            </w:r>
          </w:p>
        </w:tc>
        <w:tc>
          <w:tcPr>
            <w:tcW w:w="5907" w:type="dxa"/>
            <w:vMerge w:val="restart"/>
          </w:tcPr>
          <w:p w14:paraId="4D4FBAFA" w14:textId="750B04F5" w:rsidR="00151B4C" w:rsidRPr="006D28D0" w:rsidRDefault="00151B4C" w:rsidP="00151B4C">
            <w:pPr>
              <w:widowControl w:val="0"/>
              <w:autoSpaceDE w:val="0"/>
              <w:autoSpaceDN w:val="0"/>
              <w:spacing w:after="0" w:line="264" w:lineRule="auto"/>
              <w:ind w:left="221" w:right="140"/>
              <w:rPr>
                <w:rFonts w:eastAsia="Arial" w:cs="Arial"/>
                <w:sz w:val="18"/>
                <w:szCs w:val="18"/>
                <w:lang w:val="en-US"/>
              </w:rPr>
            </w:pP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skin</w:t>
            </w:r>
            <w:r w:rsidRPr="006D28D0">
              <w:rPr>
                <w:rFonts w:eastAsia="Arial" w:cs="Arial"/>
                <w:spacing w:val="-5"/>
                <w:sz w:val="18"/>
                <w:szCs w:val="18"/>
                <w:lang w:val="en-US"/>
              </w:rPr>
              <w:t xml:space="preserve"> </w:t>
            </w:r>
            <w:r w:rsidRPr="006D28D0">
              <w:rPr>
                <w:rFonts w:eastAsia="Arial" w:cs="Arial"/>
                <w:sz w:val="18"/>
                <w:szCs w:val="18"/>
                <w:lang w:val="en-US"/>
              </w:rPr>
              <w:t>surface</w:t>
            </w:r>
            <w:r w:rsidRPr="006D28D0">
              <w:rPr>
                <w:rFonts w:eastAsia="Arial" w:cs="Arial"/>
                <w:spacing w:val="-3"/>
                <w:sz w:val="18"/>
                <w:szCs w:val="18"/>
                <w:lang w:val="en-US"/>
              </w:rPr>
              <w:t xml:space="preserve"> </w:t>
            </w:r>
            <w:r w:rsidRPr="006D28D0">
              <w:rPr>
                <w:rFonts w:eastAsia="Arial" w:cs="Arial"/>
                <w:sz w:val="18"/>
                <w:szCs w:val="18"/>
                <w:lang w:val="en-US"/>
              </w:rPr>
              <w:t>area</w:t>
            </w:r>
            <w:r w:rsidRPr="006D28D0">
              <w:rPr>
                <w:rFonts w:eastAsia="Arial" w:cs="Arial"/>
                <w:spacing w:val="-3"/>
                <w:sz w:val="18"/>
                <w:szCs w:val="18"/>
                <w:lang w:val="en-US"/>
              </w:rPr>
              <w:t xml:space="preserve"> </w:t>
            </w:r>
            <w:r w:rsidRPr="006D28D0">
              <w:rPr>
                <w:rFonts w:eastAsia="Arial" w:cs="Arial"/>
                <w:sz w:val="18"/>
                <w:szCs w:val="18"/>
                <w:lang w:val="en-US"/>
              </w:rPr>
              <w:t>exposed</w:t>
            </w:r>
            <w:r w:rsidRPr="006D28D0">
              <w:rPr>
                <w:rFonts w:eastAsia="Arial" w:cs="Arial"/>
                <w:spacing w:val="-5"/>
                <w:sz w:val="18"/>
                <w:szCs w:val="18"/>
                <w:lang w:val="en-US"/>
              </w:rPr>
              <w:t xml:space="preserve"> </w:t>
            </w:r>
            <w:r w:rsidRPr="006D28D0">
              <w:rPr>
                <w:rFonts w:eastAsia="Arial" w:cs="Arial"/>
                <w:sz w:val="18"/>
                <w:szCs w:val="18"/>
                <w:lang w:val="en-US"/>
              </w:rPr>
              <w:t>to</w:t>
            </w:r>
            <w:r w:rsidRPr="006D28D0">
              <w:rPr>
                <w:rFonts w:eastAsia="Arial" w:cs="Arial"/>
                <w:spacing w:val="-5"/>
                <w:sz w:val="18"/>
                <w:szCs w:val="18"/>
                <w:lang w:val="en-US"/>
              </w:rPr>
              <w:t xml:space="preserve"> </w:t>
            </w:r>
            <w:r w:rsidRPr="006D28D0">
              <w:rPr>
                <w:rFonts w:eastAsia="Arial" w:cs="Arial"/>
                <w:sz w:val="18"/>
                <w:szCs w:val="18"/>
                <w:lang w:val="en-US"/>
              </w:rPr>
              <w:t>sunscreen</w:t>
            </w:r>
            <w:r w:rsidRPr="006D28D0">
              <w:rPr>
                <w:rFonts w:eastAsia="Arial" w:cs="Arial"/>
                <w:spacing w:val="-5"/>
                <w:sz w:val="18"/>
                <w:szCs w:val="18"/>
                <w:lang w:val="en-US"/>
              </w:rPr>
              <w:t xml:space="preserve"> </w:t>
            </w:r>
            <w:r w:rsidRPr="006D28D0">
              <w:rPr>
                <w:rFonts w:eastAsia="Arial" w:cs="Arial"/>
                <w:sz w:val="18"/>
                <w:szCs w:val="18"/>
                <w:lang w:val="en-US"/>
              </w:rPr>
              <w:t>(per</w:t>
            </w:r>
            <w:r w:rsidRPr="006D28D0">
              <w:rPr>
                <w:rFonts w:eastAsia="Arial" w:cs="Arial"/>
                <w:spacing w:val="-2"/>
                <w:sz w:val="18"/>
                <w:szCs w:val="18"/>
                <w:lang w:val="en-US"/>
              </w:rPr>
              <w:t xml:space="preserve"> </w:t>
            </w:r>
            <w:r w:rsidRPr="006D28D0">
              <w:rPr>
                <w:rFonts w:eastAsia="Arial" w:cs="Arial"/>
                <w:sz w:val="18"/>
                <w:szCs w:val="18"/>
                <w:lang w:val="en-US"/>
              </w:rPr>
              <w:t>application)</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4"/>
                <w:sz w:val="18"/>
                <w:szCs w:val="18"/>
                <w:lang w:val="en-US"/>
              </w:rPr>
              <w:t xml:space="preserve"> </w:t>
            </w:r>
            <w:r w:rsidRPr="006D28D0">
              <w:rPr>
                <w:rFonts w:eastAsia="Arial" w:cs="Arial"/>
                <w:sz w:val="18"/>
                <w:szCs w:val="18"/>
                <w:lang w:val="en-US"/>
              </w:rPr>
              <w:t>predicted</w:t>
            </w:r>
            <w:r w:rsidRPr="006D28D0">
              <w:rPr>
                <w:rFonts w:eastAsia="Arial" w:cs="Arial"/>
                <w:spacing w:val="-3"/>
                <w:sz w:val="18"/>
                <w:szCs w:val="18"/>
                <w:lang w:val="en-US"/>
              </w:rPr>
              <w:t xml:space="preserve"> </w:t>
            </w:r>
            <w:r w:rsidRPr="006D28D0">
              <w:rPr>
                <w:rFonts w:eastAsia="Arial" w:cs="Arial"/>
                <w:sz w:val="18"/>
                <w:szCs w:val="18"/>
                <w:lang w:val="en-US"/>
              </w:rPr>
              <w:t>based</w:t>
            </w:r>
            <w:r w:rsidRPr="006D28D0">
              <w:rPr>
                <w:rFonts w:eastAsia="Arial" w:cs="Arial"/>
                <w:spacing w:val="-5"/>
                <w:sz w:val="18"/>
                <w:szCs w:val="18"/>
                <w:lang w:val="en-US"/>
              </w:rPr>
              <w:t xml:space="preserve"> </w:t>
            </w:r>
            <w:r w:rsidRPr="006D28D0">
              <w:rPr>
                <w:rFonts w:eastAsia="Arial" w:cs="Arial"/>
                <w:sz w:val="18"/>
                <w:szCs w:val="18"/>
                <w:lang w:val="en-US"/>
              </w:rPr>
              <w:t>on</w:t>
            </w:r>
            <w:r w:rsidRPr="006D28D0">
              <w:rPr>
                <w:rFonts w:eastAsia="Arial" w:cs="Arial"/>
                <w:spacing w:val="-5"/>
                <w:sz w:val="18"/>
                <w:szCs w:val="18"/>
                <w:lang w:val="en-US"/>
              </w:rPr>
              <w:t xml:space="preserve"> </w:t>
            </w:r>
            <w:r w:rsidRPr="006D28D0">
              <w:rPr>
                <w:rFonts w:eastAsia="Arial" w:cs="Arial"/>
                <w:sz w:val="18"/>
                <w:szCs w:val="18"/>
                <w:lang w:val="en-US"/>
              </w:rPr>
              <w:t>the</w:t>
            </w:r>
            <w:r w:rsidRPr="006D28D0">
              <w:rPr>
                <w:rFonts w:eastAsia="Arial" w:cs="Arial"/>
                <w:spacing w:val="-3"/>
                <w:sz w:val="18"/>
                <w:szCs w:val="18"/>
                <w:lang w:val="en-US"/>
              </w:rPr>
              <w:t xml:space="preserve"> </w:t>
            </w:r>
            <w:r w:rsidRPr="006D28D0">
              <w:rPr>
                <w:rFonts w:eastAsia="Arial" w:cs="Arial"/>
                <w:sz w:val="18"/>
                <w:szCs w:val="18"/>
                <w:lang w:val="en-US"/>
              </w:rPr>
              <w:t>practices outlined in the ASEM scenarios (</w:t>
            </w:r>
            <w:hyperlink w:anchor="Table8" w:history="1">
              <w:r w:rsidRPr="006D28D0">
                <w:rPr>
                  <w:rStyle w:val="Hyperlink"/>
                  <w:rFonts w:eastAsia="Arial" w:cs="Arial"/>
                  <w:sz w:val="18"/>
                  <w:szCs w:val="18"/>
                  <w:lang w:val="en-US"/>
                </w:rPr>
                <w:t xml:space="preserve">Table </w:t>
              </w:r>
              <w:r w:rsidR="007366F7" w:rsidRPr="006D28D0">
                <w:rPr>
                  <w:rStyle w:val="Hyperlink"/>
                  <w:rFonts w:eastAsia="Arial" w:cs="Arial"/>
                  <w:sz w:val="18"/>
                  <w:szCs w:val="18"/>
                  <w:lang w:val="en-US"/>
                </w:rPr>
                <w:t>8</w:t>
              </w:r>
            </w:hyperlink>
            <w:r w:rsidRPr="006D28D0">
              <w:rPr>
                <w:rFonts w:eastAsia="Arial" w:cs="Arial"/>
                <w:sz w:val="18"/>
                <w:szCs w:val="18"/>
                <w:lang w:val="en-US"/>
              </w:rPr>
              <w:t>) for different population groups and activities e.g. an individual working outdoors may be wearing a hat, shorts. half-sleeved shirt and footwear, and therefore the exposed skin where sunscreen is applied would include the face, neck, hands, forearms,</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lower</w:t>
            </w:r>
            <w:r w:rsidRPr="006D28D0">
              <w:rPr>
                <w:rFonts w:eastAsia="Arial" w:cs="Arial"/>
                <w:spacing w:val="-3"/>
                <w:sz w:val="18"/>
                <w:szCs w:val="18"/>
                <w:lang w:val="en-US"/>
              </w:rPr>
              <w:t xml:space="preserve"> </w:t>
            </w:r>
            <w:r w:rsidRPr="006D28D0">
              <w:rPr>
                <w:rFonts w:eastAsia="Arial" w:cs="Arial"/>
                <w:sz w:val="18"/>
                <w:szCs w:val="18"/>
                <w:lang w:val="en-US"/>
              </w:rPr>
              <w:t>legs.</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scenarios</w:t>
            </w:r>
            <w:r w:rsidRPr="006D28D0">
              <w:rPr>
                <w:rFonts w:eastAsia="Arial" w:cs="Arial"/>
                <w:spacing w:val="-3"/>
                <w:sz w:val="18"/>
                <w:szCs w:val="18"/>
                <w:lang w:val="en-US"/>
              </w:rPr>
              <w:t xml:space="preserve"> </w:t>
            </w:r>
            <w:r w:rsidRPr="006D28D0">
              <w:rPr>
                <w:rFonts w:eastAsia="Arial" w:cs="Arial"/>
                <w:sz w:val="18"/>
                <w:szCs w:val="18"/>
                <w:lang w:val="en-US"/>
              </w:rPr>
              <w:t>account</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parts</w:t>
            </w:r>
            <w:r w:rsidRPr="006D28D0">
              <w:rPr>
                <w:rFonts w:eastAsia="Arial" w:cs="Arial"/>
                <w:spacing w:val="-3"/>
                <w:sz w:val="18"/>
                <w:szCs w:val="18"/>
                <w:lang w:val="en-US"/>
              </w:rPr>
              <w:t xml:space="preserve"> </w:t>
            </w:r>
            <w:r w:rsidRPr="006D28D0">
              <w:rPr>
                <w:rFonts w:eastAsia="Arial" w:cs="Arial"/>
                <w:sz w:val="18"/>
                <w:szCs w:val="18"/>
                <w:lang w:val="en-US"/>
              </w:rPr>
              <w:t>of</w:t>
            </w:r>
            <w:r w:rsidRPr="006D28D0">
              <w:rPr>
                <w:rFonts w:eastAsia="Arial" w:cs="Arial"/>
                <w:spacing w:val="-4"/>
                <w:sz w:val="18"/>
                <w:szCs w:val="18"/>
                <w:lang w:val="en-US"/>
              </w:rPr>
              <w:t xml:space="preserve"> </w:t>
            </w:r>
            <w:r w:rsidRPr="006D28D0">
              <w:rPr>
                <w:rFonts w:eastAsia="Arial" w:cs="Arial"/>
                <w:sz w:val="18"/>
                <w:szCs w:val="18"/>
                <w:lang w:val="en-US"/>
              </w:rPr>
              <w:t>Australia</w:t>
            </w:r>
            <w:r w:rsidRPr="006D28D0">
              <w:rPr>
                <w:rFonts w:eastAsia="Arial" w:cs="Arial"/>
                <w:spacing w:val="-3"/>
                <w:sz w:val="18"/>
                <w:szCs w:val="18"/>
                <w:lang w:val="en-US"/>
              </w:rPr>
              <w:t xml:space="preserve"> </w:t>
            </w:r>
            <w:r w:rsidRPr="006D28D0">
              <w:rPr>
                <w:rFonts w:eastAsia="Arial" w:cs="Arial"/>
                <w:sz w:val="18"/>
                <w:szCs w:val="18"/>
                <w:lang w:val="en-US"/>
              </w:rPr>
              <w:t>with</w:t>
            </w:r>
            <w:r w:rsidRPr="006D28D0">
              <w:rPr>
                <w:rFonts w:eastAsia="Arial" w:cs="Arial"/>
                <w:spacing w:val="-2"/>
                <w:sz w:val="18"/>
                <w:szCs w:val="18"/>
                <w:lang w:val="en-US"/>
              </w:rPr>
              <w:t xml:space="preserve"> </w:t>
            </w:r>
            <w:r w:rsidRPr="006D28D0">
              <w:rPr>
                <w:rFonts w:eastAsia="Arial" w:cs="Arial"/>
                <w:sz w:val="18"/>
                <w:szCs w:val="18"/>
                <w:lang w:val="en-US"/>
              </w:rPr>
              <w:t>warmer</w:t>
            </w:r>
            <w:r w:rsidRPr="006D28D0">
              <w:rPr>
                <w:rFonts w:eastAsia="Arial" w:cs="Arial"/>
                <w:spacing w:val="-3"/>
                <w:sz w:val="18"/>
                <w:szCs w:val="18"/>
                <w:lang w:val="en-US"/>
              </w:rPr>
              <w:t xml:space="preserve"> </w:t>
            </w:r>
            <w:r w:rsidRPr="006D28D0">
              <w:rPr>
                <w:rFonts w:eastAsia="Arial" w:cs="Arial"/>
                <w:sz w:val="18"/>
                <w:szCs w:val="18"/>
                <w:lang w:val="en-US"/>
              </w:rPr>
              <w:t>climates</w:t>
            </w:r>
            <w:r w:rsidRPr="006D28D0">
              <w:rPr>
                <w:rFonts w:eastAsia="Arial" w:cs="Arial"/>
                <w:spacing w:val="-3"/>
                <w:sz w:val="18"/>
                <w:szCs w:val="18"/>
                <w:lang w:val="en-US"/>
              </w:rPr>
              <w:t xml:space="preserve"> </w:t>
            </w:r>
            <w:r w:rsidRPr="006D28D0">
              <w:rPr>
                <w:rFonts w:eastAsia="Arial" w:cs="Arial"/>
                <w:sz w:val="18"/>
                <w:szCs w:val="18"/>
                <w:lang w:val="en-US"/>
              </w:rPr>
              <w:t>where less clothing may be worn year-round.</w:t>
            </w:r>
          </w:p>
          <w:p w14:paraId="06C4D5C7" w14:textId="7156BA07" w:rsidR="00151B4C" w:rsidRPr="006D28D0" w:rsidRDefault="00151B4C" w:rsidP="00151B4C">
            <w:pPr>
              <w:widowControl w:val="0"/>
              <w:autoSpaceDE w:val="0"/>
              <w:autoSpaceDN w:val="0"/>
              <w:spacing w:before="79" w:after="0" w:line="264" w:lineRule="auto"/>
              <w:ind w:left="221" w:right="138"/>
              <w:rPr>
                <w:rFonts w:eastAsia="Arial" w:cs="Arial"/>
                <w:sz w:val="18"/>
                <w:szCs w:val="18"/>
                <w:lang w:val="en-US"/>
              </w:rPr>
            </w:pP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Australian</w:t>
            </w:r>
            <w:r w:rsidRPr="006D28D0">
              <w:rPr>
                <w:rFonts w:eastAsia="Arial" w:cs="Arial"/>
                <w:spacing w:val="-3"/>
                <w:sz w:val="18"/>
                <w:szCs w:val="18"/>
                <w:lang w:val="en-US"/>
              </w:rPr>
              <w:t xml:space="preserve"> </w:t>
            </w:r>
            <w:r w:rsidRPr="006D28D0">
              <w:rPr>
                <w:rFonts w:eastAsia="Arial" w:cs="Arial"/>
                <w:sz w:val="18"/>
                <w:szCs w:val="18"/>
                <w:lang w:val="en-US"/>
              </w:rPr>
              <w:t>Exposure</w:t>
            </w:r>
            <w:r w:rsidRPr="006D28D0">
              <w:rPr>
                <w:rFonts w:eastAsia="Arial" w:cs="Arial"/>
                <w:spacing w:val="-5"/>
                <w:sz w:val="18"/>
                <w:szCs w:val="18"/>
                <w:lang w:val="en-US"/>
              </w:rPr>
              <w:t xml:space="preserve"> </w:t>
            </w:r>
            <w:r w:rsidRPr="006D28D0">
              <w:rPr>
                <w:rFonts w:eastAsia="Arial" w:cs="Arial"/>
                <w:sz w:val="18"/>
                <w:szCs w:val="18"/>
                <w:lang w:val="en-US"/>
              </w:rPr>
              <w:t>Factor</w:t>
            </w:r>
            <w:r w:rsidRPr="006D28D0">
              <w:rPr>
                <w:rFonts w:eastAsia="Arial" w:cs="Arial"/>
                <w:spacing w:val="-4"/>
                <w:sz w:val="18"/>
                <w:szCs w:val="18"/>
                <w:lang w:val="en-US"/>
              </w:rPr>
              <w:t xml:space="preserve"> </w:t>
            </w:r>
            <w:r w:rsidRPr="006D28D0">
              <w:rPr>
                <w:rFonts w:eastAsia="Arial" w:cs="Arial"/>
                <w:sz w:val="18"/>
                <w:szCs w:val="18"/>
                <w:lang w:val="en-US"/>
              </w:rPr>
              <w:t>Guidance</w:t>
            </w:r>
            <w:r w:rsidRPr="006D28D0">
              <w:rPr>
                <w:rFonts w:eastAsia="Arial" w:cs="Arial"/>
                <w:spacing w:val="-2"/>
                <w:sz w:val="18"/>
                <w:szCs w:val="18"/>
                <w:lang w:val="en-US"/>
              </w:rPr>
              <w:t xml:space="preserve"> </w:t>
            </w:r>
            <w:r w:rsidRPr="006D28D0">
              <w:rPr>
                <w:rFonts w:eastAsia="Arial" w:cs="Arial"/>
                <w:sz w:val="18"/>
                <w:szCs w:val="18"/>
                <w:lang w:val="en-US"/>
              </w:rPr>
              <w:t>publication</w:t>
            </w:r>
            <w:r w:rsidRPr="006D28D0">
              <w:rPr>
                <w:rFonts w:eastAsia="Arial" w:cs="Arial"/>
                <w:spacing w:val="-3"/>
                <w:sz w:val="18"/>
                <w:szCs w:val="18"/>
                <w:lang w:val="en-US"/>
              </w:rPr>
              <w:t xml:space="preserve"> </w:t>
            </w:r>
            <w:r w:rsidRPr="006D28D0">
              <w:rPr>
                <w:rFonts w:eastAsia="Arial" w:cs="Arial"/>
                <w:sz w:val="18"/>
                <w:szCs w:val="18"/>
                <w:lang w:val="en-US"/>
              </w:rPr>
              <w:t>(enHealth)</w:t>
            </w:r>
            <w:r w:rsidRPr="006D28D0">
              <w:rPr>
                <w:rFonts w:eastAsia="Arial" w:cs="Arial"/>
                <w:spacing w:val="-4"/>
                <w:sz w:val="18"/>
                <w:szCs w:val="18"/>
                <w:lang w:val="en-US"/>
              </w:rPr>
              <w:t xml:space="preserve"> </w:t>
            </w:r>
            <w:r w:rsidRPr="006D28D0">
              <w:rPr>
                <w:rFonts w:eastAsia="Arial" w:cs="Arial"/>
                <w:sz w:val="18"/>
                <w:szCs w:val="18"/>
                <w:lang w:val="en-US"/>
              </w:rPr>
              <w:t>(</w:t>
            </w:r>
            <w:r w:rsidRPr="006D28D0">
              <w:rPr>
                <w:rFonts w:eastAsia="Arial" w:cs="Arial"/>
                <w:color w:val="232323"/>
                <w:sz w:val="18"/>
                <w:szCs w:val="18"/>
                <w:lang w:val="en-US"/>
              </w:rPr>
              <w:t xml:space="preserve">DOHAC </w:t>
            </w:r>
            <w:r w:rsidRPr="006D28D0">
              <w:rPr>
                <w:rFonts w:eastAsia="Arial" w:cs="Arial"/>
                <w:sz w:val="18"/>
                <w:szCs w:val="18"/>
                <w:lang w:val="en-US"/>
              </w:rPr>
              <w:t>2012)</w:t>
            </w:r>
            <w:r w:rsidRPr="006D28D0">
              <w:rPr>
                <w:rFonts w:eastAsia="Arial" w:cs="Arial"/>
                <w:spacing w:val="-2"/>
                <w:sz w:val="18"/>
                <w:szCs w:val="18"/>
                <w:lang w:val="en-US"/>
              </w:rPr>
              <w:t xml:space="preserve"> </w:t>
            </w:r>
            <w:r w:rsidRPr="006D28D0">
              <w:rPr>
                <w:rFonts w:eastAsia="Arial" w:cs="Arial"/>
                <w:sz w:val="18"/>
                <w:szCs w:val="18"/>
                <w:lang w:val="en-US"/>
              </w:rPr>
              <w:t>provides</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 xml:space="preserve">most up-to-date information that can assist with assessing the human health risks from environmental hazards. It contains information on skin surface area (for different body parts) and body weight for adults and children. The data underlying this information is reliant on overseas data derived from either empirical data (actual measurements of skin areas) or algorithms that have extrapolated from weight and height measurements to generate skin (body) surface area values. The data utilised for the ASEM is based on </w:t>
            </w:r>
            <w:r w:rsidRPr="006D28D0">
              <w:rPr>
                <w:rFonts w:eastAsia="Arial" w:cs="Arial"/>
                <w:color w:val="232323"/>
                <w:sz w:val="18"/>
                <w:szCs w:val="18"/>
                <w:lang w:val="en-US"/>
              </w:rPr>
              <w:t xml:space="preserve">enHealth </w:t>
            </w:r>
            <w:r w:rsidRPr="006D28D0">
              <w:rPr>
                <w:rFonts w:eastAsia="Arial" w:cs="Arial"/>
                <w:sz w:val="18"/>
                <w:szCs w:val="18"/>
                <w:lang w:val="en-US"/>
              </w:rPr>
              <w:t>(DOHAC 2012) data in:</w:t>
            </w:r>
          </w:p>
          <w:p w14:paraId="4849D54F" w14:textId="77777777" w:rsidR="00151B4C" w:rsidRPr="006D28D0" w:rsidRDefault="00151B4C">
            <w:pPr>
              <w:widowControl w:val="0"/>
              <w:numPr>
                <w:ilvl w:val="0"/>
                <w:numId w:val="13"/>
              </w:numPr>
              <w:tabs>
                <w:tab w:val="left" w:pos="828"/>
              </w:tabs>
              <w:autoSpaceDE w:val="0"/>
              <w:autoSpaceDN w:val="0"/>
              <w:spacing w:before="81" w:after="0"/>
              <w:ind w:right="813"/>
              <w:rPr>
                <w:rFonts w:eastAsia="Arial" w:cs="Arial"/>
                <w:sz w:val="18"/>
                <w:szCs w:val="18"/>
                <w:lang w:val="en-US"/>
              </w:rPr>
            </w:pPr>
            <w:r w:rsidRPr="006D28D0">
              <w:rPr>
                <w:rFonts w:eastAsia="Arial" w:cs="Arial"/>
                <w:sz w:val="18"/>
                <w:szCs w:val="18"/>
                <w:lang w:val="en-US"/>
              </w:rPr>
              <w:t>Table</w:t>
            </w:r>
            <w:r w:rsidRPr="006D28D0">
              <w:rPr>
                <w:rFonts w:eastAsia="Arial" w:cs="Arial"/>
                <w:spacing w:val="-2"/>
                <w:sz w:val="18"/>
                <w:szCs w:val="18"/>
                <w:lang w:val="en-US"/>
              </w:rPr>
              <w:t xml:space="preserve"> </w:t>
            </w:r>
            <w:r w:rsidRPr="006D28D0">
              <w:rPr>
                <w:rFonts w:eastAsia="Arial" w:cs="Arial"/>
                <w:sz w:val="18"/>
                <w:szCs w:val="18"/>
                <w:lang w:val="en-US"/>
              </w:rPr>
              <w:t>3.2.3</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3.2.5</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skin</w:t>
            </w:r>
            <w:r w:rsidRPr="006D28D0">
              <w:rPr>
                <w:rFonts w:eastAsia="Arial" w:cs="Arial"/>
                <w:spacing w:val="-4"/>
                <w:sz w:val="18"/>
                <w:szCs w:val="18"/>
                <w:lang w:val="en-US"/>
              </w:rPr>
              <w:t xml:space="preserve"> </w:t>
            </w:r>
            <w:r w:rsidRPr="006D28D0">
              <w:rPr>
                <w:rFonts w:eastAsia="Arial" w:cs="Arial"/>
                <w:sz w:val="18"/>
                <w:szCs w:val="18"/>
                <w:lang w:val="en-US"/>
              </w:rPr>
              <w:t>surface</w:t>
            </w:r>
            <w:r w:rsidRPr="006D28D0">
              <w:rPr>
                <w:rFonts w:eastAsia="Arial" w:cs="Arial"/>
                <w:spacing w:val="-2"/>
                <w:sz w:val="18"/>
                <w:szCs w:val="18"/>
                <w:lang w:val="en-US"/>
              </w:rPr>
              <w:t xml:space="preserve"> </w:t>
            </w:r>
            <w:r w:rsidRPr="006D28D0">
              <w:rPr>
                <w:rFonts w:eastAsia="Arial" w:cs="Arial"/>
                <w:sz w:val="18"/>
                <w:szCs w:val="18"/>
                <w:lang w:val="en-US"/>
              </w:rPr>
              <w:t>area</w:t>
            </w:r>
            <w:r w:rsidRPr="006D28D0">
              <w:rPr>
                <w:rFonts w:eastAsia="Arial" w:cs="Arial"/>
                <w:spacing w:val="-2"/>
                <w:sz w:val="18"/>
                <w:szCs w:val="18"/>
                <w:lang w:val="en-US"/>
              </w:rPr>
              <w:t xml:space="preserve"> </w:t>
            </w:r>
            <w:r w:rsidRPr="006D28D0">
              <w:rPr>
                <w:rFonts w:eastAsia="Arial" w:cs="Arial"/>
                <w:sz w:val="18"/>
                <w:szCs w:val="18"/>
                <w:lang w:val="en-US"/>
              </w:rPr>
              <w:t>of</w:t>
            </w:r>
            <w:r w:rsidRPr="006D28D0">
              <w:rPr>
                <w:rFonts w:eastAsia="Arial" w:cs="Arial"/>
                <w:spacing w:val="-4"/>
                <w:sz w:val="18"/>
                <w:szCs w:val="18"/>
                <w:lang w:val="en-US"/>
              </w:rPr>
              <w:t xml:space="preserve"> </w:t>
            </w:r>
            <w:r w:rsidRPr="006D28D0">
              <w:rPr>
                <w:rFonts w:eastAsia="Arial" w:cs="Arial"/>
                <w:sz w:val="18"/>
                <w:szCs w:val="18"/>
                <w:lang w:val="en-US"/>
              </w:rPr>
              <w:t>body</w:t>
            </w:r>
            <w:r w:rsidRPr="006D28D0">
              <w:rPr>
                <w:rFonts w:eastAsia="Arial" w:cs="Arial"/>
                <w:spacing w:val="-3"/>
                <w:sz w:val="18"/>
                <w:szCs w:val="18"/>
                <w:lang w:val="en-US"/>
              </w:rPr>
              <w:t xml:space="preserve"> </w:t>
            </w:r>
            <w:r w:rsidRPr="006D28D0">
              <w:rPr>
                <w:rFonts w:eastAsia="Arial" w:cs="Arial"/>
                <w:sz w:val="18"/>
                <w:szCs w:val="18"/>
                <w:lang w:val="en-US"/>
              </w:rPr>
              <w:t>parts</w:t>
            </w:r>
            <w:r w:rsidRPr="006D28D0">
              <w:rPr>
                <w:rFonts w:eastAsia="Arial" w:cs="Arial"/>
                <w:spacing w:val="-3"/>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adults,</w:t>
            </w:r>
            <w:r w:rsidRPr="006D28D0">
              <w:rPr>
                <w:rFonts w:eastAsia="Arial" w:cs="Arial"/>
                <w:spacing w:val="-4"/>
                <w:sz w:val="18"/>
                <w:szCs w:val="18"/>
                <w:lang w:val="en-US"/>
              </w:rPr>
              <w:t xml:space="preserve"> </w:t>
            </w:r>
            <w:r w:rsidRPr="006D28D0">
              <w:rPr>
                <w:rFonts w:eastAsia="Arial" w:cs="Arial"/>
                <w:sz w:val="18"/>
                <w:szCs w:val="18"/>
                <w:lang w:val="en-US"/>
              </w:rPr>
              <w:t>adolescents</w:t>
            </w:r>
            <w:r w:rsidRPr="006D28D0">
              <w:rPr>
                <w:rFonts w:eastAsia="Arial" w:cs="Arial"/>
                <w:spacing w:val="-3"/>
                <w:sz w:val="18"/>
                <w:szCs w:val="18"/>
                <w:lang w:val="en-US"/>
              </w:rPr>
              <w:t xml:space="preserve"> </w:t>
            </w:r>
            <w:r w:rsidRPr="006D28D0">
              <w:rPr>
                <w:rFonts w:eastAsia="Arial" w:cs="Arial"/>
                <w:sz w:val="18"/>
                <w:szCs w:val="18"/>
                <w:lang w:val="en-US"/>
              </w:rPr>
              <w:t xml:space="preserve">and </w:t>
            </w:r>
            <w:r w:rsidRPr="006D28D0">
              <w:rPr>
                <w:rFonts w:eastAsia="Arial" w:cs="Arial"/>
                <w:spacing w:val="-2"/>
                <w:sz w:val="18"/>
                <w:szCs w:val="18"/>
                <w:lang w:val="en-US"/>
              </w:rPr>
              <w:t>children</w:t>
            </w:r>
          </w:p>
          <w:p w14:paraId="5389235F" w14:textId="77777777" w:rsidR="00151B4C" w:rsidRPr="006D28D0" w:rsidRDefault="00151B4C">
            <w:pPr>
              <w:widowControl w:val="0"/>
              <w:numPr>
                <w:ilvl w:val="0"/>
                <w:numId w:val="13"/>
              </w:numPr>
              <w:tabs>
                <w:tab w:val="left" w:pos="828"/>
              </w:tabs>
              <w:autoSpaceDE w:val="0"/>
              <w:autoSpaceDN w:val="0"/>
              <w:spacing w:before="87" w:after="0" w:line="240" w:lineRule="auto"/>
              <w:rPr>
                <w:rFonts w:eastAsia="Arial" w:cs="Arial"/>
                <w:sz w:val="18"/>
                <w:szCs w:val="18"/>
                <w:lang w:val="en-US"/>
              </w:rPr>
            </w:pPr>
            <w:r w:rsidRPr="006D28D0">
              <w:rPr>
                <w:rFonts w:eastAsia="Arial" w:cs="Arial"/>
                <w:sz w:val="18"/>
                <w:szCs w:val="18"/>
                <w:lang w:val="en-US"/>
              </w:rPr>
              <w:t>Table</w:t>
            </w:r>
            <w:r w:rsidRPr="006D28D0">
              <w:rPr>
                <w:rFonts w:eastAsia="Arial" w:cs="Arial"/>
                <w:spacing w:val="-5"/>
                <w:sz w:val="18"/>
                <w:szCs w:val="18"/>
                <w:lang w:val="en-US"/>
              </w:rPr>
              <w:t xml:space="preserve"> </w:t>
            </w:r>
            <w:r w:rsidRPr="006D28D0">
              <w:rPr>
                <w:rFonts w:eastAsia="Arial" w:cs="Arial"/>
                <w:sz w:val="18"/>
                <w:szCs w:val="18"/>
                <w:lang w:val="en-US"/>
              </w:rPr>
              <w:t>2.2.1</w:t>
            </w:r>
            <w:r w:rsidRPr="006D28D0">
              <w:rPr>
                <w:rFonts w:eastAsia="Arial" w:cs="Arial"/>
                <w:spacing w:val="-6"/>
                <w:sz w:val="18"/>
                <w:szCs w:val="18"/>
                <w:lang w:val="en-US"/>
              </w:rPr>
              <w:t xml:space="preserve"> </w:t>
            </w:r>
            <w:r w:rsidRPr="006D28D0">
              <w:rPr>
                <w:rFonts w:eastAsia="Arial" w:cs="Arial"/>
                <w:sz w:val="18"/>
                <w:szCs w:val="18"/>
                <w:lang w:val="en-US"/>
              </w:rPr>
              <w:t>and</w:t>
            </w:r>
            <w:r w:rsidRPr="006D28D0">
              <w:rPr>
                <w:rFonts w:eastAsia="Arial" w:cs="Arial"/>
                <w:spacing w:val="-5"/>
                <w:sz w:val="18"/>
                <w:szCs w:val="18"/>
                <w:lang w:val="en-US"/>
              </w:rPr>
              <w:t xml:space="preserve"> </w:t>
            </w:r>
            <w:r w:rsidRPr="006D28D0">
              <w:rPr>
                <w:rFonts w:eastAsia="Arial" w:cs="Arial"/>
                <w:sz w:val="18"/>
                <w:szCs w:val="18"/>
                <w:lang w:val="en-US"/>
              </w:rPr>
              <w:t>E2</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5"/>
                <w:sz w:val="18"/>
                <w:szCs w:val="18"/>
                <w:lang w:val="en-US"/>
              </w:rPr>
              <w:t xml:space="preserve"> </w:t>
            </w:r>
            <w:r w:rsidRPr="006D28D0">
              <w:rPr>
                <w:rFonts w:eastAsia="Arial" w:cs="Arial"/>
                <w:sz w:val="18"/>
                <w:szCs w:val="18"/>
                <w:lang w:val="en-US"/>
              </w:rPr>
              <w:t>body</w:t>
            </w:r>
            <w:r w:rsidRPr="006D28D0">
              <w:rPr>
                <w:rFonts w:eastAsia="Arial" w:cs="Arial"/>
                <w:spacing w:val="-6"/>
                <w:sz w:val="18"/>
                <w:szCs w:val="18"/>
                <w:lang w:val="en-US"/>
              </w:rPr>
              <w:t xml:space="preserve"> </w:t>
            </w:r>
            <w:r w:rsidRPr="006D28D0">
              <w:rPr>
                <w:rFonts w:eastAsia="Arial" w:cs="Arial"/>
                <w:sz w:val="18"/>
                <w:szCs w:val="18"/>
                <w:lang w:val="en-US"/>
              </w:rPr>
              <w:t>weights</w:t>
            </w:r>
            <w:r w:rsidRPr="006D28D0">
              <w:rPr>
                <w:rFonts w:eastAsia="Arial" w:cs="Arial"/>
                <w:spacing w:val="-5"/>
                <w:sz w:val="18"/>
                <w:szCs w:val="18"/>
                <w:lang w:val="en-US"/>
              </w:rPr>
              <w:t xml:space="preserve"> </w:t>
            </w:r>
            <w:r w:rsidRPr="006D28D0">
              <w:rPr>
                <w:rFonts w:eastAsia="Arial" w:cs="Arial"/>
                <w:sz w:val="18"/>
                <w:szCs w:val="18"/>
                <w:lang w:val="en-US"/>
              </w:rPr>
              <w:t>for</w:t>
            </w:r>
            <w:r w:rsidRPr="006D28D0">
              <w:rPr>
                <w:rFonts w:eastAsia="Arial" w:cs="Arial"/>
                <w:spacing w:val="-5"/>
                <w:sz w:val="18"/>
                <w:szCs w:val="18"/>
                <w:lang w:val="en-US"/>
              </w:rPr>
              <w:t xml:space="preserve"> </w:t>
            </w:r>
            <w:r w:rsidRPr="006D28D0">
              <w:rPr>
                <w:rFonts w:eastAsia="Arial" w:cs="Arial"/>
                <w:sz w:val="18"/>
                <w:szCs w:val="18"/>
                <w:lang w:val="en-US"/>
              </w:rPr>
              <w:t>adults</w:t>
            </w:r>
            <w:r w:rsidRPr="006D28D0">
              <w:rPr>
                <w:rFonts w:eastAsia="Arial" w:cs="Arial"/>
                <w:spacing w:val="-6"/>
                <w:sz w:val="18"/>
                <w:szCs w:val="18"/>
                <w:lang w:val="en-US"/>
              </w:rPr>
              <w:t xml:space="preserve"> </w:t>
            </w:r>
            <w:r w:rsidRPr="006D28D0">
              <w:rPr>
                <w:rFonts w:eastAsia="Arial" w:cs="Arial"/>
                <w:sz w:val="18"/>
                <w:szCs w:val="18"/>
                <w:lang w:val="en-US"/>
              </w:rPr>
              <w:t>(≥18</w:t>
            </w:r>
            <w:r w:rsidRPr="006D28D0">
              <w:rPr>
                <w:rFonts w:eastAsia="Arial" w:cs="Arial"/>
                <w:spacing w:val="-6"/>
                <w:sz w:val="18"/>
                <w:szCs w:val="18"/>
                <w:lang w:val="en-US"/>
              </w:rPr>
              <w:t xml:space="preserve"> </w:t>
            </w:r>
            <w:r w:rsidRPr="006D28D0">
              <w:rPr>
                <w:rFonts w:eastAsia="Arial" w:cs="Arial"/>
                <w:sz w:val="18"/>
                <w:szCs w:val="18"/>
                <w:lang w:val="en-US"/>
              </w:rPr>
              <w:t>years),</w:t>
            </w:r>
            <w:r w:rsidRPr="006D28D0">
              <w:rPr>
                <w:rFonts w:eastAsia="Arial" w:cs="Arial"/>
                <w:spacing w:val="-6"/>
                <w:sz w:val="18"/>
                <w:szCs w:val="18"/>
                <w:lang w:val="en-US"/>
              </w:rPr>
              <w:t xml:space="preserve"> </w:t>
            </w:r>
            <w:r w:rsidRPr="006D28D0">
              <w:rPr>
                <w:rFonts w:eastAsia="Arial" w:cs="Arial"/>
                <w:sz w:val="18"/>
                <w:szCs w:val="18"/>
                <w:lang w:val="en-US"/>
              </w:rPr>
              <w:t>adolescents</w:t>
            </w:r>
            <w:r w:rsidRPr="006D28D0">
              <w:rPr>
                <w:rFonts w:eastAsia="Arial" w:cs="Arial"/>
                <w:spacing w:val="-6"/>
                <w:sz w:val="18"/>
                <w:szCs w:val="18"/>
                <w:lang w:val="en-US"/>
              </w:rPr>
              <w:t xml:space="preserve"> </w:t>
            </w:r>
            <w:r w:rsidRPr="006D28D0">
              <w:rPr>
                <w:rFonts w:eastAsia="Arial" w:cs="Arial"/>
                <w:sz w:val="18"/>
                <w:szCs w:val="18"/>
                <w:lang w:val="en-US"/>
              </w:rPr>
              <w:t>and</w:t>
            </w:r>
            <w:r w:rsidRPr="006D28D0">
              <w:rPr>
                <w:rFonts w:eastAsia="Arial" w:cs="Arial"/>
                <w:spacing w:val="-6"/>
                <w:sz w:val="18"/>
                <w:szCs w:val="18"/>
                <w:lang w:val="en-US"/>
              </w:rPr>
              <w:t xml:space="preserve"> </w:t>
            </w:r>
            <w:r w:rsidRPr="006D28D0">
              <w:rPr>
                <w:rFonts w:eastAsia="Arial" w:cs="Arial"/>
                <w:spacing w:val="-2"/>
                <w:sz w:val="18"/>
                <w:szCs w:val="18"/>
                <w:lang w:val="en-US"/>
              </w:rPr>
              <w:t>children</w:t>
            </w:r>
          </w:p>
          <w:p w14:paraId="4F1ECE06" w14:textId="5E052D5C" w:rsidR="00151B4C" w:rsidRPr="006D28D0" w:rsidRDefault="00151B4C" w:rsidP="00151B4C">
            <w:pPr>
              <w:widowControl w:val="0"/>
              <w:autoSpaceDE w:val="0"/>
              <w:autoSpaceDN w:val="0"/>
              <w:spacing w:before="81" w:after="0" w:line="264" w:lineRule="auto"/>
              <w:ind w:left="221" w:right="140"/>
              <w:rPr>
                <w:rFonts w:eastAsia="Arial" w:cs="Arial"/>
                <w:sz w:val="18"/>
                <w:szCs w:val="18"/>
                <w:lang w:val="en-US"/>
              </w:rPr>
            </w:pPr>
            <w:r w:rsidRPr="006D28D0">
              <w:rPr>
                <w:rFonts w:eastAsia="Arial" w:cs="Arial"/>
                <w:sz w:val="18"/>
                <w:szCs w:val="18"/>
                <w:lang w:val="en-US"/>
              </w:rPr>
              <w:t>enHealth</w:t>
            </w:r>
            <w:r w:rsidRPr="006D28D0">
              <w:rPr>
                <w:rFonts w:eastAsia="Arial" w:cs="Arial"/>
                <w:spacing w:val="-4"/>
                <w:sz w:val="18"/>
                <w:szCs w:val="18"/>
                <w:lang w:val="en-US"/>
              </w:rPr>
              <w:t xml:space="preserve"> </w:t>
            </w:r>
            <w:r w:rsidRPr="006D28D0">
              <w:rPr>
                <w:rFonts w:eastAsia="Arial" w:cs="Arial"/>
                <w:sz w:val="18"/>
                <w:szCs w:val="18"/>
                <w:lang w:val="en-US"/>
              </w:rPr>
              <w:t>reports</w:t>
            </w:r>
            <w:r w:rsidRPr="006D28D0">
              <w:rPr>
                <w:rFonts w:eastAsia="Arial" w:cs="Arial"/>
                <w:spacing w:val="-3"/>
                <w:sz w:val="18"/>
                <w:szCs w:val="18"/>
                <w:lang w:val="en-US"/>
              </w:rPr>
              <w:t xml:space="preserve"> </w:t>
            </w:r>
            <w:r w:rsidRPr="006D28D0">
              <w:rPr>
                <w:rFonts w:eastAsia="Arial" w:cs="Arial"/>
                <w:sz w:val="18"/>
                <w:szCs w:val="18"/>
                <w:lang w:val="en-US"/>
              </w:rPr>
              <w:t>both</w:t>
            </w:r>
            <w:r w:rsidRPr="006D28D0">
              <w:rPr>
                <w:rFonts w:eastAsia="Arial" w:cs="Arial"/>
                <w:spacing w:val="-2"/>
                <w:sz w:val="18"/>
                <w:szCs w:val="18"/>
                <w:lang w:val="en-US"/>
              </w:rPr>
              <w:t xml:space="preserve"> </w:t>
            </w:r>
            <w:r w:rsidRPr="006D28D0">
              <w:rPr>
                <w:rFonts w:eastAsia="Arial" w:cs="Arial"/>
                <w:sz w:val="18"/>
                <w:szCs w:val="18"/>
                <w:lang w:val="en-US"/>
              </w:rPr>
              <w:t>mean</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4"/>
                <w:sz w:val="18"/>
                <w:szCs w:val="18"/>
                <w:lang w:val="en-US"/>
              </w:rPr>
              <w:t xml:space="preserve"> </w:t>
            </w:r>
            <w:r w:rsidRPr="006D28D0">
              <w:rPr>
                <w:rFonts w:eastAsia="Arial" w:cs="Arial"/>
                <w:sz w:val="18"/>
                <w:szCs w:val="18"/>
                <w:lang w:val="en-US"/>
              </w:rPr>
              <w:t>95</w:t>
            </w:r>
            <w:r w:rsidR="00DF3F30" w:rsidRPr="006D28D0">
              <w:rPr>
                <w:rFonts w:eastAsia="Arial" w:cs="Arial"/>
                <w:sz w:val="18"/>
                <w:szCs w:val="18"/>
                <w:vertAlign w:val="superscript"/>
                <w:lang w:val="en-US"/>
              </w:rPr>
              <w:t>th</w:t>
            </w:r>
            <w:r w:rsidR="00DF3F30" w:rsidRPr="006D28D0">
              <w:rPr>
                <w:rFonts w:eastAsia="Arial" w:cs="Arial"/>
                <w:sz w:val="18"/>
                <w:szCs w:val="18"/>
                <w:lang w:val="en-US"/>
              </w:rPr>
              <w:t xml:space="preserve"> </w:t>
            </w:r>
            <w:r w:rsidRPr="006D28D0">
              <w:rPr>
                <w:rFonts w:eastAsia="Arial" w:cs="Arial"/>
                <w:sz w:val="18"/>
                <w:szCs w:val="18"/>
                <w:lang w:val="en-US"/>
              </w:rPr>
              <w:t>percentile</w:t>
            </w:r>
            <w:r w:rsidRPr="006D28D0">
              <w:rPr>
                <w:rFonts w:eastAsia="Arial" w:cs="Arial"/>
                <w:spacing w:val="-4"/>
                <w:sz w:val="18"/>
                <w:szCs w:val="18"/>
                <w:lang w:val="en-US"/>
              </w:rPr>
              <w:t xml:space="preserve"> </w:t>
            </w:r>
            <w:r w:rsidRPr="006D28D0">
              <w:rPr>
                <w:rFonts w:eastAsia="Arial" w:cs="Arial"/>
                <w:sz w:val="18"/>
                <w:szCs w:val="18"/>
                <w:lang w:val="en-US"/>
              </w:rPr>
              <w:t>value</w:t>
            </w:r>
            <w:r w:rsidRPr="006D28D0">
              <w:rPr>
                <w:rFonts w:eastAsia="Arial" w:cs="Arial"/>
                <w:spacing w:val="-2"/>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SSA</w:t>
            </w:r>
            <w:r w:rsidRPr="006D28D0">
              <w:rPr>
                <w:rFonts w:eastAsia="Arial" w:cs="Arial"/>
                <w:spacing w:val="-2"/>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BW</w:t>
            </w:r>
            <w:r w:rsidRPr="006D28D0">
              <w:rPr>
                <w:rFonts w:eastAsia="Arial" w:cs="Arial"/>
                <w:spacing w:val="-4"/>
                <w:sz w:val="18"/>
                <w:szCs w:val="18"/>
                <w:lang w:val="en-US"/>
              </w:rPr>
              <w:t xml:space="preserve"> </w:t>
            </w:r>
            <w:r w:rsidRPr="006D28D0">
              <w:rPr>
                <w:rFonts w:eastAsia="Arial" w:cs="Arial"/>
                <w:sz w:val="18"/>
                <w:szCs w:val="18"/>
                <w:lang w:val="en-US"/>
              </w:rPr>
              <w:t>(DOHAC</w:t>
            </w:r>
            <w:r w:rsidRPr="006D28D0">
              <w:rPr>
                <w:rFonts w:eastAsia="Arial" w:cs="Arial"/>
                <w:spacing w:val="-1"/>
                <w:sz w:val="18"/>
                <w:szCs w:val="18"/>
                <w:lang w:val="en-US"/>
              </w:rPr>
              <w:t xml:space="preserve"> </w:t>
            </w:r>
            <w:r w:rsidRPr="006D28D0">
              <w:rPr>
                <w:rFonts w:eastAsia="Arial" w:cs="Arial"/>
                <w:sz w:val="18"/>
                <w:szCs w:val="18"/>
                <w:lang w:val="en-US"/>
              </w:rPr>
              <w:t>2012).</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TGA has referred to the 95</w:t>
            </w:r>
            <w:r w:rsidR="00DF3F30" w:rsidRPr="006D28D0">
              <w:rPr>
                <w:rFonts w:eastAsia="Arial" w:cs="Arial"/>
                <w:sz w:val="18"/>
                <w:szCs w:val="18"/>
                <w:vertAlign w:val="superscript"/>
                <w:lang w:val="en-US"/>
              </w:rPr>
              <w:t>th</w:t>
            </w:r>
            <w:r w:rsidR="00DF3F30" w:rsidRPr="006D28D0">
              <w:rPr>
                <w:rFonts w:eastAsia="Arial" w:cs="Arial"/>
                <w:sz w:val="18"/>
                <w:szCs w:val="18"/>
                <w:lang w:val="en-US"/>
              </w:rPr>
              <w:t xml:space="preserve"> </w:t>
            </w:r>
            <w:r w:rsidRPr="006D28D0">
              <w:rPr>
                <w:rFonts w:eastAsia="Arial" w:cs="Arial"/>
                <w:sz w:val="18"/>
                <w:szCs w:val="18"/>
                <w:lang w:val="en-US"/>
              </w:rPr>
              <w:t>percentile SSA and BW data for the ASEM calculations.</w:t>
            </w:r>
          </w:p>
        </w:tc>
      </w:tr>
      <w:tr w:rsidR="00151B4C" w:rsidRPr="00151B4C" w14:paraId="10FF5744" w14:textId="77777777" w:rsidTr="00C23134">
        <w:trPr>
          <w:trHeight w:val="698"/>
        </w:trPr>
        <w:tc>
          <w:tcPr>
            <w:tcW w:w="1276" w:type="dxa"/>
          </w:tcPr>
          <w:p w14:paraId="0B3EF38F"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position w:val="2"/>
                <w:sz w:val="18"/>
                <w:szCs w:val="18"/>
                <w:lang w:val="en-US"/>
              </w:rPr>
              <w:t>Bw</w:t>
            </w:r>
            <w:r w:rsidRPr="000C428E">
              <w:rPr>
                <w:rFonts w:eastAsia="Arial" w:cs="Arial"/>
                <w:b/>
                <w:spacing w:val="-5"/>
                <w:sz w:val="18"/>
                <w:szCs w:val="18"/>
                <w:lang w:val="en-US"/>
              </w:rPr>
              <w:t>t</w:t>
            </w:r>
          </w:p>
        </w:tc>
        <w:tc>
          <w:tcPr>
            <w:tcW w:w="1843" w:type="dxa"/>
          </w:tcPr>
          <w:p w14:paraId="09126056"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Body</w:t>
            </w:r>
            <w:r w:rsidRPr="000C428E">
              <w:rPr>
                <w:rFonts w:eastAsia="Arial" w:cs="Arial"/>
                <w:spacing w:val="-5"/>
                <w:sz w:val="18"/>
                <w:szCs w:val="18"/>
                <w:lang w:val="en-US"/>
              </w:rPr>
              <w:t xml:space="preserve"> </w:t>
            </w:r>
            <w:r w:rsidRPr="000C428E">
              <w:rPr>
                <w:rFonts w:eastAsia="Arial" w:cs="Arial"/>
                <w:sz w:val="18"/>
                <w:szCs w:val="18"/>
                <w:lang w:val="en-US"/>
              </w:rPr>
              <w:t>weight</w:t>
            </w:r>
            <w:r w:rsidRPr="000C428E">
              <w:rPr>
                <w:rFonts w:eastAsia="Arial" w:cs="Arial"/>
                <w:spacing w:val="-4"/>
                <w:sz w:val="18"/>
                <w:szCs w:val="18"/>
                <w:lang w:val="en-US"/>
              </w:rPr>
              <w:t xml:space="preserve"> </w:t>
            </w:r>
            <w:r w:rsidRPr="000C428E">
              <w:rPr>
                <w:rFonts w:eastAsia="Arial" w:cs="Arial"/>
                <w:sz w:val="18"/>
                <w:szCs w:val="18"/>
                <w:lang w:val="en-US"/>
              </w:rPr>
              <w:t>linked</w:t>
            </w:r>
            <w:r w:rsidRPr="000C428E">
              <w:rPr>
                <w:rFonts w:eastAsia="Arial" w:cs="Arial"/>
                <w:spacing w:val="-6"/>
                <w:sz w:val="18"/>
                <w:szCs w:val="18"/>
                <w:lang w:val="en-US"/>
              </w:rPr>
              <w:t xml:space="preserve"> </w:t>
            </w:r>
            <w:r w:rsidRPr="000C428E">
              <w:rPr>
                <w:rFonts w:eastAsia="Arial" w:cs="Arial"/>
                <w:sz w:val="18"/>
                <w:szCs w:val="18"/>
                <w:lang w:val="en-US"/>
              </w:rPr>
              <w:t>to</w:t>
            </w:r>
            <w:r w:rsidRPr="000C428E">
              <w:rPr>
                <w:rFonts w:eastAsia="Arial" w:cs="Arial"/>
                <w:spacing w:val="-6"/>
                <w:sz w:val="18"/>
                <w:szCs w:val="18"/>
                <w:lang w:val="en-US"/>
              </w:rPr>
              <w:t xml:space="preserve"> </w:t>
            </w:r>
            <w:r w:rsidRPr="000C428E">
              <w:rPr>
                <w:rFonts w:eastAsia="Arial" w:cs="Arial"/>
                <w:sz w:val="18"/>
                <w:szCs w:val="18"/>
                <w:lang w:val="en-US"/>
              </w:rPr>
              <w:t>SSA</w:t>
            </w:r>
            <w:r w:rsidRPr="000C428E">
              <w:rPr>
                <w:rFonts w:eastAsia="Arial" w:cs="Arial"/>
                <w:spacing w:val="-2"/>
                <w:sz w:val="18"/>
                <w:szCs w:val="18"/>
                <w:lang w:val="en-US"/>
              </w:rPr>
              <w:t xml:space="preserve"> </w:t>
            </w:r>
            <w:r w:rsidRPr="000C428E">
              <w:rPr>
                <w:rFonts w:eastAsia="Arial" w:cs="Arial"/>
                <w:spacing w:val="-4"/>
                <w:sz w:val="18"/>
                <w:szCs w:val="18"/>
                <w:lang w:val="en-US"/>
              </w:rPr>
              <w:t>(kg)</w:t>
            </w:r>
          </w:p>
        </w:tc>
        <w:tc>
          <w:tcPr>
            <w:tcW w:w="5907" w:type="dxa"/>
            <w:vMerge/>
          </w:tcPr>
          <w:p w14:paraId="21067D3D"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p>
        </w:tc>
      </w:tr>
      <w:tr w:rsidR="00151B4C" w:rsidRPr="00151B4C" w14:paraId="3357BA36" w14:textId="77777777" w:rsidTr="00C23134">
        <w:trPr>
          <w:trHeight w:val="698"/>
        </w:trPr>
        <w:tc>
          <w:tcPr>
            <w:tcW w:w="1276" w:type="dxa"/>
          </w:tcPr>
          <w:p w14:paraId="2EC397D5"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sz w:val="18"/>
                <w:szCs w:val="18"/>
                <w:lang w:val="en-US"/>
              </w:rPr>
              <w:t>AF</w:t>
            </w:r>
          </w:p>
        </w:tc>
        <w:tc>
          <w:tcPr>
            <w:tcW w:w="1843" w:type="dxa"/>
          </w:tcPr>
          <w:p w14:paraId="20A48ED6"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Application</w:t>
            </w:r>
            <w:r w:rsidRPr="000C428E">
              <w:rPr>
                <w:rFonts w:eastAsia="Arial" w:cs="Arial"/>
                <w:spacing w:val="-14"/>
                <w:sz w:val="18"/>
                <w:szCs w:val="18"/>
                <w:lang w:val="en-US"/>
              </w:rPr>
              <w:t xml:space="preserve"> </w:t>
            </w:r>
            <w:r w:rsidRPr="000C428E">
              <w:rPr>
                <w:rFonts w:eastAsia="Arial" w:cs="Arial"/>
                <w:sz w:val="18"/>
                <w:szCs w:val="18"/>
                <w:lang w:val="en-US"/>
              </w:rPr>
              <w:t xml:space="preserve">Frequency </w:t>
            </w:r>
            <w:r w:rsidRPr="000C428E">
              <w:rPr>
                <w:rFonts w:eastAsia="Arial" w:cs="Arial"/>
                <w:spacing w:val="-2"/>
                <w:sz w:val="18"/>
                <w:szCs w:val="18"/>
                <w:lang w:val="en-US"/>
              </w:rPr>
              <w:t>(applications/day)</w:t>
            </w:r>
          </w:p>
        </w:tc>
        <w:tc>
          <w:tcPr>
            <w:tcW w:w="5907" w:type="dxa"/>
          </w:tcPr>
          <w:p w14:paraId="64087404"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Application</w:t>
            </w:r>
            <w:r w:rsidRPr="000C428E">
              <w:rPr>
                <w:rFonts w:eastAsia="Arial" w:cs="Arial"/>
                <w:spacing w:val="-4"/>
                <w:sz w:val="18"/>
                <w:szCs w:val="18"/>
                <w:lang w:val="en-US"/>
              </w:rPr>
              <w:t xml:space="preserve"> </w:t>
            </w:r>
            <w:r w:rsidRPr="000C428E">
              <w:rPr>
                <w:rFonts w:eastAsia="Arial" w:cs="Arial"/>
                <w:sz w:val="18"/>
                <w:szCs w:val="18"/>
                <w:lang w:val="en-US"/>
              </w:rPr>
              <w:t>frequency</w:t>
            </w:r>
            <w:r w:rsidRPr="000C428E">
              <w:rPr>
                <w:rFonts w:eastAsia="Arial" w:cs="Arial"/>
                <w:spacing w:val="-4"/>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expressed</w:t>
            </w:r>
            <w:r w:rsidRPr="000C428E">
              <w:rPr>
                <w:rFonts w:eastAsia="Arial" w:cs="Arial"/>
                <w:spacing w:val="-4"/>
                <w:sz w:val="18"/>
                <w:szCs w:val="18"/>
                <w:lang w:val="en-US"/>
              </w:rPr>
              <w:t xml:space="preserve"> </w:t>
            </w:r>
            <w:r w:rsidRPr="000C428E">
              <w:rPr>
                <w:rFonts w:eastAsia="Arial" w:cs="Arial"/>
                <w:sz w:val="18"/>
                <w:szCs w:val="18"/>
                <w:lang w:val="en-US"/>
              </w:rPr>
              <w:t>as</w:t>
            </w:r>
            <w:r w:rsidRPr="000C428E">
              <w:rPr>
                <w:rFonts w:eastAsia="Arial" w:cs="Arial"/>
                <w:spacing w:val="-4"/>
                <w:sz w:val="18"/>
                <w:szCs w:val="18"/>
                <w:lang w:val="en-US"/>
              </w:rPr>
              <w:t xml:space="preserve"> </w:t>
            </w:r>
            <w:r w:rsidRPr="000C428E">
              <w:rPr>
                <w:rFonts w:eastAsia="Arial" w:cs="Arial"/>
                <w:sz w:val="18"/>
                <w:szCs w:val="18"/>
                <w:lang w:val="en-US"/>
              </w:rPr>
              <w:t>the</w:t>
            </w:r>
            <w:r w:rsidRPr="000C428E">
              <w:rPr>
                <w:rFonts w:eastAsia="Arial" w:cs="Arial"/>
                <w:spacing w:val="-4"/>
                <w:sz w:val="18"/>
                <w:szCs w:val="18"/>
                <w:lang w:val="en-US"/>
              </w:rPr>
              <w:t xml:space="preserve"> </w:t>
            </w:r>
            <w:r w:rsidRPr="000C428E">
              <w:rPr>
                <w:rFonts w:eastAsia="Arial" w:cs="Arial"/>
                <w:sz w:val="18"/>
                <w:szCs w:val="18"/>
                <w:lang w:val="en-US"/>
              </w:rPr>
              <w:t>number</w:t>
            </w:r>
            <w:r w:rsidRPr="000C428E">
              <w:rPr>
                <w:rFonts w:eastAsia="Arial" w:cs="Arial"/>
                <w:spacing w:val="-4"/>
                <w:sz w:val="18"/>
                <w:szCs w:val="18"/>
                <w:lang w:val="en-US"/>
              </w:rPr>
              <w:t xml:space="preserve"> </w:t>
            </w:r>
            <w:r w:rsidRPr="000C428E">
              <w:rPr>
                <w:rFonts w:eastAsia="Arial" w:cs="Arial"/>
                <w:sz w:val="18"/>
                <w:szCs w:val="18"/>
                <w:lang w:val="en-US"/>
              </w:rPr>
              <w:t>of</w:t>
            </w:r>
            <w:r w:rsidRPr="000C428E">
              <w:rPr>
                <w:rFonts w:eastAsia="Arial" w:cs="Arial"/>
                <w:spacing w:val="-4"/>
                <w:sz w:val="18"/>
                <w:szCs w:val="18"/>
                <w:lang w:val="en-US"/>
              </w:rPr>
              <w:t xml:space="preserve"> </w:t>
            </w:r>
            <w:r w:rsidRPr="000C428E">
              <w:rPr>
                <w:rFonts w:eastAsia="Arial" w:cs="Arial"/>
                <w:sz w:val="18"/>
                <w:szCs w:val="18"/>
                <w:lang w:val="en-US"/>
              </w:rPr>
              <w:t>sunscreen</w:t>
            </w:r>
            <w:r w:rsidRPr="000C428E">
              <w:rPr>
                <w:rFonts w:eastAsia="Arial" w:cs="Arial"/>
                <w:spacing w:val="-4"/>
                <w:sz w:val="18"/>
                <w:szCs w:val="18"/>
                <w:lang w:val="en-US"/>
              </w:rPr>
              <w:t xml:space="preserve"> </w:t>
            </w:r>
            <w:r w:rsidRPr="000C428E">
              <w:rPr>
                <w:rFonts w:eastAsia="Arial" w:cs="Arial"/>
                <w:sz w:val="18"/>
                <w:szCs w:val="18"/>
                <w:lang w:val="en-US"/>
              </w:rPr>
              <w:t>applications</w:t>
            </w:r>
            <w:r w:rsidRPr="000C428E">
              <w:rPr>
                <w:rFonts w:eastAsia="Arial" w:cs="Arial"/>
                <w:spacing w:val="-1"/>
                <w:sz w:val="18"/>
                <w:szCs w:val="18"/>
                <w:lang w:val="en-US"/>
              </w:rPr>
              <w:t xml:space="preserve"> </w:t>
            </w:r>
            <w:r w:rsidRPr="000C428E">
              <w:rPr>
                <w:rFonts w:eastAsia="Arial" w:cs="Arial"/>
                <w:sz w:val="18"/>
                <w:szCs w:val="18"/>
                <w:lang w:val="en-US"/>
              </w:rPr>
              <w:t>per</w:t>
            </w:r>
            <w:r w:rsidRPr="000C428E">
              <w:rPr>
                <w:rFonts w:eastAsia="Arial" w:cs="Arial"/>
                <w:spacing w:val="-4"/>
                <w:sz w:val="18"/>
                <w:szCs w:val="18"/>
                <w:lang w:val="en-US"/>
              </w:rPr>
              <w:t xml:space="preserve"> </w:t>
            </w:r>
            <w:r w:rsidRPr="000C428E">
              <w:rPr>
                <w:rFonts w:eastAsia="Arial" w:cs="Arial"/>
                <w:sz w:val="18"/>
                <w:szCs w:val="18"/>
                <w:lang w:val="en-US"/>
              </w:rPr>
              <w:t>day.</w:t>
            </w:r>
            <w:r w:rsidRPr="000C428E">
              <w:rPr>
                <w:rFonts w:eastAsia="Arial" w:cs="Arial"/>
                <w:spacing w:val="-4"/>
                <w:sz w:val="18"/>
                <w:szCs w:val="18"/>
                <w:lang w:val="en-US"/>
              </w:rPr>
              <w:t xml:space="preserve"> </w:t>
            </w:r>
            <w:r w:rsidRPr="000C428E">
              <w:rPr>
                <w:rFonts w:eastAsia="Arial" w:cs="Arial"/>
                <w:sz w:val="18"/>
                <w:szCs w:val="18"/>
                <w:lang w:val="en-US"/>
              </w:rPr>
              <w:t>This</w:t>
            </w:r>
            <w:r w:rsidRPr="000C428E">
              <w:rPr>
                <w:rFonts w:eastAsia="Arial" w:cs="Arial"/>
                <w:spacing w:val="-4"/>
                <w:sz w:val="18"/>
                <w:szCs w:val="18"/>
                <w:lang w:val="en-US"/>
              </w:rPr>
              <w:t xml:space="preserve"> </w:t>
            </w:r>
            <w:r w:rsidRPr="000C428E">
              <w:rPr>
                <w:rFonts w:eastAsia="Arial" w:cs="Arial"/>
                <w:sz w:val="18"/>
                <w:szCs w:val="18"/>
                <w:lang w:val="en-US"/>
              </w:rPr>
              <w:t xml:space="preserve">can range from 2 – 3 applications per day for the different exposure scenarios outlined in ASEM </w:t>
            </w:r>
            <w:r w:rsidRPr="000C428E">
              <w:rPr>
                <w:rFonts w:eastAsia="Arial" w:cs="Arial"/>
                <w:spacing w:val="-2"/>
                <w:sz w:val="18"/>
                <w:szCs w:val="18"/>
                <w:lang w:val="en-US"/>
              </w:rPr>
              <w:t>Scenarios.</w:t>
            </w:r>
          </w:p>
        </w:tc>
      </w:tr>
      <w:tr w:rsidR="00151B4C" w:rsidRPr="00151B4C" w14:paraId="705E09E1" w14:textId="77777777" w:rsidTr="00C23134">
        <w:trPr>
          <w:trHeight w:val="698"/>
        </w:trPr>
        <w:tc>
          <w:tcPr>
            <w:tcW w:w="1276" w:type="dxa"/>
          </w:tcPr>
          <w:p w14:paraId="478F6DA7"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2"/>
                <w:sz w:val="18"/>
                <w:szCs w:val="18"/>
                <w:lang w:val="en-US"/>
              </w:rPr>
              <w:t>Duration</w:t>
            </w:r>
          </w:p>
        </w:tc>
        <w:tc>
          <w:tcPr>
            <w:tcW w:w="1843" w:type="dxa"/>
          </w:tcPr>
          <w:p w14:paraId="646E76CF"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Annual</w:t>
            </w:r>
            <w:r w:rsidRPr="000C428E">
              <w:rPr>
                <w:rFonts w:eastAsia="Arial" w:cs="Arial"/>
                <w:spacing w:val="-6"/>
                <w:sz w:val="18"/>
                <w:szCs w:val="18"/>
                <w:lang w:val="en-US"/>
              </w:rPr>
              <w:t xml:space="preserve"> </w:t>
            </w:r>
            <w:r w:rsidRPr="000C428E">
              <w:rPr>
                <w:rFonts w:eastAsia="Arial" w:cs="Arial"/>
                <w:sz w:val="18"/>
                <w:szCs w:val="18"/>
                <w:lang w:val="en-US"/>
              </w:rPr>
              <w:t>Use</w:t>
            </w:r>
            <w:r w:rsidRPr="000C428E">
              <w:rPr>
                <w:rFonts w:eastAsia="Arial" w:cs="Arial"/>
                <w:spacing w:val="-5"/>
                <w:sz w:val="18"/>
                <w:szCs w:val="18"/>
                <w:lang w:val="en-US"/>
              </w:rPr>
              <w:t xml:space="preserve"> </w:t>
            </w:r>
            <w:r w:rsidRPr="000C428E">
              <w:rPr>
                <w:rFonts w:eastAsia="Arial" w:cs="Arial"/>
                <w:spacing w:val="-2"/>
                <w:sz w:val="18"/>
                <w:szCs w:val="18"/>
                <w:lang w:val="en-US"/>
              </w:rPr>
              <w:t>(days)</w:t>
            </w:r>
          </w:p>
        </w:tc>
        <w:tc>
          <w:tcPr>
            <w:tcW w:w="5907" w:type="dxa"/>
          </w:tcPr>
          <w:p w14:paraId="7CD0C68D"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Duration</w:t>
            </w:r>
            <w:r w:rsidRPr="000C428E">
              <w:rPr>
                <w:rFonts w:eastAsia="Arial" w:cs="Arial"/>
                <w:spacing w:val="-3"/>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expressed</w:t>
            </w:r>
            <w:r w:rsidRPr="000C428E">
              <w:rPr>
                <w:rFonts w:eastAsia="Arial" w:cs="Arial"/>
                <w:spacing w:val="-3"/>
                <w:sz w:val="18"/>
                <w:szCs w:val="18"/>
                <w:lang w:val="en-US"/>
              </w:rPr>
              <w:t xml:space="preserve"> </w:t>
            </w:r>
            <w:r w:rsidRPr="000C428E">
              <w:rPr>
                <w:rFonts w:eastAsia="Arial" w:cs="Arial"/>
                <w:sz w:val="18"/>
                <w:szCs w:val="18"/>
                <w:lang w:val="en-US"/>
              </w:rPr>
              <w:t>as</w:t>
            </w:r>
            <w:r w:rsidRPr="000C428E">
              <w:rPr>
                <w:rFonts w:eastAsia="Arial" w:cs="Arial"/>
                <w:spacing w:val="-4"/>
                <w:sz w:val="18"/>
                <w:szCs w:val="18"/>
                <w:lang w:val="en-US"/>
              </w:rPr>
              <w:t xml:space="preserve"> </w:t>
            </w:r>
            <w:r w:rsidRPr="000C428E">
              <w:rPr>
                <w:rFonts w:eastAsia="Arial" w:cs="Arial"/>
                <w:sz w:val="18"/>
                <w:szCs w:val="18"/>
                <w:lang w:val="en-US"/>
              </w:rPr>
              <w:t>the</w:t>
            </w:r>
            <w:r w:rsidRPr="000C428E">
              <w:rPr>
                <w:rFonts w:eastAsia="Arial" w:cs="Arial"/>
                <w:spacing w:val="-4"/>
                <w:sz w:val="18"/>
                <w:szCs w:val="18"/>
                <w:lang w:val="en-US"/>
              </w:rPr>
              <w:t xml:space="preserve"> </w:t>
            </w:r>
            <w:r w:rsidRPr="000C428E">
              <w:rPr>
                <w:rFonts w:eastAsia="Arial" w:cs="Arial"/>
                <w:sz w:val="18"/>
                <w:szCs w:val="18"/>
                <w:lang w:val="en-US"/>
              </w:rPr>
              <w:t>number</w:t>
            </w:r>
            <w:r w:rsidRPr="000C428E">
              <w:rPr>
                <w:rFonts w:eastAsia="Arial" w:cs="Arial"/>
                <w:spacing w:val="-2"/>
                <w:sz w:val="18"/>
                <w:szCs w:val="18"/>
                <w:lang w:val="en-US"/>
              </w:rPr>
              <w:t xml:space="preserve"> </w:t>
            </w:r>
            <w:r w:rsidRPr="000C428E">
              <w:rPr>
                <w:rFonts w:eastAsia="Arial" w:cs="Arial"/>
                <w:sz w:val="18"/>
                <w:szCs w:val="18"/>
                <w:lang w:val="en-US"/>
              </w:rPr>
              <w:t>of</w:t>
            </w:r>
            <w:r w:rsidRPr="000C428E">
              <w:rPr>
                <w:rFonts w:eastAsia="Arial" w:cs="Arial"/>
                <w:spacing w:val="-4"/>
                <w:sz w:val="18"/>
                <w:szCs w:val="18"/>
                <w:lang w:val="en-US"/>
              </w:rPr>
              <w:t xml:space="preserve"> </w:t>
            </w:r>
            <w:r w:rsidRPr="000C428E">
              <w:rPr>
                <w:rFonts w:eastAsia="Arial" w:cs="Arial"/>
                <w:sz w:val="18"/>
                <w:szCs w:val="18"/>
                <w:lang w:val="en-US"/>
              </w:rPr>
              <w:t>days</w:t>
            </w:r>
            <w:r w:rsidRPr="000C428E">
              <w:rPr>
                <w:rFonts w:eastAsia="Arial" w:cs="Arial"/>
                <w:spacing w:val="-4"/>
                <w:sz w:val="18"/>
                <w:szCs w:val="18"/>
                <w:lang w:val="en-US"/>
              </w:rPr>
              <w:t xml:space="preserve"> </w:t>
            </w:r>
            <w:r w:rsidRPr="000C428E">
              <w:rPr>
                <w:rFonts w:eastAsia="Arial" w:cs="Arial"/>
                <w:sz w:val="18"/>
                <w:szCs w:val="18"/>
                <w:lang w:val="en-US"/>
              </w:rPr>
              <w:t>in</w:t>
            </w:r>
            <w:r w:rsidRPr="000C428E">
              <w:rPr>
                <w:rFonts w:eastAsia="Arial" w:cs="Arial"/>
                <w:spacing w:val="-4"/>
                <w:sz w:val="18"/>
                <w:szCs w:val="18"/>
                <w:lang w:val="en-US"/>
              </w:rPr>
              <w:t xml:space="preserve"> </w:t>
            </w:r>
            <w:r w:rsidRPr="000C428E">
              <w:rPr>
                <w:rFonts w:eastAsia="Arial" w:cs="Arial"/>
                <w:sz w:val="18"/>
                <w:szCs w:val="18"/>
                <w:lang w:val="en-US"/>
              </w:rPr>
              <w:t>a</w:t>
            </w:r>
            <w:r w:rsidRPr="000C428E">
              <w:rPr>
                <w:rFonts w:eastAsia="Arial" w:cs="Arial"/>
                <w:spacing w:val="-3"/>
                <w:sz w:val="18"/>
                <w:szCs w:val="18"/>
                <w:lang w:val="en-US"/>
              </w:rPr>
              <w:t xml:space="preserve"> </w:t>
            </w:r>
            <w:r w:rsidRPr="000C428E">
              <w:rPr>
                <w:rFonts w:eastAsia="Arial" w:cs="Arial"/>
                <w:sz w:val="18"/>
                <w:szCs w:val="18"/>
                <w:lang w:val="en-US"/>
              </w:rPr>
              <w:t>year</w:t>
            </w:r>
            <w:r w:rsidRPr="000C428E">
              <w:rPr>
                <w:rFonts w:eastAsia="Arial" w:cs="Arial"/>
                <w:spacing w:val="-1"/>
                <w:sz w:val="18"/>
                <w:szCs w:val="18"/>
                <w:lang w:val="en-US"/>
              </w:rPr>
              <w:t xml:space="preserve"> </w:t>
            </w:r>
            <w:r w:rsidRPr="000C428E">
              <w:rPr>
                <w:rFonts w:eastAsia="Arial" w:cs="Arial"/>
                <w:sz w:val="18"/>
                <w:szCs w:val="18"/>
                <w:lang w:val="en-US"/>
              </w:rPr>
              <w:t>sunscreen</w:t>
            </w:r>
            <w:r w:rsidRPr="000C428E">
              <w:rPr>
                <w:rFonts w:eastAsia="Arial" w:cs="Arial"/>
                <w:spacing w:val="-4"/>
                <w:sz w:val="18"/>
                <w:szCs w:val="18"/>
                <w:lang w:val="en-US"/>
              </w:rPr>
              <w:t xml:space="preserve"> </w:t>
            </w:r>
            <w:r w:rsidRPr="000C428E">
              <w:rPr>
                <w:rFonts w:eastAsia="Arial" w:cs="Arial"/>
                <w:sz w:val="18"/>
                <w:szCs w:val="18"/>
                <w:lang w:val="en-US"/>
              </w:rPr>
              <w:t>application/exposure</w:t>
            </w:r>
            <w:r w:rsidRPr="000C428E">
              <w:rPr>
                <w:rFonts w:eastAsia="Arial" w:cs="Arial"/>
                <w:spacing w:val="-4"/>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expected to occur. The ASEM scenarios for the use of sunscreens in Australia provides information on the duration anticipated by different population groups.</w:t>
            </w:r>
          </w:p>
        </w:tc>
      </w:tr>
      <w:tr w:rsidR="00151B4C" w:rsidRPr="00151B4C" w14:paraId="18883A7A" w14:textId="77777777" w:rsidTr="00C23134">
        <w:trPr>
          <w:trHeight w:val="698"/>
        </w:trPr>
        <w:tc>
          <w:tcPr>
            <w:tcW w:w="1276" w:type="dxa"/>
          </w:tcPr>
          <w:p w14:paraId="62ADE3EA"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sz w:val="18"/>
                <w:szCs w:val="18"/>
                <w:lang w:val="en-US"/>
              </w:rPr>
              <w:t>AT</w:t>
            </w:r>
          </w:p>
        </w:tc>
        <w:tc>
          <w:tcPr>
            <w:tcW w:w="1843" w:type="dxa"/>
          </w:tcPr>
          <w:p w14:paraId="440D667E"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Averaging</w:t>
            </w:r>
            <w:r w:rsidRPr="000C428E">
              <w:rPr>
                <w:rFonts w:eastAsia="Arial" w:cs="Arial"/>
                <w:spacing w:val="-6"/>
                <w:sz w:val="18"/>
                <w:szCs w:val="18"/>
                <w:lang w:val="en-US"/>
              </w:rPr>
              <w:t xml:space="preserve"> </w:t>
            </w:r>
            <w:r w:rsidRPr="000C428E">
              <w:rPr>
                <w:rFonts w:eastAsia="Arial" w:cs="Arial"/>
                <w:sz w:val="18"/>
                <w:szCs w:val="18"/>
                <w:lang w:val="en-US"/>
              </w:rPr>
              <w:t>time</w:t>
            </w:r>
            <w:r w:rsidRPr="000C428E">
              <w:rPr>
                <w:rFonts w:eastAsia="Arial" w:cs="Arial"/>
                <w:spacing w:val="-8"/>
                <w:sz w:val="18"/>
                <w:szCs w:val="18"/>
                <w:lang w:val="en-US"/>
              </w:rPr>
              <w:t xml:space="preserve"> </w:t>
            </w:r>
            <w:r w:rsidRPr="000C428E">
              <w:rPr>
                <w:rFonts w:eastAsia="Arial" w:cs="Arial"/>
                <w:sz w:val="18"/>
                <w:szCs w:val="18"/>
                <w:lang w:val="en-US"/>
              </w:rPr>
              <w:t>(365</w:t>
            </w:r>
            <w:r w:rsidRPr="000C428E">
              <w:rPr>
                <w:rFonts w:eastAsia="Arial" w:cs="Arial"/>
                <w:spacing w:val="-7"/>
                <w:sz w:val="18"/>
                <w:szCs w:val="18"/>
                <w:lang w:val="en-US"/>
              </w:rPr>
              <w:t xml:space="preserve"> </w:t>
            </w:r>
            <w:r w:rsidRPr="000C428E">
              <w:rPr>
                <w:rFonts w:eastAsia="Arial" w:cs="Arial"/>
                <w:spacing w:val="-4"/>
                <w:sz w:val="18"/>
                <w:szCs w:val="18"/>
                <w:lang w:val="en-US"/>
              </w:rPr>
              <w:t>days)</w:t>
            </w:r>
          </w:p>
        </w:tc>
        <w:tc>
          <w:tcPr>
            <w:tcW w:w="5907" w:type="dxa"/>
          </w:tcPr>
          <w:p w14:paraId="5121CB7C"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An</w:t>
            </w:r>
            <w:r w:rsidRPr="000C428E">
              <w:rPr>
                <w:rFonts w:eastAsia="Arial" w:cs="Arial"/>
                <w:spacing w:val="-6"/>
                <w:sz w:val="18"/>
                <w:szCs w:val="18"/>
                <w:lang w:val="en-US"/>
              </w:rPr>
              <w:t xml:space="preserve"> </w:t>
            </w:r>
            <w:r w:rsidRPr="000C428E">
              <w:rPr>
                <w:rFonts w:eastAsia="Arial" w:cs="Arial"/>
                <w:sz w:val="18"/>
                <w:szCs w:val="18"/>
                <w:lang w:val="en-US"/>
              </w:rPr>
              <w:t>average</w:t>
            </w:r>
            <w:r w:rsidRPr="000C428E">
              <w:rPr>
                <w:rFonts w:eastAsia="Arial" w:cs="Arial"/>
                <w:spacing w:val="-4"/>
                <w:sz w:val="18"/>
                <w:szCs w:val="18"/>
                <w:lang w:val="en-US"/>
              </w:rPr>
              <w:t xml:space="preserve"> </w:t>
            </w:r>
            <w:r w:rsidRPr="000C428E">
              <w:rPr>
                <w:rFonts w:eastAsia="Arial" w:cs="Arial"/>
                <w:sz w:val="18"/>
                <w:szCs w:val="18"/>
                <w:lang w:val="en-US"/>
              </w:rPr>
              <w:t>daily</w:t>
            </w:r>
            <w:r w:rsidRPr="000C428E">
              <w:rPr>
                <w:rFonts w:eastAsia="Arial" w:cs="Arial"/>
                <w:spacing w:val="-5"/>
                <w:sz w:val="18"/>
                <w:szCs w:val="18"/>
                <w:lang w:val="en-US"/>
              </w:rPr>
              <w:t xml:space="preserve"> </w:t>
            </w:r>
            <w:r w:rsidRPr="000C428E">
              <w:rPr>
                <w:rFonts w:eastAsia="Arial" w:cs="Arial"/>
                <w:sz w:val="18"/>
                <w:szCs w:val="18"/>
                <w:lang w:val="en-US"/>
              </w:rPr>
              <w:t>dose</w:t>
            </w:r>
            <w:r w:rsidRPr="000C428E">
              <w:rPr>
                <w:rFonts w:eastAsia="Arial" w:cs="Arial"/>
                <w:spacing w:val="-5"/>
                <w:sz w:val="18"/>
                <w:szCs w:val="18"/>
                <w:lang w:val="en-US"/>
              </w:rPr>
              <w:t xml:space="preserve"> </w:t>
            </w:r>
            <w:r w:rsidRPr="000C428E">
              <w:rPr>
                <w:rFonts w:eastAsia="Arial" w:cs="Arial"/>
                <w:sz w:val="18"/>
                <w:szCs w:val="18"/>
                <w:lang w:val="en-US"/>
              </w:rPr>
              <w:t>based</w:t>
            </w:r>
            <w:r w:rsidRPr="000C428E">
              <w:rPr>
                <w:rFonts w:eastAsia="Arial" w:cs="Arial"/>
                <w:spacing w:val="-6"/>
                <w:sz w:val="18"/>
                <w:szCs w:val="18"/>
                <w:lang w:val="en-US"/>
              </w:rPr>
              <w:t xml:space="preserve"> </w:t>
            </w:r>
            <w:r w:rsidRPr="000C428E">
              <w:rPr>
                <w:rFonts w:eastAsia="Arial" w:cs="Arial"/>
                <w:sz w:val="18"/>
                <w:szCs w:val="18"/>
                <w:lang w:val="en-US"/>
              </w:rPr>
              <w:t>on</w:t>
            </w:r>
            <w:r w:rsidRPr="000C428E">
              <w:rPr>
                <w:rFonts w:eastAsia="Arial" w:cs="Arial"/>
                <w:spacing w:val="-6"/>
                <w:sz w:val="18"/>
                <w:szCs w:val="18"/>
                <w:lang w:val="en-US"/>
              </w:rPr>
              <w:t xml:space="preserve"> </w:t>
            </w:r>
            <w:r w:rsidRPr="000C428E">
              <w:rPr>
                <w:rFonts w:eastAsia="Arial" w:cs="Arial"/>
                <w:sz w:val="18"/>
                <w:szCs w:val="18"/>
                <w:lang w:val="en-US"/>
              </w:rPr>
              <w:t>exposure</w:t>
            </w:r>
            <w:r w:rsidRPr="000C428E">
              <w:rPr>
                <w:rFonts w:eastAsia="Arial" w:cs="Arial"/>
                <w:spacing w:val="-5"/>
                <w:sz w:val="18"/>
                <w:szCs w:val="18"/>
                <w:lang w:val="en-US"/>
              </w:rPr>
              <w:t xml:space="preserve"> </w:t>
            </w:r>
            <w:r w:rsidRPr="000C428E">
              <w:rPr>
                <w:rFonts w:eastAsia="Arial" w:cs="Arial"/>
                <w:sz w:val="18"/>
                <w:szCs w:val="18"/>
                <w:lang w:val="en-US"/>
              </w:rPr>
              <w:t>over</w:t>
            </w:r>
            <w:r w:rsidRPr="000C428E">
              <w:rPr>
                <w:rFonts w:eastAsia="Arial" w:cs="Arial"/>
                <w:spacing w:val="-5"/>
                <w:sz w:val="18"/>
                <w:szCs w:val="18"/>
                <w:lang w:val="en-US"/>
              </w:rPr>
              <w:t xml:space="preserve"> </w:t>
            </w:r>
            <w:r w:rsidRPr="000C428E">
              <w:rPr>
                <w:rFonts w:eastAsia="Arial" w:cs="Arial"/>
                <w:sz w:val="18"/>
                <w:szCs w:val="18"/>
                <w:lang w:val="en-US"/>
              </w:rPr>
              <w:t>a</w:t>
            </w:r>
            <w:r w:rsidRPr="000C428E">
              <w:rPr>
                <w:rFonts w:eastAsia="Arial" w:cs="Arial"/>
                <w:spacing w:val="-4"/>
                <w:sz w:val="18"/>
                <w:szCs w:val="18"/>
                <w:lang w:val="en-US"/>
              </w:rPr>
              <w:t xml:space="preserve"> </w:t>
            </w:r>
            <w:r w:rsidRPr="000C428E">
              <w:rPr>
                <w:rFonts w:eastAsia="Arial" w:cs="Arial"/>
                <w:sz w:val="18"/>
                <w:szCs w:val="18"/>
                <w:lang w:val="en-US"/>
              </w:rPr>
              <w:t>1-year</w:t>
            </w:r>
            <w:r w:rsidRPr="000C428E">
              <w:rPr>
                <w:rFonts w:eastAsia="Arial" w:cs="Arial"/>
                <w:spacing w:val="-4"/>
                <w:sz w:val="18"/>
                <w:szCs w:val="18"/>
                <w:lang w:val="en-US"/>
              </w:rPr>
              <w:t xml:space="preserve"> </w:t>
            </w:r>
            <w:r w:rsidRPr="000C428E">
              <w:rPr>
                <w:rFonts w:eastAsia="Arial" w:cs="Arial"/>
                <w:sz w:val="18"/>
                <w:szCs w:val="18"/>
                <w:lang w:val="en-US"/>
              </w:rPr>
              <w:t>period</w:t>
            </w:r>
            <w:r w:rsidRPr="000C428E">
              <w:rPr>
                <w:rFonts w:eastAsia="Arial" w:cs="Arial"/>
                <w:spacing w:val="-6"/>
                <w:sz w:val="18"/>
                <w:szCs w:val="18"/>
                <w:lang w:val="en-US"/>
              </w:rPr>
              <w:t xml:space="preserve"> </w:t>
            </w:r>
            <w:r w:rsidRPr="000C428E">
              <w:rPr>
                <w:rFonts w:eastAsia="Arial" w:cs="Arial"/>
                <w:sz w:val="18"/>
                <w:szCs w:val="18"/>
                <w:lang w:val="en-US"/>
              </w:rPr>
              <w:t>(i.e.</w:t>
            </w:r>
            <w:r w:rsidRPr="000C428E">
              <w:rPr>
                <w:rFonts w:eastAsia="Arial" w:cs="Arial"/>
                <w:spacing w:val="-4"/>
                <w:sz w:val="18"/>
                <w:szCs w:val="18"/>
                <w:lang w:val="en-US"/>
              </w:rPr>
              <w:t xml:space="preserve"> </w:t>
            </w:r>
            <w:r w:rsidRPr="000C428E">
              <w:rPr>
                <w:rFonts w:eastAsia="Arial" w:cs="Arial"/>
                <w:sz w:val="18"/>
                <w:szCs w:val="18"/>
                <w:lang w:val="en-US"/>
              </w:rPr>
              <w:t>365)</w:t>
            </w:r>
            <w:r w:rsidRPr="000C428E">
              <w:rPr>
                <w:rFonts w:eastAsia="Arial" w:cs="Arial"/>
                <w:spacing w:val="-3"/>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being</w:t>
            </w:r>
            <w:r w:rsidRPr="000C428E">
              <w:rPr>
                <w:rFonts w:eastAsia="Arial" w:cs="Arial"/>
                <w:spacing w:val="-1"/>
                <w:sz w:val="18"/>
                <w:szCs w:val="18"/>
                <w:lang w:val="en-US"/>
              </w:rPr>
              <w:t xml:space="preserve"> </w:t>
            </w:r>
            <w:r w:rsidRPr="000C428E">
              <w:rPr>
                <w:rFonts w:eastAsia="Arial" w:cs="Arial"/>
                <w:spacing w:val="-2"/>
                <w:sz w:val="18"/>
                <w:szCs w:val="18"/>
                <w:lang w:val="en-US"/>
              </w:rPr>
              <w:t>calculated.</w:t>
            </w:r>
          </w:p>
        </w:tc>
      </w:tr>
    </w:tbl>
    <w:p w14:paraId="3D381969" w14:textId="77777777" w:rsidR="00151B4C" w:rsidRPr="00151B4C" w:rsidRDefault="00151B4C" w:rsidP="00151B4C"/>
    <w:p w14:paraId="2C33A8BD" w14:textId="66B914E9" w:rsidR="00151B4C" w:rsidRPr="00151B4C" w:rsidRDefault="00151B4C" w:rsidP="00151B4C">
      <w:pPr>
        <w:widowControl w:val="0"/>
        <w:autoSpaceDE w:val="0"/>
        <w:autoSpaceDN w:val="0"/>
        <w:spacing w:before="82" w:after="0" w:line="256" w:lineRule="auto"/>
        <w:ind w:right="177"/>
        <w:rPr>
          <w:rFonts w:eastAsia="Arial" w:cs="Arial"/>
          <w:lang w:val="en-US"/>
        </w:rPr>
      </w:pPr>
      <w:r w:rsidRPr="00151B4C">
        <w:rPr>
          <w:rFonts w:eastAsia="Arial" w:cs="Arial"/>
          <w:lang w:val="en-US"/>
        </w:rPr>
        <w:t>All</w:t>
      </w:r>
      <w:r w:rsidRPr="00151B4C">
        <w:rPr>
          <w:rFonts w:eastAsia="Arial" w:cs="Arial"/>
          <w:spacing w:val="-5"/>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variables</w:t>
      </w:r>
      <w:r w:rsidRPr="00151B4C">
        <w:rPr>
          <w:rFonts w:eastAsia="Arial" w:cs="Arial"/>
          <w:spacing w:val="-3"/>
          <w:lang w:val="en-US"/>
        </w:rPr>
        <w:t xml:space="preserve"> </w:t>
      </w:r>
      <w:r w:rsidRPr="00151B4C">
        <w:rPr>
          <w:rFonts w:eastAsia="Arial" w:cs="Arial"/>
          <w:lang w:val="en-US"/>
        </w:rPr>
        <w:t>in</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formula</w:t>
      </w:r>
      <w:r w:rsidRPr="00151B4C">
        <w:rPr>
          <w:rFonts w:eastAsia="Arial" w:cs="Arial"/>
          <w:spacing w:val="-2"/>
          <w:lang w:val="en-US"/>
        </w:rPr>
        <w:t xml:space="preserve"> </w:t>
      </w:r>
      <w:r w:rsidRPr="00151B4C">
        <w:rPr>
          <w:rFonts w:eastAsia="Arial" w:cs="Arial"/>
          <w:lang w:val="en-US"/>
        </w:rPr>
        <w:t>(SSA,</w:t>
      </w:r>
      <w:r w:rsidRPr="00151B4C">
        <w:rPr>
          <w:rFonts w:eastAsia="Arial" w:cs="Arial"/>
          <w:spacing w:val="-2"/>
          <w:lang w:val="en-US"/>
        </w:rPr>
        <w:t xml:space="preserve"> </w:t>
      </w:r>
      <w:r w:rsidRPr="00151B4C">
        <w:rPr>
          <w:rFonts w:eastAsia="Arial" w:cs="Arial"/>
          <w:lang w:val="en-US"/>
        </w:rPr>
        <w:t>BW,</w:t>
      </w:r>
      <w:r w:rsidRPr="00151B4C">
        <w:rPr>
          <w:rFonts w:eastAsia="Arial" w:cs="Arial"/>
          <w:spacing w:val="-2"/>
          <w:lang w:val="en-US"/>
        </w:rPr>
        <w:t xml:space="preserve"> </w:t>
      </w:r>
      <w:r w:rsidRPr="00151B4C">
        <w:rPr>
          <w:rFonts w:eastAsia="Arial" w:cs="Arial"/>
          <w:lang w:val="en-US"/>
        </w:rPr>
        <w:t>Age, AF</w:t>
      </w:r>
      <w:r w:rsidRPr="00151B4C">
        <w:rPr>
          <w:rFonts w:eastAsia="Arial" w:cs="Arial"/>
          <w:spacing w:val="-3"/>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Duration)</w:t>
      </w:r>
      <w:r w:rsidRPr="00151B4C">
        <w:rPr>
          <w:rFonts w:eastAsia="Arial" w:cs="Arial"/>
          <w:spacing w:val="-3"/>
          <w:lang w:val="en-US"/>
        </w:rPr>
        <w:t xml:space="preserve"> </w:t>
      </w:r>
      <w:r w:rsidRPr="00151B4C">
        <w:rPr>
          <w:rFonts w:eastAsia="Arial" w:cs="Arial"/>
          <w:lang w:val="en-US"/>
        </w:rPr>
        <w:t>can</w:t>
      </w:r>
      <w:r w:rsidRPr="00151B4C">
        <w:rPr>
          <w:rFonts w:eastAsia="Arial" w:cs="Arial"/>
          <w:spacing w:val="-4"/>
          <w:lang w:val="en-US"/>
        </w:rPr>
        <w:t xml:space="preserve"> </w:t>
      </w:r>
      <w:r w:rsidRPr="00151B4C">
        <w:rPr>
          <w:rFonts w:eastAsia="Arial" w:cs="Arial"/>
          <w:lang w:val="en-US"/>
        </w:rPr>
        <w:t>change</w:t>
      </w:r>
      <w:r w:rsidRPr="00151B4C">
        <w:rPr>
          <w:rFonts w:eastAsia="Arial" w:cs="Arial"/>
          <w:spacing w:val="-4"/>
          <w:lang w:val="en-US"/>
        </w:rPr>
        <w:t xml:space="preserve"> </w:t>
      </w:r>
      <w:r w:rsidRPr="00151B4C">
        <w:rPr>
          <w:rFonts w:eastAsia="Arial" w:cs="Arial"/>
          <w:lang w:val="en-US"/>
        </w:rPr>
        <w:t>based</w:t>
      </w:r>
      <w:r w:rsidRPr="00151B4C">
        <w:rPr>
          <w:rFonts w:eastAsia="Arial" w:cs="Arial"/>
          <w:spacing w:val="-4"/>
          <w:lang w:val="en-US"/>
        </w:rPr>
        <w:t xml:space="preserve"> </w:t>
      </w:r>
      <w:r w:rsidRPr="00151B4C">
        <w:rPr>
          <w:rFonts w:eastAsia="Arial" w:cs="Arial"/>
          <w:lang w:val="en-US"/>
        </w:rPr>
        <w:t>on</w:t>
      </w:r>
      <w:r w:rsidRPr="00151B4C">
        <w:rPr>
          <w:rFonts w:eastAsia="Arial" w:cs="Arial"/>
          <w:spacing w:val="-4"/>
          <w:lang w:val="en-US"/>
        </w:rPr>
        <w:t xml:space="preserve"> </w:t>
      </w:r>
      <w:r w:rsidRPr="00151B4C">
        <w:rPr>
          <w:rFonts w:eastAsia="Arial" w:cs="Arial"/>
          <w:lang w:val="en-US"/>
        </w:rPr>
        <w:t xml:space="preserve">how the sunscreen is used and who it is used by. The respective input values for these variables are described in the </w:t>
      </w:r>
      <w:hyperlink w:anchor="ASEMScenarios" w:history="1">
        <w:r w:rsidRPr="00151B4C">
          <w:rPr>
            <w:rFonts w:eastAsia="Arial" w:cs="Arial"/>
            <w:color w:val="0000FF"/>
            <w:u w:val="single" w:color="0000FF"/>
            <w:lang w:val="en-US"/>
          </w:rPr>
          <w:t>ASEM scenarios</w:t>
        </w:r>
      </w:hyperlink>
      <w:r w:rsidRPr="00151B4C">
        <w:rPr>
          <w:rFonts w:eastAsia="Arial" w:cs="Arial"/>
          <w:color w:val="0000FF"/>
          <w:lang w:val="en-US"/>
        </w:rPr>
        <w:t xml:space="preserve"> </w:t>
      </w:r>
      <w:r w:rsidRPr="00151B4C">
        <w:rPr>
          <w:rFonts w:eastAsia="Arial" w:cs="Arial"/>
          <w:lang w:val="en-US"/>
        </w:rPr>
        <w:t>below.</w:t>
      </w:r>
    </w:p>
    <w:p w14:paraId="54DD1B19" w14:textId="77777777" w:rsidR="00151B4C" w:rsidRPr="007B4E17" w:rsidRDefault="00151B4C" w:rsidP="00F47305">
      <w:pPr>
        <w:pStyle w:val="Heading4"/>
      </w:pPr>
      <w:bookmarkStart w:id="95" w:name="_Toc184730581"/>
      <w:bookmarkStart w:id="96" w:name="ASEMScenarios"/>
      <w:r w:rsidRPr="00151B4C">
        <w:t>ASEM</w:t>
      </w:r>
      <w:r w:rsidRPr="007B4E17">
        <w:t xml:space="preserve"> </w:t>
      </w:r>
      <w:r w:rsidRPr="00151B4C">
        <w:t>Scenarios</w:t>
      </w:r>
      <w:bookmarkEnd w:id="95"/>
    </w:p>
    <w:bookmarkEnd w:id="96"/>
    <w:p w14:paraId="41657003" w14:textId="2D128458" w:rsidR="00151B4C" w:rsidRPr="00151B4C" w:rsidRDefault="00151B4C" w:rsidP="00151B4C">
      <w:pPr>
        <w:widowControl w:val="0"/>
        <w:autoSpaceDE w:val="0"/>
        <w:autoSpaceDN w:val="0"/>
        <w:spacing w:before="117" w:after="0"/>
        <w:rPr>
          <w:rFonts w:eastAsia="Arial" w:cs="Arial"/>
          <w:lang w:val="en-US"/>
        </w:rPr>
      </w:pPr>
      <w:r w:rsidRPr="00151B4C">
        <w:rPr>
          <w:rFonts w:eastAsia="Arial" w:cs="Arial"/>
          <w:lang w:val="en-US"/>
        </w:rPr>
        <w:t>It</w:t>
      </w:r>
      <w:r w:rsidRPr="00151B4C">
        <w:rPr>
          <w:rFonts w:eastAsia="Arial" w:cs="Arial"/>
          <w:spacing w:val="-3"/>
          <w:lang w:val="en-US"/>
        </w:rPr>
        <w:t xml:space="preserve"> </w:t>
      </w:r>
      <w:r w:rsidRPr="00151B4C">
        <w:rPr>
          <w:rFonts w:eastAsia="Arial" w:cs="Arial"/>
          <w:lang w:val="en-US"/>
        </w:rPr>
        <w:t>is</w:t>
      </w:r>
      <w:r w:rsidRPr="00151B4C">
        <w:rPr>
          <w:rFonts w:eastAsia="Arial" w:cs="Arial"/>
          <w:spacing w:val="-2"/>
          <w:lang w:val="en-US"/>
        </w:rPr>
        <w:t xml:space="preserve"> </w:t>
      </w:r>
      <w:r w:rsidRPr="00151B4C">
        <w:rPr>
          <w:rFonts w:eastAsia="Arial" w:cs="Arial"/>
          <w:lang w:val="en-US"/>
        </w:rPr>
        <w:t>clear</w:t>
      </w:r>
      <w:r w:rsidRPr="00151B4C">
        <w:rPr>
          <w:rFonts w:eastAsia="Arial" w:cs="Arial"/>
          <w:spacing w:val="-2"/>
          <w:lang w:val="en-US"/>
        </w:rPr>
        <w:t xml:space="preserve"> </w:t>
      </w:r>
      <w:r w:rsidRPr="00151B4C">
        <w:rPr>
          <w:rFonts w:eastAsia="Arial" w:cs="Arial"/>
          <w:lang w:val="en-US"/>
        </w:rPr>
        <w:t>that</w:t>
      </w:r>
      <w:r w:rsidRPr="00151B4C">
        <w:rPr>
          <w:rFonts w:eastAsia="Arial" w:cs="Arial"/>
          <w:spacing w:val="-3"/>
          <w:lang w:val="en-US"/>
        </w:rPr>
        <w:t xml:space="preserve"> </w:t>
      </w:r>
      <w:r w:rsidRPr="00151B4C">
        <w:rPr>
          <w:rFonts w:eastAsia="Arial" w:cs="Arial"/>
          <w:lang w:val="en-US"/>
        </w:rPr>
        <w:t>the</w:t>
      </w:r>
      <w:r w:rsidRPr="00151B4C">
        <w:rPr>
          <w:rFonts w:eastAsia="Arial" w:cs="Arial"/>
          <w:spacing w:val="-3"/>
          <w:lang w:val="en-US"/>
        </w:rPr>
        <w:t xml:space="preserve"> </w:t>
      </w:r>
      <w:r w:rsidRPr="00151B4C">
        <w:rPr>
          <w:rFonts w:eastAsia="Arial" w:cs="Arial"/>
          <w:lang w:val="en-US"/>
        </w:rPr>
        <w:t>use</w:t>
      </w:r>
      <w:r w:rsidRPr="00151B4C">
        <w:rPr>
          <w:rFonts w:eastAsia="Arial" w:cs="Arial"/>
          <w:spacing w:val="-1"/>
          <w:lang w:val="en-US"/>
        </w:rPr>
        <w:t xml:space="preserve"> </w:t>
      </w:r>
      <w:r w:rsidRPr="00151B4C">
        <w:rPr>
          <w:rFonts w:eastAsia="Arial" w:cs="Arial"/>
          <w:lang w:val="en-US"/>
        </w:rPr>
        <w:t>of</w:t>
      </w:r>
      <w:r w:rsidRPr="00151B4C">
        <w:rPr>
          <w:rFonts w:eastAsia="Arial" w:cs="Arial"/>
          <w:spacing w:val="-3"/>
          <w:lang w:val="en-US"/>
        </w:rPr>
        <w:t xml:space="preserve"> </w:t>
      </w:r>
      <w:r w:rsidRPr="00151B4C">
        <w:rPr>
          <w:rFonts w:eastAsia="Arial" w:cs="Arial"/>
          <w:lang w:val="en-US"/>
        </w:rPr>
        <w:t>a</w:t>
      </w:r>
      <w:r w:rsidRPr="00151B4C">
        <w:rPr>
          <w:rFonts w:eastAsia="Arial" w:cs="Arial"/>
          <w:spacing w:val="-3"/>
          <w:lang w:val="en-US"/>
        </w:rPr>
        <w:t xml:space="preserve"> </w:t>
      </w:r>
      <w:r w:rsidRPr="00151B4C">
        <w:rPr>
          <w:rFonts w:eastAsia="Arial" w:cs="Arial"/>
          <w:lang w:val="en-US"/>
        </w:rPr>
        <w:t>single</w:t>
      </w:r>
      <w:r w:rsidRPr="00151B4C">
        <w:rPr>
          <w:rFonts w:eastAsia="Arial" w:cs="Arial"/>
          <w:spacing w:val="-1"/>
          <w:lang w:val="en-US"/>
        </w:rPr>
        <w:t xml:space="preserve"> </w:t>
      </w:r>
      <w:r w:rsidRPr="00151B4C">
        <w:rPr>
          <w:rFonts w:eastAsia="Arial" w:cs="Arial"/>
          <w:lang w:val="en-US"/>
        </w:rPr>
        <w:t>maximum</w:t>
      </w:r>
      <w:r w:rsidRPr="00151B4C">
        <w:rPr>
          <w:rFonts w:eastAsia="Arial" w:cs="Arial"/>
          <w:spacing w:val="-1"/>
          <w:lang w:val="en-US"/>
        </w:rPr>
        <w:t xml:space="preserve"> </w:t>
      </w:r>
      <w:r w:rsidRPr="00151B4C">
        <w:rPr>
          <w:rFonts w:eastAsia="Arial" w:cs="Arial"/>
          <w:lang w:val="en-US"/>
        </w:rPr>
        <w:t>daily-use</w:t>
      </w:r>
      <w:r w:rsidRPr="00151B4C">
        <w:rPr>
          <w:rFonts w:eastAsia="Arial" w:cs="Arial"/>
          <w:spacing w:val="-3"/>
          <w:lang w:val="en-US"/>
        </w:rPr>
        <w:t xml:space="preserve"> </w:t>
      </w:r>
      <w:r w:rsidRPr="00151B4C">
        <w:rPr>
          <w:rFonts w:eastAsia="Arial" w:cs="Arial"/>
          <w:lang w:val="en-US"/>
        </w:rPr>
        <w:t>scenario,</w:t>
      </w:r>
      <w:r w:rsidRPr="00151B4C">
        <w:rPr>
          <w:rFonts w:eastAsia="Arial" w:cs="Arial"/>
          <w:spacing w:val="-1"/>
          <w:lang w:val="en-US"/>
        </w:rPr>
        <w:t xml:space="preserve"> </w:t>
      </w:r>
      <w:r w:rsidRPr="00151B4C">
        <w:rPr>
          <w:rFonts w:eastAsia="Arial" w:cs="Arial"/>
          <w:lang w:val="en-US"/>
        </w:rPr>
        <w:t>i.e.</w:t>
      </w:r>
      <w:r w:rsidRPr="00151B4C">
        <w:rPr>
          <w:rFonts w:eastAsia="Arial" w:cs="Arial"/>
          <w:spacing w:val="-3"/>
          <w:lang w:val="en-US"/>
        </w:rPr>
        <w:t xml:space="preserve"> </w:t>
      </w:r>
      <w:r w:rsidRPr="00151B4C">
        <w:rPr>
          <w:rFonts w:eastAsia="Arial" w:cs="Arial"/>
          <w:lang w:val="en-US"/>
        </w:rPr>
        <w:t>a</w:t>
      </w:r>
      <w:r w:rsidRPr="00151B4C">
        <w:rPr>
          <w:rFonts w:eastAsia="Arial" w:cs="Arial"/>
          <w:spacing w:val="-1"/>
          <w:lang w:val="en-US"/>
        </w:rPr>
        <w:t xml:space="preserve"> </w:t>
      </w:r>
      <w:r w:rsidRPr="00151B4C">
        <w:rPr>
          <w:rFonts w:eastAsia="Arial" w:cs="Arial"/>
          <w:lang w:val="en-US"/>
        </w:rPr>
        <w:t>full</w:t>
      </w:r>
      <w:r w:rsidRPr="00151B4C">
        <w:rPr>
          <w:rFonts w:eastAsia="Arial" w:cs="Arial"/>
          <w:spacing w:val="-2"/>
          <w:lang w:val="en-US"/>
        </w:rPr>
        <w:t xml:space="preserve"> </w:t>
      </w:r>
      <w:r w:rsidRPr="00151B4C">
        <w:rPr>
          <w:rFonts w:eastAsia="Arial" w:cs="Arial"/>
          <w:lang w:val="en-US"/>
        </w:rPr>
        <w:t>day</w:t>
      </w:r>
      <w:r w:rsidRPr="00151B4C">
        <w:rPr>
          <w:rFonts w:eastAsia="Arial" w:cs="Arial"/>
          <w:spacing w:val="-2"/>
          <w:lang w:val="en-US"/>
        </w:rPr>
        <w:t xml:space="preserve"> </w:t>
      </w:r>
      <w:r w:rsidRPr="00151B4C">
        <w:rPr>
          <w:rFonts w:eastAsia="Arial" w:cs="Arial"/>
          <w:lang w:val="en-US"/>
        </w:rPr>
        <w:t>at</w:t>
      </w:r>
      <w:r w:rsidRPr="00151B4C">
        <w:rPr>
          <w:rFonts w:eastAsia="Arial" w:cs="Arial"/>
          <w:spacing w:val="-1"/>
          <w:lang w:val="en-US"/>
        </w:rPr>
        <w:t xml:space="preserve"> </w:t>
      </w:r>
      <w:r w:rsidRPr="00151B4C">
        <w:rPr>
          <w:rFonts w:eastAsia="Arial" w:cs="Arial"/>
          <w:lang w:val="en-US"/>
        </w:rPr>
        <w:t>the</w:t>
      </w:r>
      <w:r w:rsidRPr="00151B4C">
        <w:rPr>
          <w:rFonts w:eastAsia="Arial" w:cs="Arial"/>
          <w:spacing w:val="-1"/>
          <w:lang w:val="en-US"/>
        </w:rPr>
        <w:t xml:space="preserve"> </w:t>
      </w:r>
      <w:r w:rsidRPr="00151B4C">
        <w:rPr>
          <w:rFonts w:eastAsia="Arial" w:cs="Arial"/>
          <w:lang w:val="en-US"/>
        </w:rPr>
        <w:t>beach</w:t>
      </w:r>
      <w:r w:rsidRPr="00151B4C">
        <w:rPr>
          <w:rFonts w:eastAsia="Arial" w:cs="Arial"/>
          <w:spacing w:val="-1"/>
          <w:lang w:val="en-US"/>
        </w:rPr>
        <w:t xml:space="preserve"> </w:t>
      </w:r>
      <w:r w:rsidRPr="00151B4C">
        <w:rPr>
          <w:rFonts w:eastAsia="Arial" w:cs="Arial"/>
          <w:lang w:val="en-US"/>
        </w:rPr>
        <w:t>with</w:t>
      </w:r>
      <w:r w:rsidRPr="00151B4C">
        <w:rPr>
          <w:rFonts w:eastAsia="Arial" w:cs="Arial"/>
          <w:spacing w:val="-3"/>
          <w:lang w:val="en-US"/>
        </w:rPr>
        <w:t xml:space="preserve"> </w:t>
      </w:r>
      <w:r w:rsidRPr="00151B4C">
        <w:rPr>
          <w:rFonts w:eastAsia="Arial" w:cs="Arial"/>
          <w:lang w:val="en-US"/>
        </w:rPr>
        <w:t>multiple reapplications of sunscreen (that would amount to ~140 mL application daily), is not useful for determining the safety of sunscreen ingredients for the Australian population as a whole. Hence 6 sunscreen</w:t>
      </w:r>
      <w:r w:rsidRPr="000C7591">
        <w:rPr>
          <w:rFonts w:eastAsia="Arial" w:cs="Arial"/>
          <w:lang w:val="en-US"/>
        </w:rPr>
        <w:t xml:space="preserve"> </w:t>
      </w:r>
      <w:r w:rsidRPr="00151B4C">
        <w:rPr>
          <w:rFonts w:eastAsia="Arial" w:cs="Arial"/>
          <w:lang w:val="en-US"/>
        </w:rPr>
        <w:t>use</w:t>
      </w:r>
      <w:r w:rsidRPr="000C7591">
        <w:rPr>
          <w:rFonts w:eastAsia="Arial" w:cs="Arial"/>
          <w:lang w:val="en-US"/>
        </w:rPr>
        <w:t xml:space="preserve"> </w:t>
      </w:r>
      <w:r w:rsidRPr="00151B4C">
        <w:rPr>
          <w:rFonts w:eastAsia="Arial" w:cs="Arial"/>
          <w:lang w:val="en-US"/>
        </w:rPr>
        <w:t>scenarios</w:t>
      </w:r>
      <w:r w:rsidRPr="000C7591">
        <w:rPr>
          <w:rFonts w:eastAsia="Arial" w:cs="Arial"/>
          <w:lang w:val="en-US"/>
        </w:rPr>
        <w:t xml:space="preserve"> </w:t>
      </w:r>
      <w:r w:rsidRPr="00151B4C">
        <w:rPr>
          <w:rFonts w:eastAsia="Arial" w:cs="Arial"/>
          <w:lang w:val="en-US"/>
        </w:rPr>
        <w:t>have</w:t>
      </w:r>
      <w:r w:rsidRPr="000C7591">
        <w:rPr>
          <w:rFonts w:eastAsia="Arial" w:cs="Arial"/>
          <w:lang w:val="en-US"/>
        </w:rPr>
        <w:t xml:space="preserve"> </w:t>
      </w:r>
      <w:r w:rsidRPr="00151B4C">
        <w:rPr>
          <w:rFonts w:eastAsia="Arial" w:cs="Arial"/>
          <w:lang w:val="en-US"/>
        </w:rPr>
        <w:t>been</w:t>
      </w:r>
      <w:r w:rsidRPr="000C7591">
        <w:rPr>
          <w:rFonts w:eastAsia="Arial" w:cs="Arial"/>
          <w:lang w:val="en-US"/>
        </w:rPr>
        <w:t xml:space="preserve"> </w:t>
      </w:r>
      <w:r w:rsidRPr="00151B4C">
        <w:rPr>
          <w:rFonts w:eastAsia="Arial" w:cs="Arial"/>
          <w:lang w:val="en-US"/>
        </w:rPr>
        <w:t>developed</w:t>
      </w:r>
      <w:r w:rsidRPr="000C7591">
        <w:rPr>
          <w:rFonts w:eastAsia="Arial" w:cs="Arial"/>
          <w:lang w:val="en-US"/>
        </w:rPr>
        <w:t xml:space="preserve"> </w:t>
      </w:r>
      <w:r w:rsidRPr="00151B4C">
        <w:rPr>
          <w:rFonts w:eastAsia="Arial" w:cs="Arial"/>
          <w:lang w:val="en-US"/>
        </w:rPr>
        <w:t>to account for the</w:t>
      </w:r>
      <w:r w:rsidRPr="000C7591">
        <w:rPr>
          <w:rFonts w:eastAsia="Arial" w:cs="Arial"/>
          <w:lang w:val="en-US"/>
        </w:rPr>
        <w:t xml:space="preserve"> </w:t>
      </w:r>
      <w:r w:rsidR="000C7591" w:rsidRPr="000C7591">
        <w:rPr>
          <w:rFonts w:eastAsia="Arial" w:cs="Arial"/>
          <w:lang w:val="en-US"/>
        </w:rPr>
        <w:t>Australian context</w:t>
      </w:r>
      <w:r w:rsidR="000C7591" w:rsidRPr="00151B4C">
        <w:rPr>
          <w:rFonts w:eastAsia="Arial" w:cs="Arial"/>
          <w:lang w:val="en-US"/>
        </w:rPr>
        <w:t>,</w:t>
      </w:r>
      <w:r w:rsidRPr="000C7591">
        <w:rPr>
          <w:rFonts w:eastAsia="Arial" w:cs="Arial"/>
          <w:lang w:val="en-US"/>
        </w:rPr>
        <w:t xml:space="preserve"> </w:t>
      </w:r>
      <w:r w:rsidRPr="00151B4C">
        <w:rPr>
          <w:rFonts w:eastAsia="Arial" w:cs="Arial"/>
          <w:lang w:val="en-US"/>
        </w:rPr>
        <w:t>the most</w:t>
      </w:r>
      <w:r w:rsidRPr="000C7591">
        <w:rPr>
          <w:rFonts w:eastAsia="Arial" w:cs="Arial"/>
          <w:lang w:val="en-US"/>
        </w:rPr>
        <w:t xml:space="preserve"> </w:t>
      </w:r>
      <w:r w:rsidR="000C7591" w:rsidRPr="000C7591">
        <w:rPr>
          <w:rFonts w:eastAsia="Arial" w:cs="Arial"/>
          <w:lang w:val="en-US"/>
        </w:rPr>
        <w:t>current</w:t>
      </w:r>
      <w:r w:rsidRPr="000C7591">
        <w:rPr>
          <w:rFonts w:eastAsia="Arial" w:cs="Arial"/>
          <w:lang w:val="en-US"/>
        </w:rPr>
        <w:t xml:space="preserve"> </w:t>
      </w:r>
      <w:hyperlink w:anchor="_bookmark9" w:history="1">
        <w:r w:rsidRPr="000C7591">
          <w:rPr>
            <w:rFonts w:eastAsia="Arial" w:cs="Arial"/>
            <w:lang w:val="en-US"/>
          </w:rPr>
          <w:t>Australian research</w:t>
        </w:r>
        <w:r w:rsidRPr="00151B4C">
          <w:rPr>
            <w:rFonts w:eastAsia="Arial" w:cs="Arial"/>
            <w:lang w:val="en-US"/>
          </w:rPr>
          <w:t>,</w:t>
        </w:r>
      </w:hyperlink>
      <w:r w:rsidRPr="00151B4C">
        <w:rPr>
          <w:rFonts w:eastAsia="Arial" w:cs="Arial"/>
          <w:lang w:val="en-US"/>
        </w:rPr>
        <w:t xml:space="preserve"> and </w:t>
      </w:r>
      <w:r w:rsidR="000C7591" w:rsidRPr="000C7591">
        <w:rPr>
          <w:rFonts w:eastAsia="Arial" w:cs="Arial"/>
          <w:lang w:val="en-US"/>
        </w:rPr>
        <w:t>national guidelines and policies</w:t>
      </w:r>
      <w:r w:rsidR="000C7591" w:rsidRPr="00151B4C">
        <w:rPr>
          <w:rFonts w:eastAsia="Arial" w:cs="Arial"/>
          <w:lang w:val="en-US"/>
        </w:rPr>
        <w:t>,</w:t>
      </w:r>
      <w:r w:rsidRPr="00151B4C">
        <w:rPr>
          <w:rFonts w:eastAsia="Arial" w:cs="Arial"/>
          <w:lang w:val="en-US"/>
        </w:rPr>
        <w:t xml:space="preserve"> with consideration given to:</w:t>
      </w:r>
    </w:p>
    <w:p w14:paraId="6B870C70" w14:textId="77777777" w:rsidR="00151B4C" w:rsidRPr="00204C46" w:rsidRDefault="00151B4C" w:rsidP="006D28D0">
      <w:pPr>
        <w:pStyle w:val="Numberbullet0"/>
        <w:numPr>
          <w:ilvl w:val="0"/>
          <w:numId w:val="17"/>
        </w:numPr>
      </w:pPr>
      <w:r w:rsidRPr="00204C46">
        <w:t>The</w:t>
      </w:r>
      <w:r w:rsidRPr="006D28D0">
        <w:rPr>
          <w:spacing w:val="-8"/>
        </w:rPr>
        <w:t xml:space="preserve"> </w:t>
      </w:r>
      <w:r w:rsidRPr="00204C46">
        <w:t>frequency</w:t>
      </w:r>
      <w:r w:rsidRPr="006D28D0">
        <w:rPr>
          <w:spacing w:val="-7"/>
        </w:rPr>
        <w:t xml:space="preserve"> </w:t>
      </w:r>
      <w:r w:rsidRPr="00204C46">
        <w:t>of</w:t>
      </w:r>
      <w:r w:rsidRPr="006D28D0">
        <w:rPr>
          <w:spacing w:val="-6"/>
        </w:rPr>
        <w:t xml:space="preserve"> </w:t>
      </w:r>
      <w:r w:rsidRPr="00204C46">
        <w:t>sunscreen</w:t>
      </w:r>
      <w:r w:rsidRPr="006D28D0">
        <w:rPr>
          <w:spacing w:val="-8"/>
        </w:rPr>
        <w:t xml:space="preserve"> </w:t>
      </w:r>
      <w:r w:rsidRPr="00204C46">
        <w:t>application</w:t>
      </w:r>
      <w:r w:rsidRPr="006D28D0">
        <w:rPr>
          <w:spacing w:val="-6"/>
        </w:rPr>
        <w:t xml:space="preserve"> </w:t>
      </w:r>
      <w:r w:rsidRPr="00204C46">
        <w:t>in</w:t>
      </w:r>
      <w:r w:rsidRPr="006D28D0">
        <w:rPr>
          <w:spacing w:val="-8"/>
        </w:rPr>
        <w:t xml:space="preserve"> </w:t>
      </w:r>
      <w:r w:rsidRPr="00204C46">
        <w:t>both</w:t>
      </w:r>
      <w:r w:rsidRPr="006D28D0">
        <w:rPr>
          <w:spacing w:val="-6"/>
        </w:rPr>
        <w:t xml:space="preserve"> </w:t>
      </w:r>
      <w:r w:rsidRPr="00204C46">
        <w:t>occupational</w:t>
      </w:r>
      <w:r w:rsidRPr="006D28D0">
        <w:rPr>
          <w:spacing w:val="-9"/>
        </w:rPr>
        <w:t xml:space="preserve"> </w:t>
      </w:r>
      <w:r w:rsidRPr="00204C46">
        <w:t>and</w:t>
      </w:r>
      <w:r w:rsidRPr="006D28D0">
        <w:rPr>
          <w:spacing w:val="-8"/>
        </w:rPr>
        <w:t xml:space="preserve"> </w:t>
      </w:r>
      <w:r w:rsidRPr="00204C46">
        <w:t>recreational</w:t>
      </w:r>
      <w:r w:rsidRPr="006D28D0">
        <w:rPr>
          <w:spacing w:val="-7"/>
        </w:rPr>
        <w:t xml:space="preserve"> </w:t>
      </w:r>
      <w:r w:rsidRPr="006D28D0">
        <w:rPr>
          <w:spacing w:val="-2"/>
        </w:rPr>
        <w:t>contexts.</w:t>
      </w:r>
    </w:p>
    <w:p w14:paraId="36F50D5D"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How</w:t>
      </w:r>
      <w:r w:rsidRPr="00151B4C">
        <w:rPr>
          <w:rFonts w:eastAsia="Cambria" w:cs="Times New Roman"/>
          <w:spacing w:val="-7"/>
        </w:rPr>
        <w:t xml:space="preserve"> </w:t>
      </w:r>
      <w:r w:rsidRPr="00151B4C">
        <w:rPr>
          <w:rFonts w:eastAsia="Cambria" w:cs="Times New Roman"/>
        </w:rPr>
        <w:t>sunscreen</w:t>
      </w:r>
      <w:r w:rsidRPr="00151B4C">
        <w:rPr>
          <w:rFonts w:eastAsia="Cambria" w:cs="Times New Roman"/>
          <w:spacing w:val="-4"/>
        </w:rPr>
        <w:t xml:space="preserve"> </w:t>
      </w:r>
      <w:r w:rsidRPr="00151B4C">
        <w:rPr>
          <w:rFonts w:eastAsia="Cambria" w:cs="Times New Roman"/>
        </w:rPr>
        <w:t>may</w:t>
      </w:r>
      <w:r w:rsidRPr="00151B4C">
        <w:rPr>
          <w:rFonts w:eastAsia="Cambria" w:cs="Times New Roman"/>
          <w:spacing w:val="-5"/>
        </w:rPr>
        <w:t xml:space="preserve"> </w:t>
      </w:r>
      <w:r w:rsidRPr="00151B4C">
        <w:rPr>
          <w:rFonts w:eastAsia="Cambria" w:cs="Times New Roman"/>
        </w:rPr>
        <w:t>be</w:t>
      </w:r>
      <w:r w:rsidRPr="00151B4C">
        <w:rPr>
          <w:rFonts w:eastAsia="Cambria" w:cs="Times New Roman"/>
          <w:spacing w:val="-7"/>
        </w:rPr>
        <w:t xml:space="preserve"> </w:t>
      </w:r>
      <w:r w:rsidRPr="00151B4C">
        <w:rPr>
          <w:rFonts w:eastAsia="Cambria" w:cs="Times New Roman"/>
        </w:rPr>
        <w:t>used</w:t>
      </w:r>
      <w:r w:rsidRPr="00151B4C">
        <w:rPr>
          <w:rFonts w:eastAsia="Cambria" w:cs="Times New Roman"/>
          <w:spacing w:val="-6"/>
        </w:rPr>
        <w:t xml:space="preserve"> </w:t>
      </w:r>
      <w:r w:rsidRPr="00151B4C">
        <w:rPr>
          <w:rFonts w:eastAsia="Cambria" w:cs="Times New Roman"/>
        </w:rPr>
        <w:t>by</w:t>
      </w:r>
      <w:r w:rsidRPr="00151B4C">
        <w:rPr>
          <w:rFonts w:eastAsia="Cambria" w:cs="Times New Roman"/>
          <w:spacing w:val="-5"/>
        </w:rPr>
        <w:t xml:space="preserve"> </w:t>
      </w:r>
      <w:r w:rsidRPr="00151B4C">
        <w:rPr>
          <w:rFonts w:eastAsia="Cambria" w:cs="Times New Roman"/>
        </w:rPr>
        <w:t>different</w:t>
      </w:r>
      <w:r w:rsidRPr="00151B4C">
        <w:rPr>
          <w:rFonts w:eastAsia="Cambria" w:cs="Times New Roman"/>
          <w:spacing w:val="-4"/>
        </w:rPr>
        <w:t xml:space="preserve"> </w:t>
      </w:r>
      <w:r w:rsidRPr="00151B4C">
        <w:rPr>
          <w:rFonts w:eastAsia="Cambria" w:cs="Times New Roman"/>
        </w:rPr>
        <w:t>age</w:t>
      </w:r>
      <w:r w:rsidRPr="00151B4C">
        <w:rPr>
          <w:rFonts w:eastAsia="Cambria" w:cs="Times New Roman"/>
          <w:spacing w:val="-5"/>
        </w:rPr>
        <w:t xml:space="preserve"> </w:t>
      </w:r>
      <w:r w:rsidRPr="00151B4C">
        <w:rPr>
          <w:rFonts w:eastAsia="Cambria" w:cs="Times New Roman"/>
          <w:spacing w:val="-2"/>
        </w:rPr>
        <w:t>groups.</w:t>
      </w:r>
    </w:p>
    <w:p w14:paraId="720E792E"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7"/>
        </w:rPr>
        <w:t xml:space="preserve"> </w:t>
      </w:r>
      <w:r w:rsidRPr="00151B4C">
        <w:rPr>
          <w:rFonts w:eastAsia="Cambria" w:cs="Times New Roman"/>
        </w:rPr>
        <w:t>environment</w:t>
      </w:r>
      <w:r w:rsidRPr="00151B4C">
        <w:rPr>
          <w:rFonts w:eastAsia="Cambria" w:cs="Times New Roman"/>
          <w:spacing w:val="-6"/>
        </w:rPr>
        <w:t xml:space="preserve"> </w:t>
      </w:r>
      <w:r w:rsidRPr="00151B4C">
        <w:rPr>
          <w:rFonts w:eastAsia="Cambria" w:cs="Times New Roman"/>
        </w:rPr>
        <w:t>(sun</w:t>
      </w:r>
      <w:r w:rsidRPr="00151B4C">
        <w:rPr>
          <w:rFonts w:eastAsia="Cambria" w:cs="Times New Roman"/>
          <w:spacing w:val="-7"/>
        </w:rPr>
        <w:t xml:space="preserve"> </w:t>
      </w:r>
      <w:r w:rsidRPr="00151B4C">
        <w:rPr>
          <w:rFonts w:eastAsia="Cambria" w:cs="Times New Roman"/>
        </w:rPr>
        <w:t>exposure)</w:t>
      </w:r>
      <w:r w:rsidRPr="00151B4C">
        <w:rPr>
          <w:rFonts w:eastAsia="Cambria" w:cs="Times New Roman"/>
          <w:spacing w:val="-6"/>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rPr>
        <w:t>an</w:t>
      </w:r>
      <w:r w:rsidRPr="00151B4C">
        <w:rPr>
          <w:rFonts w:eastAsia="Cambria" w:cs="Times New Roman"/>
          <w:spacing w:val="-5"/>
        </w:rPr>
        <w:t xml:space="preserve"> </w:t>
      </w:r>
      <w:r w:rsidRPr="00151B4C">
        <w:rPr>
          <w:rFonts w:eastAsia="Cambria" w:cs="Times New Roman"/>
        </w:rPr>
        <w:t>individual</w:t>
      </w:r>
      <w:r w:rsidRPr="00151B4C">
        <w:rPr>
          <w:rFonts w:eastAsia="Cambria" w:cs="Times New Roman"/>
          <w:spacing w:val="-8"/>
        </w:rPr>
        <w:t xml:space="preserve"> </w:t>
      </w:r>
      <w:r w:rsidRPr="00151B4C">
        <w:rPr>
          <w:rFonts w:eastAsia="Cambria" w:cs="Times New Roman"/>
        </w:rPr>
        <w:t>may</w:t>
      </w:r>
      <w:r w:rsidRPr="00151B4C">
        <w:rPr>
          <w:rFonts w:eastAsia="Cambria" w:cs="Times New Roman"/>
          <w:spacing w:val="-3"/>
        </w:rPr>
        <w:t xml:space="preserve"> </w:t>
      </w:r>
      <w:r w:rsidRPr="00151B4C">
        <w:rPr>
          <w:rFonts w:eastAsia="Cambria" w:cs="Times New Roman"/>
        </w:rPr>
        <w:t>be</w:t>
      </w:r>
      <w:r w:rsidRPr="00151B4C">
        <w:rPr>
          <w:rFonts w:eastAsia="Cambria" w:cs="Times New Roman"/>
          <w:spacing w:val="-6"/>
        </w:rPr>
        <w:t xml:space="preserve"> </w:t>
      </w:r>
      <w:r w:rsidRPr="00151B4C">
        <w:rPr>
          <w:rFonts w:eastAsia="Cambria" w:cs="Times New Roman"/>
          <w:spacing w:val="-5"/>
        </w:rPr>
        <w:t>in.</w:t>
      </w:r>
    </w:p>
    <w:p w14:paraId="304BD618"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Clothing</w:t>
      </w:r>
      <w:r w:rsidRPr="00151B4C">
        <w:rPr>
          <w:rFonts w:eastAsia="Cambria" w:cs="Times New Roman"/>
          <w:spacing w:val="-5"/>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rPr>
        <w:t>an</w:t>
      </w:r>
      <w:r w:rsidRPr="00151B4C">
        <w:rPr>
          <w:rFonts w:eastAsia="Cambria" w:cs="Times New Roman"/>
          <w:spacing w:val="-4"/>
        </w:rPr>
        <w:t xml:space="preserve"> </w:t>
      </w:r>
      <w:r w:rsidRPr="00151B4C">
        <w:rPr>
          <w:rFonts w:eastAsia="Cambria" w:cs="Times New Roman"/>
        </w:rPr>
        <w:t>individual</w:t>
      </w:r>
      <w:r w:rsidRPr="00151B4C">
        <w:rPr>
          <w:rFonts w:eastAsia="Cambria" w:cs="Times New Roman"/>
          <w:spacing w:val="-3"/>
        </w:rPr>
        <w:t xml:space="preserve"> </w:t>
      </w:r>
      <w:r w:rsidRPr="00151B4C">
        <w:rPr>
          <w:rFonts w:eastAsia="Cambria" w:cs="Times New Roman"/>
        </w:rPr>
        <w:t>is</w:t>
      </w:r>
      <w:r w:rsidRPr="00151B4C">
        <w:rPr>
          <w:rFonts w:eastAsia="Cambria" w:cs="Times New Roman"/>
          <w:spacing w:val="-3"/>
        </w:rPr>
        <w:t xml:space="preserve"> </w:t>
      </w:r>
      <w:r w:rsidRPr="00151B4C">
        <w:rPr>
          <w:rFonts w:eastAsia="Cambria" w:cs="Times New Roman"/>
        </w:rPr>
        <w:t>likely</w:t>
      </w:r>
      <w:r w:rsidRPr="00151B4C">
        <w:rPr>
          <w:rFonts w:eastAsia="Cambria" w:cs="Times New Roman"/>
          <w:spacing w:val="-4"/>
        </w:rPr>
        <w:t xml:space="preserve"> </w:t>
      </w:r>
      <w:r w:rsidRPr="00151B4C">
        <w:rPr>
          <w:rFonts w:eastAsia="Cambria" w:cs="Times New Roman"/>
        </w:rPr>
        <w:t>to</w:t>
      </w:r>
      <w:r w:rsidRPr="00151B4C">
        <w:rPr>
          <w:rFonts w:eastAsia="Cambria" w:cs="Times New Roman"/>
          <w:spacing w:val="-4"/>
        </w:rPr>
        <w:t xml:space="preserve"> </w:t>
      </w:r>
      <w:r w:rsidRPr="00151B4C">
        <w:rPr>
          <w:rFonts w:eastAsia="Cambria" w:cs="Times New Roman"/>
        </w:rPr>
        <w:t>be</w:t>
      </w:r>
      <w:r w:rsidRPr="00151B4C">
        <w:rPr>
          <w:rFonts w:eastAsia="Cambria" w:cs="Times New Roman"/>
          <w:spacing w:val="-4"/>
        </w:rPr>
        <w:t xml:space="preserve"> </w:t>
      </w:r>
      <w:r w:rsidRPr="00151B4C">
        <w:rPr>
          <w:rFonts w:eastAsia="Cambria" w:cs="Times New Roman"/>
        </w:rPr>
        <w:t>wearing</w:t>
      </w:r>
      <w:r w:rsidRPr="00151B4C">
        <w:rPr>
          <w:rFonts w:eastAsia="Cambria" w:cs="Times New Roman"/>
          <w:spacing w:val="-5"/>
        </w:rPr>
        <w:t xml:space="preserve"> </w:t>
      </w:r>
      <w:r w:rsidRPr="00151B4C">
        <w:rPr>
          <w:rFonts w:eastAsia="Cambria" w:cs="Times New Roman"/>
        </w:rPr>
        <w:t>in</w:t>
      </w:r>
      <w:r w:rsidRPr="00151B4C">
        <w:rPr>
          <w:rFonts w:eastAsia="Cambria" w:cs="Times New Roman"/>
          <w:spacing w:val="-4"/>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spacing w:val="-2"/>
        </w:rPr>
        <w:t>environment.</w:t>
      </w:r>
    </w:p>
    <w:p w14:paraId="68611E46"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6"/>
        </w:rPr>
        <w:t xml:space="preserve"> </w:t>
      </w:r>
      <w:r w:rsidRPr="00151B4C">
        <w:rPr>
          <w:rFonts w:eastAsia="Cambria" w:cs="Times New Roman"/>
        </w:rPr>
        <w:t>total</w:t>
      </w:r>
      <w:r w:rsidRPr="00151B4C">
        <w:rPr>
          <w:rFonts w:eastAsia="Cambria" w:cs="Times New Roman"/>
          <w:spacing w:val="-6"/>
        </w:rPr>
        <w:t xml:space="preserve"> </w:t>
      </w:r>
      <w:r w:rsidRPr="00151B4C">
        <w:rPr>
          <w:rFonts w:eastAsia="Cambria" w:cs="Times New Roman"/>
        </w:rPr>
        <w:t>skin</w:t>
      </w:r>
      <w:r w:rsidRPr="00151B4C">
        <w:rPr>
          <w:rFonts w:eastAsia="Cambria" w:cs="Times New Roman"/>
          <w:spacing w:val="-6"/>
        </w:rPr>
        <w:t xml:space="preserve"> </w:t>
      </w:r>
      <w:r w:rsidRPr="00151B4C">
        <w:rPr>
          <w:rFonts w:eastAsia="Cambria" w:cs="Times New Roman"/>
        </w:rPr>
        <w:t>surface</w:t>
      </w:r>
      <w:r w:rsidRPr="00151B4C">
        <w:rPr>
          <w:rFonts w:eastAsia="Cambria" w:cs="Times New Roman"/>
          <w:spacing w:val="-4"/>
        </w:rPr>
        <w:t xml:space="preserve"> </w:t>
      </w:r>
      <w:r w:rsidRPr="00151B4C">
        <w:rPr>
          <w:rFonts w:eastAsia="Cambria" w:cs="Times New Roman"/>
        </w:rPr>
        <w:t>area</w:t>
      </w:r>
      <w:r w:rsidRPr="00151B4C">
        <w:rPr>
          <w:rFonts w:eastAsia="Cambria" w:cs="Times New Roman"/>
          <w:spacing w:val="-3"/>
        </w:rPr>
        <w:t xml:space="preserve"> </w:t>
      </w:r>
      <w:r w:rsidRPr="00151B4C">
        <w:rPr>
          <w:rFonts w:eastAsia="Cambria" w:cs="Times New Roman"/>
        </w:rPr>
        <w:t>for</w:t>
      </w:r>
      <w:r w:rsidRPr="00151B4C">
        <w:rPr>
          <w:rFonts w:eastAsia="Cambria" w:cs="Times New Roman"/>
          <w:spacing w:val="-5"/>
        </w:rPr>
        <w:t xml:space="preserve"> </w:t>
      </w:r>
      <w:r w:rsidRPr="00151B4C">
        <w:rPr>
          <w:rFonts w:eastAsia="Cambria" w:cs="Times New Roman"/>
        </w:rPr>
        <w:t>exposed</w:t>
      </w:r>
      <w:r w:rsidRPr="00151B4C">
        <w:rPr>
          <w:rFonts w:eastAsia="Cambria" w:cs="Times New Roman"/>
          <w:spacing w:val="-4"/>
        </w:rPr>
        <w:t xml:space="preserve"> </w:t>
      </w:r>
      <w:r w:rsidRPr="00151B4C">
        <w:rPr>
          <w:rFonts w:eastAsia="Cambria" w:cs="Times New Roman"/>
        </w:rPr>
        <w:t>skin</w:t>
      </w:r>
      <w:r w:rsidRPr="00151B4C">
        <w:rPr>
          <w:rFonts w:eastAsia="Cambria" w:cs="Times New Roman"/>
          <w:spacing w:val="-5"/>
        </w:rPr>
        <w:t xml:space="preserve"> </w:t>
      </w:r>
      <w:r w:rsidRPr="00151B4C">
        <w:rPr>
          <w:rFonts w:eastAsia="Cambria" w:cs="Times New Roman"/>
        </w:rPr>
        <w:t>where</w:t>
      </w:r>
      <w:r w:rsidRPr="00151B4C">
        <w:rPr>
          <w:rFonts w:eastAsia="Cambria" w:cs="Times New Roman"/>
          <w:spacing w:val="-6"/>
        </w:rPr>
        <w:t xml:space="preserve"> </w:t>
      </w:r>
      <w:r w:rsidRPr="00151B4C">
        <w:rPr>
          <w:rFonts w:eastAsia="Cambria" w:cs="Times New Roman"/>
        </w:rPr>
        <w:t>sunscreen</w:t>
      </w:r>
      <w:r w:rsidRPr="00151B4C">
        <w:rPr>
          <w:rFonts w:eastAsia="Cambria" w:cs="Times New Roman"/>
          <w:spacing w:val="-5"/>
        </w:rPr>
        <w:t xml:space="preserve"> </w:t>
      </w:r>
      <w:r w:rsidRPr="00151B4C">
        <w:rPr>
          <w:rFonts w:eastAsia="Cambria" w:cs="Times New Roman"/>
        </w:rPr>
        <w:t>is</w:t>
      </w:r>
      <w:r w:rsidRPr="00151B4C">
        <w:rPr>
          <w:rFonts w:eastAsia="Cambria" w:cs="Times New Roman"/>
          <w:spacing w:val="-5"/>
        </w:rPr>
        <w:t xml:space="preserve"> </w:t>
      </w:r>
      <w:r w:rsidRPr="00151B4C">
        <w:rPr>
          <w:rFonts w:eastAsia="Cambria" w:cs="Times New Roman"/>
        </w:rPr>
        <w:t>likely</w:t>
      </w:r>
      <w:r w:rsidRPr="00151B4C">
        <w:rPr>
          <w:rFonts w:eastAsia="Cambria" w:cs="Times New Roman"/>
          <w:spacing w:val="-5"/>
        </w:rPr>
        <w:t xml:space="preserve"> </w:t>
      </w:r>
      <w:r w:rsidRPr="00151B4C">
        <w:rPr>
          <w:rFonts w:eastAsia="Cambria" w:cs="Times New Roman"/>
        </w:rPr>
        <w:t>to</w:t>
      </w:r>
      <w:r w:rsidRPr="00151B4C">
        <w:rPr>
          <w:rFonts w:eastAsia="Cambria" w:cs="Times New Roman"/>
          <w:spacing w:val="-5"/>
        </w:rPr>
        <w:t xml:space="preserve"> </w:t>
      </w:r>
      <w:r w:rsidRPr="00151B4C">
        <w:rPr>
          <w:rFonts w:eastAsia="Cambria" w:cs="Times New Roman"/>
        </w:rPr>
        <w:t>be</w:t>
      </w:r>
      <w:r w:rsidRPr="00151B4C">
        <w:rPr>
          <w:rFonts w:eastAsia="Cambria" w:cs="Times New Roman"/>
          <w:spacing w:val="-4"/>
        </w:rPr>
        <w:t xml:space="preserve"> </w:t>
      </w:r>
      <w:r w:rsidRPr="00151B4C">
        <w:rPr>
          <w:rFonts w:eastAsia="Cambria" w:cs="Times New Roman"/>
          <w:spacing w:val="-2"/>
        </w:rPr>
        <w:t>used.</w:t>
      </w:r>
    </w:p>
    <w:p w14:paraId="2914F863" w14:textId="77777777" w:rsidR="007366F7"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4"/>
        </w:rPr>
        <w:t xml:space="preserve"> </w:t>
      </w:r>
      <w:r w:rsidRPr="00151B4C">
        <w:rPr>
          <w:rFonts w:eastAsia="Cambria" w:cs="Times New Roman"/>
        </w:rPr>
        <w:t>number</w:t>
      </w:r>
      <w:r w:rsidRPr="00151B4C">
        <w:rPr>
          <w:rFonts w:eastAsia="Cambria" w:cs="Times New Roman"/>
          <w:spacing w:val="-3"/>
        </w:rPr>
        <w:t xml:space="preserve"> </w:t>
      </w:r>
      <w:r w:rsidRPr="00151B4C">
        <w:rPr>
          <w:rFonts w:eastAsia="Cambria" w:cs="Times New Roman"/>
        </w:rPr>
        <w:t>of</w:t>
      </w:r>
      <w:r w:rsidRPr="00151B4C">
        <w:rPr>
          <w:rFonts w:eastAsia="Cambria" w:cs="Times New Roman"/>
          <w:spacing w:val="-4"/>
        </w:rPr>
        <w:t xml:space="preserve"> </w:t>
      </w:r>
      <w:r w:rsidRPr="00151B4C">
        <w:rPr>
          <w:rFonts w:eastAsia="Cambria" w:cs="Times New Roman"/>
        </w:rPr>
        <w:t>days</w:t>
      </w:r>
      <w:r w:rsidRPr="00151B4C">
        <w:rPr>
          <w:rFonts w:eastAsia="Cambria" w:cs="Times New Roman"/>
          <w:spacing w:val="-3"/>
        </w:rPr>
        <w:t xml:space="preserve"> </w:t>
      </w:r>
      <w:r w:rsidRPr="00151B4C">
        <w:rPr>
          <w:rFonts w:eastAsia="Cambria" w:cs="Times New Roman"/>
        </w:rPr>
        <w:t>sunscreen</w:t>
      </w:r>
      <w:r w:rsidRPr="00151B4C">
        <w:rPr>
          <w:rFonts w:eastAsia="Cambria" w:cs="Times New Roman"/>
          <w:spacing w:val="-2"/>
        </w:rPr>
        <w:t xml:space="preserve"> </w:t>
      </w:r>
      <w:r w:rsidRPr="00151B4C">
        <w:rPr>
          <w:rFonts w:eastAsia="Cambria" w:cs="Times New Roman"/>
        </w:rPr>
        <w:t>is</w:t>
      </w:r>
      <w:r w:rsidRPr="00151B4C">
        <w:rPr>
          <w:rFonts w:eastAsia="Cambria" w:cs="Times New Roman"/>
          <w:spacing w:val="-3"/>
        </w:rPr>
        <w:t xml:space="preserve"> </w:t>
      </w:r>
      <w:r w:rsidRPr="00151B4C">
        <w:rPr>
          <w:rFonts w:eastAsia="Cambria" w:cs="Times New Roman"/>
        </w:rPr>
        <w:t>applied</w:t>
      </w:r>
      <w:r w:rsidRPr="00151B4C">
        <w:rPr>
          <w:rFonts w:eastAsia="Cambria" w:cs="Times New Roman"/>
          <w:spacing w:val="-1"/>
        </w:rPr>
        <w:t xml:space="preserve"> </w:t>
      </w:r>
      <w:r w:rsidRPr="00151B4C">
        <w:rPr>
          <w:rFonts w:eastAsia="Cambria" w:cs="Times New Roman"/>
        </w:rPr>
        <w:t>in</w:t>
      </w:r>
      <w:r w:rsidRPr="00151B4C">
        <w:rPr>
          <w:rFonts w:eastAsia="Cambria" w:cs="Times New Roman"/>
          <w:spacing w:val="-2"/>
        </w:rPr>
        <w:t xml:space="preserve"> </w:t>
      </w:r>
      <w:r w:rsidRPr="00151B4C">
        <w:rPr>
          <w:rFonts w:eastAsia="Cambria" w:cs="Times New Roman"/>
        </w:rPr>
        <w:t>a</w:t>
      </w:r>
      <w:r w:rsidRPr="00151B4C">
        <w:rPr>
          <w:rFonts w:eastAsia="Cambria" w:cs="Times New Roman"/>
          <w:spacing w:val="-4"/>
        </w:rPr>
        <w:t xml:space="preserve"> </w:t>
      </w:r>
      <w:r w:rsidRPr="00151B4C">
        <w:rPr>
          <w:rFonts w:eastAsia="Cambria" w:cs="Times New Roman"/>
        </w:rPr>
        <w:t>year,</w:t>
      </w:r>
      <w:r w:rsidRPr="00151B4C">
        <w:rPr>
          <w:rFonts w:eastAsia="Cambria" w:cs="Times New Roman"/>
          <w:spacing w:val="-2"/>
        </w:rPr>
        <w:t xml:space="preserve"> </w:t>
      </w:r>
      <w:r w:rsidRPr="00151B4C">
        <w:rPr>
          <w:rFonts w:eastAsia="Cambria" w:cs="Times New Roman"/>
        </w:rPr>
        <w:t>factoring</w:t>
      </w:r>
      <w:r w:rsidRPr="00151B4C">
        <w:rPr>
          <w:rFonts w:eastAsia="Cambria" w:cs="Times New Roman"/>
          <w:spacing w:val="-2"/>
        </w:rPr>
        <w:t xml:space="preserve"> </w:t>
      </w:r>
      <w:r w:rsidRPr="00151B4C">
        <w:rPr>
          <w:rFonts w:eastAsia="Cambria" w:cs="Times New Roman"/>
        </w:rPr>
        <w:t>in</w:t>
      </w:r>
      <w:r w:rsidRPr="00151B4C">
        <w:rPr>
          <w:rFonts w:eastAsia="Cambria" w:cs="Times New Roman"/>
          <w:spacing w:val="-2"/>
        </w:rPr>
        <w:t xml:space="preserve"> </w:t>
      </w:r>
      <w:r w:rsidRPr="00151B4C">
        <w:rPr>
          <w:rFonts w:eastAsia="Cambria" w:cs="Times New Roman"/>
        </w:rPr>
        <w:t>variables</w:t>
      </w:r>
      <w:r w:rsidRPr="00151B4C">
        <w:rPr>
          <w:rFonts w:eastAsia="Cambria" w:cs="Times New Roman"/>
          <w:spacing w:val="-3"/>
        </w:rPr>
        <w:t xml:space="preserve"> </w:t>
      </w:r>
      <w:r w:rsidRPr="00151B4C">
        <w:rPr>
          <w:rFonts w:eastAsia="Cambria" w:cs="Times New Roman"/>
        </w:rPr>
        <w:t>such</w:t>
      </w:r>
      <w:r w:rsidRPr="00151B4C">
        <w:rPr>
          <w:rFonts w:eastAsia="Cambria" w:cs="Times New Roman"/>
          <w:spacing w:val="-2"/>
        </w:rPr>
        <w:t xml:space="preserve"> </w:t>
      </w:r>
      <w:r w:rsidRPr="00151B4C">
        <w:rPr>
          <w:rFonts w:eastAsia="Cambria" w:cs="Times New Roman"/>
        </w:rPr>
        <w:t>as weather conditions, and different use based on weekday vs weekend activity.</w:t>
      </w:r>
    </w:p>
    <w:p w14:paraId="759152D4" w14:textId="55EB5056" w:rsidR="00151B4C" w:rsidRPr="007366F7" w:rsidRDefault="00ED32F1" w:rsidP="007366F7">
      <w:pPr>
        <w:tabs>
          <w:tab w:val="left" w:pos="425"/>
        </w:tabs>
        <w:spacing w:before="120" w:after="180" w:line="240" w:lineRule="atLeast"/>
        <w:rPr>
          <w:rFonts w:eastAsia="Cambria" w:cs="Times New Roman"/>
        </w:rPr>
      </w:pPr>
      <w:hyperlink w:anchor="Table8" w:history="1">
        <w:r w:rsidR="007366F7" w:rsidRPr="007366F7">
          <w:rPr>
            <w:rStyle w:val="Hyperlink"/>
          </w:rPr>
          <w:t>Table 8</w:t>
        </w:r>
      </w:hyperlink>
      <w:r w:rsidR="007366F7">
        <w:t xml:space="preserve"> d</w:t>
      </w:r>
      <w:r w:rsidR="00151B4C" w:rsidRPr="00151B4C">
        <w:t>escribes</w:t>
      </w:r>
      <w:r w:rsidR="00151B4C" w:rsidRPr="007366F7">
        <w:rPr>
          <w:spacing w:val="-5"/>
        </w:rPr>
        <w:t xml:space="preserve"> </w:t>
      </w:r>
      <w:r w:rsidR="00151B4C" w:rsidRPr="00151B4C">
        <w:t>the</w:t>
      </w:r>
      <w:r w:rsidR="00151B4C" w:rsidRPr="007366F7">
        <w:rPr>
          <w:spacing w:val="-4"/>
        </w:rPr>
        <w:t xml:space="preserve"> </w:t>
      </w:r>
      <w:r w:rsidR="00151B4C" w:rsidRPr="00151B4C">
        <w:t>6</w:t>
      </w:r>
      <w:r w:rsidR="00151B4C" w:rsidRPr="007366F7">
        <w:rPr>
          <w:spacing w:val="-5"/>
        </w:rPr>
        <w:t xml:space="preserve"> </w:t>
      </w:r>
      <w:r w:rsidR="00151B4C" w:rsidRPr="00151B4C">
        <w:t>ASEM</w:t>
      </w:r>
      <w:r w:rsidR="00151B4C" w:rsidRPr="007366F7">
        <w:rPr>
          <w:spacing w:val="-6"/>
        </w:rPr>
        <w:t xml:space="preserve"> </w:t>
      </w:r>
      <w:r w:rsidR="00151B4C" w:rsidRPr="007366F7">
        <w:rPr>
          <w:spacing w:val="-2"/>
        </w:rPr>
        <w:t>scenarios.</w:t>
      </w:r>
    </w:p>
    <w:p w14:paraId="632374FE" w14:textId="55DD15DB" w:rsidR="00151B4C" w:rsidRPr="007B4E17" w:rsidRDefault="00151B4C" w:rsidP="00F47305">
      <w:pPr>
        <w:pStyle w:val="Heading4"/>
      </w:pPr>
      <w:bookmarkStart w:id="97" w:name="_Toc184730582"/>
      <w:r w:rsidRPr="00151B4C">
        <w:t>How</w:t>
      </w:r>
      <w:r w:rsidRPr="007B4E17">
        <w:t xml:space="preserve"> </w:t>
      </w:r>
      <w:r w:rsidRPr="00151B4C">
        <w:t>the</w:t>
      </w:r>
      <w:r w:rsidRPr="007B4E17">
        <w:t xml:space="preserve"> </w:t>
      </w:r>
      <w:r w:rsidRPr="00151B4C">
        <w:t>ASEM</w:t>
      </w:r>
      <w:r w:rsidRPr="007B4E17">
        <w:t xml:space="preserve"> </w:t>
      </w:r>
      <w:r w:rsidRPr="00151B4C">
        <w:t>scenarios</w:t>
      </w:r>
      <w:r w:rsidRPr="007B4E17">
        <w:t xml:space="preserve"> </w:t>
      </w:r>
      <w:r w:rsidRPr="00151B4C">
        <w:t>estimate</w:t>
      </w:r>
      <w:r w:rsidRPr="007B4E17">
        <w:t xml:space="preserve"> </w:t>
      </w:r>
      <w:r w:rsidRPr="00151B4C">
        <w:t>days</w:t>
      </w:r>
      <w:r w:rsidRPr="007B4E17">
        <w:t xml:space="preserve"> </w:t>
      </w:r>
      <w:r w:rsidRPr="00151B4C">
        <w:t>sunscreen</w:t>
      </w:r>
      <w:r w:rsidRPr="007B4E17">
        <w:t xml:space="preserve"> </w:t>
      </w:r>
      <w:r w:rsidRPr="00151B4C">
        <w:t>is</w:t>
      </w:r>
      <w:r w:rsidRPr="007B4E17">
        <w:t xml:space="preserve"> </w:t>
      </w:r>
      <w:r w:rsidRPr="00151B4C">
        <w:t>applied</w:t>
      </w:r>
      <w:r w:rsidRPr="007B4E17">
        <w:t xml:space="preserve"> </w:t>
      </w:r>
      <w:r w:rsidRPr="00151B4C">
        <w:t>in</w:t>
      </w:r>
      <w:r w:rsidRPr="007B4E17">
        <w:t xml:space="preserve"> </w:t>
      </w:r>
      <w:r w:rsidRPr="00151B4C">
        <w:t xml:space="preserve">a </w:t>
      </w:r>
      <w:r w:rsidRPr="007B4E17">
        <w:t>year</w:t>
      </w:r>
      <w:bookmarkEnd w:id="97"/>
    </w:p>
    <w:p w14:paraId="624C165A" w14:textId="72E7B7AC" w:rsidR="00151B4C" w:rsidRPr="00151B4C" w:rsidRDefault="00151B4C" w:rsidP="0000416D">
      <w:pPr>
        <w:rPr>
          <w:lang w:val="en-US"/>
        </w:rPr>
      </w:pPr>
      <w:r w:rsidRPr="00151B4C">
        <w:rPr>
          <w:lang w:val="en-US"/>
        </w:rPr>
        <w:t>The ASEM scenarios (</w:t>
      </w:r>
      <w:hyperlink w:anchor="Table8" w:history="1">
        <w:r w:rsidRPr="007366F7">
          <w:rPr>
            <w:rStyle w:val="Hyperlink"/>
            <w:rFonts w:eastAsia="Arial" w:cs="Arial"/>
            <w:lang w:val="en-US"/>
          </w:rPr>
          <w:t xml:space="preserve">Table </w:t>
        </w:r>
        <w:r w:rsidR="007366F7" w:rsidRPr="007366F7">
          <w:rPr>
            <w:rStyle w:val="Hyperlink"/>
            <w:rFonts w:eastAsia="Arial" w:cs="Arial"/>
            <w:lang w:val="en-US"/>
          </w:rPr>
          <w:t>8</w:t>
        </w:r>
      </w:hyperlink>
      <w:r w:rsidRPr="00151B4C">
        <w:rPr>
          <w:lang w:val="en-US"/>
        </w:rPr>
        <w:t>) consider sunscreen exposure across weekdays and weekends to account for the highest-use case across a year, which is divided by 365 to give the average daily sunscreen</w:t>
      </w:r>
      <w:r w:rsidRPr="00151B4C">
        <w:rPr>
          <w:spacing w:val="-4"/>
          <w:lang w:val="en-US"/>
        </w:rPr>
        <w:t xml:space="preserve"> </w:t>
      </w:r>
      <w:r w:rsidRPr="00151B4C">
        <w:rPr>
          <w:lang w:val="en-US"/>
        </w:rPr>
        <w:t>exposure.</w:t>
      </w:r>
      <w:r w:rsidRPr="00151B4C">
        <w:rPr>
          <w:spacing w:val="-4"/>
          <w:lang w:val="en-US"/>
        </w:rPr>
        <w:t xml:space="preserve"> </w:t>
      </w:r>
      <w:r w:rsidRPr="00151B4C">
        <w:rPr>
          <w:lang w:val="en-US"/>
        </w:rPr>
        <w:t>The</w:t>
      </w:r>
      <w:r w:rsidRPr="00151B4C">
        <w:rPr>
          <w:spacing w:val="-2"/>
          <w:lang w:val="en-US"/>
        </w:rPr>
        <w:t xml:space="preserve"> </w:t>
      </w:r>
      <w:r w:rsidRPr="00151B4C">
        <w:rPr>
          <w:lang w:val="en-US"/>
        </w:rPr>
        <w:t>use</w:t>
      </w:r>
      <w:r w:rsidRPr="00151B4C">
        <w:rPr>
          <w:spacing w:val="-4"/>
          <w:lang w:val="en-US"/>
        </w:rPr>
        <w:t xml:space="preserve"> </w:t>
      </w:r>
      <w:r w:rsidRPr="00151B4C">
        <w:rPr>
          <w:lang w:val="en-US"/>
        </w:rPr>
        <w:t>of</w:t>
      </w:r>
      <w:r w:rsidRPr="00151B4C">
        <w:rPr>
          <w:spacing w:val="-4"/>
          <w:lang w:val="en-US"/>
        </w:rPr>
        <w:t xml:space="preserve"> </w:t>
      </w:r>
      <w:r w:rsidRPr="00151B4C">
        <w:rPr>
          <w:lang w:val="en-US"/>
        </w:rPr>
        <w:t>sunscreen</w:t>
      </w:r>
      <w:r w:rsidRPr="00151B4C">
        <w:rPr>
          <w:spacing w:val="-2"/>
          <w:lang w:val="en-US"/>
        </w:rPr>
        <w:t xml:space="preserve"> </w:t>
      </w:r>
      <w:r w:rsidRPr="00151B4C">
        <w:rPr>
          <w:lang w:val="en-US"/>
        </w:rPr>
        <w:t>is</w:t>
      </w:r>
      <w:r w:rsidRPr="00151B4C">
        <w:rPr>
          <w:spacing w:val="-3"/>
          <w:lang w:val="en-US"/>
        </w:rPr>
        <w:t xml:space="preserve"> </w:t>
      </w:r>
      <w:r w:rsidRPr="00151B4C">
        <w:rPr>
          <w:lang w:val="en-US"/>
        </w:rPr>
        <w:t>required</w:t>
      </w:r>
      <w:r w:rsidRPr="00151B4C">
        <w:rPr>
          <w:spacing w:val="-2"/>
          <w:lang w:val="en-US"/>
        </w:rPr>
        <w:t xml:space="preserve"> </w:t>
      </w:r>
      <w:r w:rsidRPr="00151B4C">
        <w:rPr>
          <w:lang w:val="en-US"/>
        </w:rPr>
        <w:t>when</w:t>
      </w:r>
      <w:r w:rsidRPr="00151B4C">
        <w:rPr>
          <w:spacing w:val="-2"/>
          <w:lang w:val="en-US"/>
        </w:rPr>
        <w:t xml:space="preserve"> </w:t>
      </w:r>
      <w:r w:rsidRPr="00151B4C">
        <w:rPr>
          <w:lang w:val="en-US"/>
        </w:rPr>
        <w:t>exposed</w:t>
      </w:r>
      <w:r w:rsidRPr="00151B4C">
        <w:rPr>
          <w:spacing w:val="-4"/>
          <w:lang w:val="en-US"/>
        </w:rPr>
        <w:t xml:space="preserve"> </w:t>
      </w:r>
      <w:r w:rsidRPr="00151B4C">
        <w:rPr>
          <w:lang w:val="en-US"/>
        </w:rPr>
        <w:t>to</w:t>
      </w:r>
      <w:r w:rsidRPr="00151B4C">
        <w:rPr>
          <w:spacing w:val="-2"/>
          <w:lang w:val="en-US"/>
        </w:rPr>
        <w:t xml:space="preserve"> </w:t>
      </w:r>
      <w:r w:rsidRPr="00151B4C">
        <w:rPr>
          <w:lang w:val="en-US"/>
        </w:rPr>
        <w:t>the</w:t>
      </w:r>
      <w:r w:rsidRPr="00151B4C">
        <w:rPr>
          <w:spacing w:val="-4"/>
          <w:lang w:val="en-US"/>
        </w:rPr>
        <w:t xml:space="preserve"> </w:t>
      </w:r>
      <w:r w:rsidRPr="00151B4C">
        <w:rPr>
          <w:lang w:val="en-US"/>
        </w:rPr>
        <w:t>sun</w:t>
      </w:r>
      <w:r w:rsidRPr="00151B4C">
        <w:rPr>
          <w:spacing w:val="-4"/>
          <w:lang w:val="en-US"/>
        </w:rPr>
        <w:t xml:space="preserve"> </w:t>
      </w:r>
      <w:r w:rsidRPr="00151B4C">
        <w:rPr>
          <w:lang w:val="en-US"/>
        </w:rPr>
        <w:t>year-round</w:t>
      </w:r>
      <w:r w:rsidRPr="00151B4C">
        <w:rPr>
          <w:spacing w:val="-2"/>
          <w:lang w:val="en-US"/>
        </w:rPr>
        <w:t xml:space="preserve"> </w:t>
      </w:r>
      <w:r w:rsidRPr="00151B4C">
        <w:rPr>
          <w:lang w:val="en-US"/>
        </w:rPr>
        <w:t>for</w:t>
      </w:r>
      <w:r w:rsidRPr="00151B4C">
        <w:rPr>
          <w:spacing w:val="-3"/>
          <w:lang w:val="en-US"/>
        </w:rPr>
        <w:t xml:space="preserve"> </w:t>
      </w:r>
      <w:r w:rsidRPr="00151B4C">
        <w:rPr>
          <w:lang w:val="en-US"/>
        </w:rPr>
        <w:t>parts of</w:t>
      </w:r>
      <w:r w:rsidRPr="00151B4C">
        <w:rPr>
          <w:spacing w:val="-1"/>
          <w:lang w:val="en-US"/>
        </w:rPr>
        <w:t xml:space="preserve"> </w:t>
      </w:r>
      <w:r w:rsidRPr="00151B4C">
        <w:rPr>
          <w:lang w:val="en-US"/>
        </w:rPr>
        <w:t>Australia</w:t>
      </w:r>
      <w:r w:rsidRPr="00151B4C">
        <w:rPr>
          <w:spacing w:val="-1"/>
          <w:lang w:val="en-US"/>
        </w:rPr>
        <w:t xml:space="preserve"> </w:t>
      </w:r>
      <w:r w:rsidRPr="00151B4C">
        <w:rPr>
          <w:lang w:val="en-US"/>
        </w:rPr>
        <w:t>where</w:t>
      </w:r>
      <w:r w:rsidRPr="00151B4C">
        <w:rPr>
          <w:spacing w:val="-1"/>
          <w:lang w:val="en-US"/>
        </w:rPr>
        <w:t xml:space="preserve"> </w:t>
      </w:r>
      <w:r w:rsidRPr="00151B4C">
        <w:rPr>
          <w:lang w:val="en-US"/>
        </w:rPr>
        <w:t>the</w:t>
      </w:r>
      <w:r w:rsidRPr="00151B4C">
        <w:rPr>
          <w:spacing w:val="-1"/>
          <w:lang w:val="en-US"/>
        </w:rPr>
        <w:t xml:space="preserve"> </w:t>
      </w:r>
      <w:r w:rsidRPr="00151B4C">
        <w:rPr>
          <w:lang w:val="en-US"/>
        </w:rPr>
        <w:t>UV index consistently exceeds 3,</w:t>
      </w:r>
      <w:r w:rsidRPr="00151B4C">
        <w:rPr>
          <w:spacing w:val="-1"/>
          <w:lang w:val="en-US"/>
        </w:rPr>
        <w:t xml:space="preserve"> </w:t>
      </w:r>
      <w:r w:rsidRPr="00151B4C">
        <w:rPr>
          <w:lang w:val="en-US"/>
        </w:rPr>
        <w:t>such</w:t>
      </w:r>
      <w:r w:rsidRPr="00151B4C">
        <w:rPr>
          <w:spacing w:val="-1"/>
          <w:lang w:val="en-US"/>
        </w:rPr>
        <w:t xml:space="preserve"> </w:t>
      </w:r>
      <w:r w:rsidRPr="00151B4C">
        <w:rPr>
          <w:lang w:val="en-US"/>
        </w:rPr>
        <w:t>as Darwin,</w:t>
      </w:r>
      <w:r w:rsidRPr="00151B4C">
        <w:rPr>
          <w:spacing w:val="-1"/>
          <w:lang w:val="en-US"/>
        </w:rPr>
        <w:t xml:space="preserve"> </w:t>
      </w:r>
      <w:r w:rsidRPr="00151B4C">
        <w:rPr>
          <w:lang w:val="en-US"/>
        </w:rPr>
        <w:t>Brisbane,</w:t>
      </w:r>
      <w:r w:rsidRPr="00151B4C">
        <w:rPr>
          <w:spacing w:val="-1"/>
          <w:lang w:val="en-US"/>
        </w:rPr>
        <w:t xml:space="preserve"> </w:t>
      </w:r>
      <w:r w:rsidRPr="00151B4C">
        <w:rPr>
          <w:lang w:val="en-US"/>
        </w:rPr>
        <w:t>and</w:t>
      </w:r>
      <w:r w:rsidRPr="00151B4C">
        <w:rPr>
          <w:spacing w:val="-1"/>
          <w:lang w:val="en-US"/>
        </w:rPr>
        <w:t xml:space="preserve"> </w:t>
      </w:r>
      <w:r w:rsidRPr="00151B4C">
        <w:rPr>
          <w:lang w:val="en-US"/>
        </w:rPr>
        <w:t>Perth etc.</w:t>
      </w:r>
      <w:r w:rsidRPr="00151B4C">
        <w:rPr>
          <w:spacing w:val="-1"/>
          <w:lang w:val="en-US"/>
        </w:rPr>
        <w:t xml:space="preserve"> </w:t>
      </w:r>
      <w:r w:rsidRPr="00151B4C">
        <w:rPr>
          <w:lang w:val="en-US"/>
        </w:rPr>
        <w:t xml:space="preserve">as discussed under </w:t>
      </w:r>
      <w:hyperlink w:anchor="_Current_evidence-based_sunscreen" w:history="1">
        <w:r w:rsidRPr="00151B4C">
          <w:rPr>
            <w:lang w:val="en-US"/>
          </w:rPr>
          <w:t>‘</w:t>
        </w:r>
        <w:r w:rsidRPr="00151B4C">
          <w:rPr>
            <w:color w:val="0000FF"/>
            <w:u w:val="single" w:color="0000FF"/>
            <w:lang w:val="en-US"/>
          </w:rPr>
          <w:t>Current evidence-based sunscreen use guidelines</w:t>
        </w:r>
        <w:r w:rsidRPr="00151B4C">
          <w:rPr>
            <w:lang w:val="en-US"/>
          </w:rPr>
          <w:t>’</w:t>
        </w:r>
      </w:hyperlink>
      <w:r w:rsidRPr="00151B4C">
        <w:rPr>
          <w:lang w:val="en-US"/>
        </w:rPr>
        <w:t xml:space="preserve"> above.</w:t>
      </w:r>
    </w:p>
    <w:p w14:paraId="1561A079" w14:textId="786CFEDF" w:rsidR="00151B4C" w:rsidRPr="00151B4C" w:rsidRDefault="00151B4C" w:rsidP="0000416D">
      <w:pPr>
        <w:rPr>
          <w:lang w:val="en-US"/>
        </w:rPr>
      </w:pPr>
      <w:r w:rsidRPr="00151B4C">
        <w:rPr>
          <w:b/>
          <w:lang w:val="en-US"/>
        </w:rPr>
        <w:t xml:space="preserve">Weekday exposure </w:t>
      </w:r>
      <w:r w:rsidRPr="00151B4C">
        <w:rPr>
          <w:lang w:val="en-US"/>
        </w:rPr>
        <w:t xml:space="preserve">is estimated based on a 5-day work week (i.e. 5 x 52 = 260 </w:t>
      </w:r>
      <w:r w:rsidR="00322538">
        <w:rPr>
          <w:lang w:val="en-US"/>
        </w:rPr>
        <w:t>days</w:t>
      </w:r>
      <w:r w:rsidRPr="00151B4C">
        <w:rPr>
          <w:lang w:val="en-US"/>
        </w:rPr>
        <w:t xml:space="preserve"> annually), then</w:t>
      </w:r>
      <w:r w:rsidRPr="00151B4C">
        <w:rPr>
          <w:spacing w:val="-2"/>
          <w:lang w:val="en-US"/>
        </w:rPr>
        <w:t xml:space="preserve"> </w:t>
      </w:r>
      <w:r w:rsidRPr="00151B4C">
        <w:rPr>
          <w:lang w:val="en-US"/>
        </w:rPr>
        <w:t>adjusted</w:t>
      </w:r>
      <w:r w:rsidRPr="00151B4C">
        <w:rPr>
          <w:spacing w:val="-2"/>
          <w:lang w:val="en-US"/>
        </w:rPr>
        <w:t xml:space="preserve"> </w:t>
      </w:r>
      <w:r w:rsidRPr="00151B4C">
        <w:rPr>
          <w:lang w:val="en-US"/>
        </w:rPr>
        <w:t>for</w:t>
      </w:r>
      <w:r w:rsidRPr="00151B4C">
        <w:rPr>
          <w:spacing w:val="-3"/>
          <w:lang w:val="en-US"/>
        </w:rPr>
        <w:t xml:space="preserve"> </w:t>
      </w:r>
      <w:r w:rsidRPr="00151B4C">
        <w:rPr>
          <w:lang w:val="en-US"/>
        </w:rPr>
        <w:t>days</w:t>
      </w:r>
      <w:r w:rsidRPr="00151B4C">
        <w:rPr>
          <w:spacing w:val="-3"/>
          <w:lang w:val="en-US"/>
        </w:rPr>
        <w:t xml:space="preserve"> </w:t>
      </w:r>
      <w:r w:rsidRPr="00151B4C">
        <w:rPr>
          <w:lang w:val="en-US"/>
        </w:rPr>
        <w:t>of</w:t>
      </w:r>
      <w:r w:rsidRPr="00151B4C">
        <w:rPr>
          <w:spacing w:val="-4"/>
          <w:lang w:val="en-US"/>
        </w:rPr>
        <w:t xml:space="preserve"> </w:t>
      </w:r>
      <w:r w:rsidRPr="00151B4C">
        <w:rPr>
          <w:lang w:val="en-US"/>
        </w:rPr>
        <w:t>heavy</w:t>
      </w:r>
      <w:r w:rsidRPr="00151B4C">
        <w:rPr>
          <w:spacing w:val="-3"/>
          <w:lang w:val="en-US"/>
        </w:rPr>
        <w:t xml:space="preserve"> </w:t>
      </w:r>
      <w:r w:rsidRPr="00151B4C">
        <w:rPr>
          <w:lang w:val="en-US"/>
        </w:rPr>
        <w:t>rainfall</w:t>
      </w:r>
      <w:r w:rsidRPr="00151B4C">
        <w:rPr>
          <w:spacing w:val="-5"/>
          <w:lang w:val="en-US"/>
        </w:rPr>
        <w:t xml:space="preserve"> </w:t>
      </w:r>
      <w:r w:rsidRPr="00151B4C">
        <w:rPr>
          <w:lang w:val="en-US"/>
        </w:rPr>
        <w:t>(&gt;10</w:t>
      </w:r>
      <w:r w:rsidRPr="00151B4C">
        <w:rPr>
          <w:spacing w:val="-1"/>
          <w:lang w:val="en-US"/>
        </w:rPr>
        <w:t xml:space="preserve"> </w:t>
      </w:r>
      <w:r w:rsidRPr="00151B4C">
        <w:rPr>
          <w:lang w:val="en-US"/>
        </w:rPr>
        <w:t>mm).</w:t>
      </w:r>
      <w:r w:rsidRPr="00151B4C">
        <w:rPr>
          <w:spacing w:val="-4"/>
          <w:lang w:val="en-US"/>
        </w:rPr>
        <w:t xml:space="preserve"> </w:t>
      </w:r>
      <w:r w:rsidRPr="00151B4C">
        <w:rPr>
          <w:lang w:val="en-US"/>
        </w:rPr>
        <w:t>It</w:t>
      </w:r>
      <w:r w:rsidRPr="00151B4C">
        <w:rPr>
          <w:spacing w:val="-2"/>
          <w:lang w:val="en-US"/>
        </w:rPr>
        <w:t xml:space="preserve"> </w:t>
      </w:r>
      <w:r w:rsidRPr="00151B4C">
        <w:rPr>
          <w:lang w:val="en-US"/>
        </w:rPr>
        <w:t>is acknowledged</w:t>
      </w:r>
      <w:r w:rsidRPr="00151B4C">
        <w:rPr>
          <w:spacing w:val="-4"/>
          <w:lang w:val="en-US"/>
        </w:rPr>
        <w:t xml:space="preserve"> </w:t>
      </w:r>
      <w:r w:rsidRPr="00151B4C">
        <w:rPr>
          <w:lang w:val="en-US"/>
        </w:rPr>
        <w:t>that</w:t>
      </w:r>
      <w:r w:rsidRPr="00151B4C">
        <w:rPr>
          <w:spacing w:val="-2"/>
          <w:lang w:val="en-US"/>
        </w:rPr>
        <w:t xml:space="preserve"> </w:t>
      </w:r>
      <w:r w:rsidRPr="00151B4C">
        <w:rPr>
          <w:lang w:val="en-US"/>
        </w:rPr>
        <w:t>low</w:t>
      </w:r>
      <w:r w:rsidRPr="00151B4C">
        <w:rPr>
          <w:spacing w:val="-1"/>
          <w:lang w:val="en-US"/>
        </w:rPr>
        <w:t xml:space="preserve"> </w:t>
      </w:r>
      <w:r w:rsidRPr="00151B4C">
        <w:rPr>
          <w:lang w:val="en-US"/>
        </w:rPr>
        <w:t>rainfall</w:t>
      </w:r>
      <w:r w:rsidRPr="00151B4C">
        <w:rPr>
          <w:spacing w:val="-5"/>
          <w:lang w:val="en-US"/>
        </w:rPr>
        <w:t xml:space="preserve"> </w:t>
      </w:r>
      <w:r w:rsidRPr="00151B4C">
        <w:rPr>
          <w:lang w:val="en-US"/>
        </w:rPr>
        <w:t>days</w:t>
      </w:r>
      <w:r w:rsidRPr="00151B4C">
        <w:rPr>
          <w:spacing w:val="-3"/>
          <w:lang w:val="en-US"/>
        </w:rPr>
        <w:t xml:space="preserve"> </w:t>
      </w:r>
      <w:r w:rsidRPr="00151B4C">
        <w:rPr>
          <w:lang w:val="en-US"/>
        </w:rPr>
        <w:t>(rainfall</w:t>
      </w:r>
      <w:r w:rsidRPr="00151B4C">
        <w:rPr>
          <w:spacing w:val="-3"/>
          <w:lang w:val="en-US"/>
        </w:rPr>
        <w:t xml:space="preserve"> </w:t>
      </w:r>
      <w:r w:rsidRPr="00151B4C">
        <w:rPr>
          <w:lang w:val="en-US"/>
        </w:rPr>
        <w:t>≥1 mm) with a UV index ≥3 may still necessitate sunscreen use (e.g. partly cloudy days, rainfall only for small period or in evening) as sun damage is also possible on cloudy days, since UV</w:t>
      </w:r>
      <w:r w:rsidR="00B034D8">
        <w:rPr>
          <w:lang w:val="en-US"/>
        </w:rPr>
        <w:t>R</w:t>
      </w:r>
      <w:r w:rsidRPr="00151B4C">
        <w:rPr>
          <w:lang w:val="en-US"/>
        </w:rPr>
        <w:t xml:space="preserve"> can penetrate some clouds, and may even be more intense due to reflection off the clouds (Cancer Council Australia 2024c). Additionally, people are likely to be indoors on heavy rainfall days (rainfall</w:t>
      </w:r>
      <w:r w:rsidR="0082336B">
        <w:rPr>
          <w:lang w:val="en-US"/>
        </w:rPr>
        <w:t xml:space="preserve"> </w:t>
      </w:r>
      <w:r w:rsidRPr="00151B4C">
        <w:rPr>
          <w:lang w:val="en-US"/>
        </w:rPr>
        <w:t xml:space="preserve">≥10 mm), thereby negating the use of sunscreens on such days. Average heavy rainfall days were calculated using BOM climate data (BOM 2024e) for rainfall for the past 3 years (2021-2023) for locations across Australia (see </w:t>
      </w:r>
      <w:hyperlink w:anchor="Table7" w:history="1">
        <w:r w:rsidRPr="007366F7">
          <w:rPr>
            <w:color w:val="0000FF"/>
            <w:u w:val="single"/>
            <w:lang w:val="en-US"/>
          </w:rPr>
          <w:t>Table</w:t>
        </w:r>
        <w:r w:rsidR="007366F7">
          <w:rPr>
            <w:color w:val="0000FF"/>
            <w:u w:val="single"/>
            <w:lang w:val="en-US"/>
          </w:rPr>
          <w:t xml:space="preserve"> 7</w:t>
        </w:r>
      </w:hyperlink>
      <w:r w:rsidRPr="007366F7">
        <w:rPr>
          <w:lang w:val="en-US"/>
        </w:rPr>
        <w:t>).</w:t>
      </w:r>
      <w:r w:rsidRPr="00151B4C">
        <w:rPr>
          <w:lang w:val="en-US"/>
        </w:rPr>
        <w:t xml:space="preserve"> The average weekly total heavy rainfall days was assumed to</w:t>
      </w:r>
      <w:r w:rsidRPr="00151B4C">
        <w:rPr>
          <w:spacing w:val="-3"/>
          <w:lang w:val="en-US"/>
        </w:rPr>
        <w:t xml:space="preserve"> </w:t>
      </w:r>
      <w:r w:rsidRPr="00151B4C">
        <w:rPr>
          <w:lang w:val="en-US"/>
        </w:rPr>
        <w:t>be</w:t>
      </w:r>
      <w:r w:rsidRPr="00151B4C">
        <w:rPr>
          <w:spacing w:val="-1"/>
          <w:lang w:val="en-US"/>
        </w:rPr>
        <w:t xml:space="preserve"> </w:t>
      </w:r>
      <w:r w:rsidRPr="00151B4C">
        <w:rPr>
          <w:lang w:val="en-US"/>
        </w:rPr>
        <w:t>20</w:t>
      </w:r>
      <w:r w:rsidRPr="00151B4C">
        <w:rPr>
          <w:spacing w:val="-1"/>
          <w:lang w:val="en-US"/>
        </w:rPr>
        <w:t xml:space="preserve"> </w:t>
      </w:r>
      <w:r w:rsidRPr="00151B4C">
        <w:rPr>
          <w:lang w:val="en-US"/>
        </w:rPr>
        <w:t>days</w:t>
      </w:r>
      <w:r w:rsidRPr="00151B4C">
        <w:rPr>
          <w:spacing w:val="-2"/>
          <w:lang w:val="en-US"/>
        </w:rPr>
        <w:t xml:space="preserve"> </w:t>
      </w:r>
      <w:r w:rsidRPr="00151B4C">
        <w:rPr>
          <w:lang w:val="en-US"/>
        </w:rPr>
        <w:t>(i.e.</w:t>
      </w:r>
      <w:r w:rsidRPr="00151B4C">
        <w:rPr>
          <w:spacing w:val="-1"/>
          <w:lang w:val="en-US"/>
        </w:rPr>
        <w:t xml:space="preserve"> </w:t>
      </w:r>
      <w:r w:rsidRPr="00151B4C">
        <w:rPr>
          <w:lang w:val="en-US"/>
        </w:rPr>
        <w:t>5/7</w:t>
      </w:r>
      <w:r w:rsidRPr="00151B4C">
        <w:rPr>
          <w:spacing w:val="-1"/>
          <w:lang w:val="en-US"/>
        </w:rPr>
        <w:t xml:space="preserve"> </w:t>
      </w:r>
      <w:r w:rsidRPr="00151B4C">
        <w:rPr>
          <w:lang w:val="en-US"/>
        </w:rPr>
        <w:t>x</w:t>
      </w:r>
      <w:r w:rsidRPr="00151B4C">
        <w:rPr>
          <w:spacing w:val="-2"/>
          <w:lang w:val="en-US"/>
        </w:rPr>
        <w:t xml:space="preserve"> </w:t>
      </w:r>
      <w:r w:rsidRPr="00151B4C">
        <w:rPr>
          <w:lang w:val="en-US"/>
        </w:rPr>
        <w:t>29).</w:t>
      </w:r>
      <w:r w:rsidRPr="00151B4C">
        <w:rPr>
          <w:spacing w:val="-3"/>
          <w:lang w:val="en-US"/>
        </w:rPr>
        <w:t xml:space="preserve"> </w:t>
      </w:r>
      <w:r w:rsidR="003523EA">
        <w:rPr>
          <w:lang w:val="en-US"/>
        </w:rPr>
        <w:t>T</w:t>
      </w:r>
      <w:r w:rsidRPr="00151B4C">
        <w:rPr>
          <w:lang w:val="en-US"/>
        </w:rPr>
        <w:t>otal</w:t>
      </w:r>
      <w:r w:rsidRPr="00151B4C">
        <w:rPr>
          <w:spacing w:val="-4"/>
          <w:lang w:val="en-US"/>
        </w:rPr>
        <w:t xml:space="preserve"> </w:t>
      </w:r>
      <w:r w:rsidRPr="00151B4C">
        <w:rPr>
          <w:lang w:val="en-US"/>
        </w:rPr>
        <w:t>weekdays of</w:t>
      </w:r>
      <w:r w:rsidRPr="00151B4C">
        <w:rPr>
          <w:spacing w:val="-3"/>
          <w:lang w:val="en-US"/>
        </w:rPr>
        <w:t xml:space="preserve"> </w:t>
      </w:r>
      <w:r w:rsidRPr="00151B4C">
        <w:rPr>
          <w:lang w:val="en-US"/>
        </w:rPr>
        <w:t>exposure</w:t>
      </w:r>
      <w:r w:rsidRPr="00151B4C">
        <w:rPr>
          <w:spacing w:val="-3"/>
          <w:lang w:val="en-US"/>
        </w:rPr>
        <w:t xml:space="preserve"> </w:t>
      </w:r>
      <w:r w:rsidRPr="00151B4C">
        <w:rPr>
          <w:lang w:val="en-US"/>
        </w:rPr>
        <w:t>were</w:t>
      </w:r>
      <w:r w:rsidRPr="00151B4C">
        <w:rPr>
          <w:spacing w:val="-1"/>
          <w:lang w:val="en-US"/>
        </w:rPr>
        <w:t xml:space="preserve"> </w:t>
      </w:r>
      <w:r w:rsidRPr="00151B4C">
        <w:rPr>
          <w:lang w:val="en-US"/>
        </w:rPr>
        <w:t>calculated</w:t>
      </w:r>
      <w:r w:rsidRPr="00151B4C">
        <w:rPr>
          <w:spacing w:val="-3"/>
          <w:lang w:val="en-US"/>
        </w:rPr>
        <w:t xml:space="preserve"> </w:t>
      </w:r>
      <w:r w:rsidRPr="00151B4C">
        <w:rPr>
          <w:lang w:val="en-US"/>
        </w:rPr>
        <w:t>as</w:t>
      </w:r>
      <w:r w:rsidRPr="00151B4C">
        <w:rPr>
          <w:spacing w:val="-2"/>
          <w:lang w:val="en-US"/>
        </w:rPr>
        <w:t xml:space="preserve"> </w:t>
      </w:r>
      <w:r w:rsidRPr="00151B4C">
        <w:rPr>
          <w:b/>
          <w:lang w:val="en-US"/>
        </w:rPr>
        <w:t>240</w:t>
      </w:r>
      <w:r w:rsidRPr="00151B4C">
        <w:rPr>
          <w:b/>
          <w:spacing w:val="-3"/>
          <w:lang w:val="en-US"/>
        </w:rPr>
        <w:t xml:space="preserve"> </w:t>
      </w:r>
      <w:r w:rsidRPr="00151B4C">
        <w:rPr>
          <w:b/>
          <w:lang w:val="en-US"/>
        </w:rPr>
        <w:t>days</w:t>
      </w:r>
      <w:r w:rsidRPr="00151B4C">
        <w:rPr>
          <w:b/>
          <w:spacing w:val="-3"/>
          <w:lang w:val="en-US"/>
        </w:rPr>
        <w:t xml:space="preserve"> </w:t>
      </w:r>
      <w:r w:rsidRPr="00151B4C">
        <w:rPr>
          <w:lang w:val="en-US"/>
        </w:rPr>
        <w:t xml:space="preserve">(260 – 20). This has been used for the assumed highest-use plausible duration of sunscreen use </w:t>
      </w:r>
      <w:r w:rsidR="003523EA">
        <w:rPr>
          <w:lang w:val="en-US"/>
        </w:rPr>
        <w:t>on</w:t>
      </w:r>
      <w:r w:rsidRPr="00151B4C">
        <w:rPr>
          <w:lang w:val="en-US"/>
        </w:rPr>
        <w:t xml:space="preserve"> weekdays in scenarios 1</w:t>
      </w:r>
      <w:r w:rsidR="003523EA">
        <w:rPr>
          <w:lang w:val="en-US"/>
        </w:rPr>
        <w:t xml:space="preserve"> to </w:t>
      </w:r>
      <w:r w:rsidRPr="00151B4C">
        <w:rPr>
          <w:lang w:val="en-US"/>
        </w:rPr>
        <w:t>4.</w:t>
      </w:r>
    </w:p>
    <w:p w14:paraId="48C91190" w14:textId="29E55C78" w:rsidR="00151B4C" w:rsidRPr="00151B4C" w:rsidRDefault="00151B4C" w:rsidP="00382CEA">
      <w:pPr>
        <w:pStyle w:val="Tabletitle"/>
        <w:rPr>
          <w:lang w:val="en-US"/>
        </w:rPr>
      </w:pPr>
      <w:bookmarkStart w:id="98" w:name="Table7"/>
      <w:r w:rsidRPr="00151B4C">
        <w:rPr>
          <w:lang w:val="en-US"/>
        </w:rPr>
        <w:t>Table</w:t>
      </w:r>
      <w:r w:rsidRPr="00151B4C">
        <w:rPr>
          <w:spacing w:val="-8"/>
          <w:lang w:val="en-US"/>
        </w:rPr>
        <w:t xml:space="preserve"> </w:t>
      </w:r>
      <w:r w:rsidR="00D97276">
        <w:rPr>
          <w:lang w:val="en-US"/>
        </w:rPr>
        <w:t>7</w:t>
      </w:r>
      <w:bookmarkEnd w:id="98"/>
      <w:r w:rsidRPr="00151B4C">
        <w:rPr>
          <w:lang w:val="en-US"/>
        </w:rPr>
        <w:t>:</w:t>
      </w:r>
      <w:r w:rsidRPr="00151B4C">
        <w:rPr>
          <w:spacing w:val="-5"/>
          <w:lang w:val="en-US"/>
        </w:rPr>
        <w:t xml:space="preserve"> </w:t>
      </w:r>
      <w:r w:rsidRPr="00290E87">
        <w:rPr>
          <w:lang w:val="en-US"/>
        </w:rPr>
        <w:t>Average heavy rainfall days for Australia (2021-2023)</w:t>
      </w:r>
    </w:p>
    <w:tbl>
      <w:tblPr>
        <w:tblW w:w="0" w:type="auto"/>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276"/>
        <w:gridCol w:w="1345"/>
        <w:gridCol w:w="2057"/>
        <w:gridCol w:w="1701"/>
        <w:gridCol w:w="2410"/>
      </w:tblGrid>
      <w:tr w:rsidR="00151B4C" w:rsidRPr="00151B4C" w14:paraId="64134D21" w14:textId="77777777" w:rsidTr="00406CF7">
        <w:trPr>
          <w:trHeight w:val="479"/>
          <w:tblHeader/>
        </w:trPr>
        <w:tc>
          <w:tcPr>
            <w:tcW w:w="2621" w:type="dxa"/>
            <w:gridSpan w:val="2"/>
            <w:shd w:val="clear" w:color="auto" w:fill="DEEAF6"/>
          </w:tcPr>
          <w:p w14:paraId="56C49653" w14:textId="77777777" w:rsidR="00151B4C" w:rsidRPr="00151B4C" w:rsidRDefault="00151B4C" w:rsidP="00382CEA">
            <w:pPr>
              <w:keepNext/>
              <w:widowControl w:val="0"/>
              <w:autoSpaceDE w:val="0"/>
              <w:autoSpaceDN w:val="0"/>
              <w:spacing w:before="129" w:after="0" w:line="240" w:lineRule="auto"/>
              <w:ind w:left="952"/>
              <w:rPr>
                <w:rFonts w:eastAsia="Arial" w:cs="Arial"/>
                <w:b/>
                <w:szCs w:val="22"/>
                <w:lang w:val="en-US"/>
              </w:rPr>
            </w:pPr>
            <w:r w:rsidRPr="00151B4C">
              <w:rPr>
                <w:rFonts w:eastAsia="Arial" w:cs="Arial"/>
                <w:b/>
                <w:color w:val="253186"/>
                <w:spacing w:val="-2"/>
                <w:szCs w:val="22"/>
                <w:lang w:val="en-US"/>
              </w:rPr>
              <w:t>Location</w:t>
            </w:r>
          </w:p>
        </w:tc>
        <w:tc>
          <w:tcPr>
            <w:tcW w:w="6168" w:type="dxa"/>
            <w:gridSpan w:val="3"/>
            <w:shd w:val="clear" w:color="auto" w:fill="DEEAF6"/>
          </w:tcPr>
          <w:p w14:paraId="4EC7DA6C" w14:textId="77777777" w:rsidR="00151B4C" w:rsidRPr="00151B4C" w:rsidRDefault="00151B4C" w:rsidP="00382CEA">
            <w:pPr>
              <w:keepNext/>
              <w:widowControl w:val="0"/>
              <w:autoSpaceDE w:val="0"/>
              <w:autoSpaceDN w:val="0"/>
              <w:spacing w:before="129" w:after="0" w:line="240" w:lineRule="auto"/>
              <w:ind w:left="479"/>
              <w:rPr>
                <w:rFonts w:eastAsia="Arial" w:cs="Arial"/>
                <w:b/>
                <w:szCs w:val="22"/>
                <w:lang w:val="en-US"/>
              </w:rPr>
            </w:pPr>
            <w:r w:rsidRPr="00151B4C">
              <w:rPr>
                <w:rFonts w:eastAsia="Arial" w:cs="Arial"/>
                <w:b/>
                <w:color w:val="253186"/>
                <w:szCs w:val="22"/>
                <w:lang w:val="en-US"/>
              </w:rPr>
              <w:t>Rainfall</w:t>
            </w:r>
            <w:r w:rsidRPr="00151B4C">
              <w:rPr>
                <w:rFonts w:eastAsia="Arial" w:cs="Arial"/>
                <w:b/>
                <w:color w:val="253186"/>
                <w:spacing w:val="-7"/>
                <w:szCs w:val="22"/>
                <w:lang w:val="en-US"/>
              </w:rPr>
              <w:t xml:space="preserve"> </w:t>
            </w:r>
            <w:r w:rsidRPr="00151B4C">
              <w:rPr>
                <w:rFonts w:eastAsia="Arial" w:cs="Arial"/>
                <w:b/>
                <w:color w:val="253186"/>
                <w:szCs w:val="22"/>
                <w:lang w:val="en-US"/>
              </w:rPr>
              <w:t>≥</w:t>
            </w:r>
            <w:r w:rsidRPr="00151B4C">
              <w:rPr>
                <w:rFonts w:eastAsia="Arial" w:cs="Arial"/>
                <w:b/>
                <w:color w:val="253186"/>
                <w:spacing w:val="-6"/>
                <w:szCs w:val="22"/>
                <w:lang w:val="en-US"/>
              </w:rPr>
              <w:t xml:space="preserve"> </w:t>
            </w:r>
            <w:r w:rsidRPr="00151B4C">
              <w:rPr>
                <w:rFonts w:eastAsia="Arial" w:cs="Arial"/>
                <w:b/>
                <w:color w:val="253186"/>
                <w:szCs w:val="22"/>
                <w:lang w:val="en-US"/>
              </w:rPr>
              <w:t>10mm</w:t>
            </w:r>
            <w:r w:rsidRPr="00151B4C">
              <w:rPr>
                <w:rFonts w:eastAsia="Arial" w:cs="Arial"/>
                <w:b/>
                <w:color w:val="253186"/>
                <w:spacing w:val="-6"/>
                <w:szCs w:val="22"/>
                <w:lang w:val="en-US"/>
              </w:rPr>
              <w:t xml:space="preserve"> </w:t>
            </w:r>
            <w:r w:rsidRPr="00151B4C">
              <w:rPr>
                <w:rFonts w:eastAsia="Arial" w:cs="Arial"/>
                <w:b/>
                <w:color w:val="253186"/>
                <w:spacing w:val="-4"/>
                <w:szCs w:val="22"/>
                <w:lang w:val="en-US"/>
              </w:rPr>
              <w:t>days</w:t>
            </w:r>
          </w:p>
        </w:tc>
      </w:tr>
      <w:tr w:rsidR="004813EC" w:rsidRPr="00151B4C" w14:paraId="451B30B3" w14:textId="77777777" w:rsidTr="00290E87">
        <w:trPr>
          <w:trHeight w:val="313"/>
        </w:trPr>
        <w:tc>
          <w:tcPr>
            <w:tcW w:w="1276" w:type="dxa"/>
          </w:tcPr>
          <w:p w14:paraId="5382DA68" w14:textId="77777777" w:rsidR="00151B4C" w:rsidRPr="006D28D0" w:rsidRDefault="00151B4C" w:rsidP="00382CEA">
            <w:pPr>
              <w:keepNext/>
              <w:widowControl w:val="0"/>
              <w:autoSpaceDE w:val="0"/>
              <w:autoSpaceDN w:val="0"/>
              <w:spacing w:before="78" w:after="0" w:line="215" w:lineRule="exact"/>
              <w:ind w:left="124" w:right="1"/>
              <w:jc w:val="center"/>
              <w:rPr>
                <w:rFonts w:eastAsia="Arial" w:cs="Arial"/>
                <w:b/>
                <w:sz w:val="18"/>
                <w:szCs w:val="18"/>
                <w:lang w:val="en-US"/>
              </w:rPr>
            </w:pPr>
            <w:r w:rsidRPr="006D28D0">
              <w:rPr>
                <w:rFonts w:eastAsia="Arial" w:cs="Arial"/>
                <w:b/>
                <w:spacing w:val="-2"/>
                <w:sz w:val="18"/>
                <w:szCs w:val="18"/>
                <w:lang w:val="en-US"/>
              </w:rPr>
              <w:t>Station</w:t>
            </w:r>
          </w:p>
        </w:tc>
        <w:tc>
          <w:tcPr>
            <w:tcW w:w="1345" w:type="dxa"/>
          </w:tcPr>
          <w:p w14:paraId="5E01A571" w14:textId="77777777" w:rsidR="00151B4C" w:rsidRPr="006D28D0" w:rsidRDefault="00151B4C" w:rsidP="00382CEA">
            <w:pPr>
              <w:keepNext/>
              <w:widowControl w:val="0"/>
              <w:autoSpaceDE w:val="0"/>
              <w:autoSpaceDN w:val="0"/>
              <w:spacing w:before="78" w:after="0" w:line="215" w:lineRule="exact"/>
              <w:ind w:left="122"/>
              <w:jc w:val="center"/>
              <w:rPr>
                <w:rFonts w:eastAsia="Arial" w:cs="Arial"/>
                <w:b/>
                <w:sz w:val="18"/>
                <w:szCs w:val="18"/>
                <w:lang w:val="en-US"/>
              </w:rPr>
            </w:pPr>
            <w:r w:rsidRPr="006D28D0">
              <w:rPr>
                <w:rFonts w:eastAsia="Arial" w:cs="Arial"/>
                <w:b/>
                <w:spacing w:val="-4"/>
                <w:sz w:val="18"/>
                <w:szCs w:val="18"/>
                <w:lang w:val="en-US"/>
              </w:rPr>
              <w:t>City</w:t>
            </w:r>
          </w:p>
        </w:tc>
        <w:tc>
          <w:tcPr>
            <w:tcW w:w="2057" w:type="dxa"/>
          </w:tcPr>
          <w:p w14:paraId="0034BBD8" w14:textId="77777777" w:rsidR="00151B4C" w:rsidRPr="006D28D0"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6D28D0">
              <w:rPr>
                <w:rFonts w:eastAsia="Arial" w:cs="Arial"/>
                <w:b/>
                <w:spacing w:val="-4"/>
                <w:sz w:val="18"/>
                <w:szCs w:val="18"/>
                <w:lang w:val="en-US"/>
              </w:rPr>
              <w:t>2021</w:t>
            </w:r>
          </w:p>
        </w:tc>
        <w:tc>
          <w:tcPr>
            <w:tcW w:w="1701" w:type="dxa"/>
          </w:tcPr>
          <w:p w14:paraId="0216EE24" w14:textId="77777777" w:rsidR="00151B4C" w:rsidRPr="006D28D0"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6D28D0">
              <w:rPr>
                <w:rFonts w:eastAsia="Arial" w:cs="Arial"/>
                <w:b/>
                <w:spacing w:val="-4"/>
                <w:sz w:val="18"/>
                <w:szCs w:val="18"/>
                <w:lang w:val="en-US"/>
              </w:rPr>
              <w:t>2022</w:t>
            </w:r>
          </w:p>
        </w:tc>
        <w:tc>
          <w:tcPr>
            <w:tcW w:w="2410" w:type="dxa"/>
          </w:tcPr>
          <w:p w14:paraId="44BA960C" w14:textId="77777777" w:rsidR="00151B4C" w:rsidRPr="003413F6"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3413F6">
              <w:rPr>
                <w:rFonts w:eastAsia="Arial" w:cs="Arial"/>
                <w:b/>
                <w:spacing w:val="-4"/>
                <w:sz w:val="18"/>
                <w:szCs w:val="18"/>
                <w:lang w:val="en-US"/>
              </w:rPr>
              <w:t>2023</w:t>
            </w:r>
          </w:p>
        </w:tc>
      </w:tr>
      <w:tr w:rsidR="004813EC" w:rsidRPr="00151B4C" w14:paraId="1A7969D3" w14:textId="77777777" w:rsidTr="00290E87">
        <w:trPr>
          <w:trHeight w:val="316"/>
        </w:trPr>
        <w:tc>
          <w:tcPr>
            <w:tcW w:w="1276" w:type="dxa"/>
          </w:tcPr>
          <w:p w14:paraId="3F282196" w14:textId="77777777" w:rsidR="00151B4C" w:rsidRPr="006D28D0" w:rsidRDefault="00151B4C" w:rsidP="00382CEA">
            <w:pPr>
              <w:keepNext/>
              <w:widowControl w:val="0"/>
              <w:autoSpaceDE w:val="0"/>
              <w:autoSpaceDN w:val="0"/>
              <w:spacing w:before="78" w:after="0" w:line="218" w:lineRule="exact"/>
              <w:ind w:left="124" w:right="2"/>
              <w:jc w:val="center"/>
              <w:rPr>
                <w:rFonts w:eastAsia="Arial" w:cs="Arial"/>
                <w:sz w:val="18"/>
                <w:szCs w:val="18"/>
                <w:lang w:val="en-US"/>
              </w:rPr>
            </w:pPr>
            <w:r w:rsidRPr="006D28D0">
              <w:rPr>
                <w:rFonts w:eastAsia="Arial" w:cs="Arial"/>
                <w:spacing w:val="-2"/>
                <w:sz w:val="18"/>
                <w:szCs w:val="18"/>
                <w:lang w:val="en-US"/>
              </w:rPr>
              <w:t>94029</w:t>
            </w:r>
          </w:p>
        </w:tc>
        <w:tc>
          <w:tcPr>
            <w:tcW w:w="1345" w:type="dxa"/>
          </w:tcPr>
          <w:p w14:paraId="019D5A2D" w14:textId="77777777" w:rsidR="00151B4C" w:rsidRPr="006D28D0" w:rsidRDefault="00151B4C" w:rsidP="00382CEA">
            <w:pPr>
              <w:keepNext/>
              <w:widowControl w:val="0"/>
              <w:autoSpaceDE w:val="0"/>
              <w:autoSpaceDN w:val="0"/>
              <w:spacing w:before="78" w:after="0" w:line="218" w:lineRule="exact"/>
              <w:ind w:left="122" w:right="5"/>
              <w:jc w:val="center"/>
              <w:rPr>
                <w:rFonts w:eastAsia="Arial" w:cs="Arial"/>
                <w:sz w:val="18"/>
                <w:szCs w:val="18"/>
                <w:lang w:val="en-US"/>
              </w:rPr>
            </w:pPr>
            <w:r w:rsidRPr="006D28D0">
              <w:rPr>
                <w:rFonts w:eastAsia="Arial" w:cs="Arial"/>
                <w:spacing w:val="-2"/>
                <w:sz w:val="18"/>
                <w:szCs w:val="18"/>
                <w:lang w:val="en-US"/>
              </w:rPr>
              <w:t>Hobart</w:t>
            </w:r>
          </w:p>
        </w:tc>
        <w:tc>
          <w:tcPr>
            <w:tcW w:w="2057" w:type="dxa"/>
          </w:tcPr>
          <w:p w14:paraId="0C992C4B"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17</w:t>
            </w:r>
          </w:p>
        </w:tc>
        <w:tc>
          <w:tcPr>
            <w:tcW w:w="1701" w:type="dxa"/>
          </w:tcPr>
          <w:p w14:paraId="6B44F8B6"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20</w:t>
            </w:r>
          </w:p>
        </w:tc>
        <w:tc>
          <w:tcPr>
            <w:tcW w:w="2410" w:type="dxa"/>
          </w:tcPr>
          <w:p w14:paraId="50063DB0"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78F0EC32" w14:textId="77777777" w:rsidTr="00290E87">
        <w:trPr>
          <w:trHeight w:val="309"/>
        </w:trPr>
        <w:tc>
          <w:tcPr>
            <w:tcW w:w="1276" w:type="dxa"/>
          </w:tcPr>
          <w:p w14:paraId="3EDD71CF" w14:textId="77777777" w:rsidR="00151B4C" w:rsidRPr="006D28D0" w:rsidRDefault="00151B4C" w:rsidP="00382CEA">
            <w:pPr>
              <w:keepNext/>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86232</w:t>
            </w:r>
          </w:p>
        </w:tc>
        <w:tc>
          <w:tcPr>
            <w:tcW w:w="1345" w:type="dxa"/>
          </w:tcPr>
          <w:p w14:paraId="5063E7D7" w14:textId="77777777" w:rsidR="00151B4C" w:rsidRPr="006D28D0" w:rsidRDefault="00151B4C" w:rsidP="00382CEA">
            <w:pPr>
              <w:keepNext/>
              <w:widowControl w:val="0"/>
              <w:autoSpaceDE w:val="0"/>
              <w:autoSpaceDN w:val="0"/>
              <w:spacing w:before="78" w:after="0" w:line="211" w:lineRule="exact"/>
              <w:ind w:left="122" w:right="5"/>
              <w:jc w:val="center"/>
              <w:rPr>
                <w:rFonts w:eastAsia="Arial" w:cs="Arial"/>
                <w:sz w:val="18"/>
                <w:szCs w:val="18"/>
                <w:lang w:val="en-US"/>
              </w:rPr>
            </w:pPr>
            <w:r w:rsidRPr="006D28D0">
              <w:rPr>
                <w:rFonts w:eastAsia="Arial" w:cs="Arial"/>
                <w:spacing w:val="-2"/>
                <w:sz w:val="18"/>
                <w:szCs w:val="18"/>
                <w:lang w:val="en-US"/>
              </w:rPr>
              <w:t>Melbourne</w:t>
            </w:r>
          </w:p>
        </w:tc>
        <w:tc>
          <w:tcPr>
            <w:tcW w:w="2057" w:type="dxa"/>
          </w:tcPr>
          <w:p w14:paraId="23C2148D"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23</w:t>
            </w:r>
          </w:p>
        </w:tc>
        <w:tc>
          <w:tcPr>
            <w:tcW w:w="1701" w:type="dxa"/>
          </w:tcPr>
          <w:p w14:paraId="679B18D9"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21</w:t>
            </w:r>
          </w:p>
        </w:tc>
        <w:tc>
          <w:tcPr>
            <w:tcW w:w="2410" w:type="dxa"/>
          </w:tcPr>
          <w:p w14:paraId="44151C71"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74A5AF33" w14:textId="77777777" w:rsidTr="00290E87">
        <w:trPr>
          <w:trHeight w:val="309"/>
        </w:trPr>
        <w:tc>
          <w:tcPr>
            <w:tcW w:w="1276" w:type="dxa"/>
          </w:tcPr>
          <w:p w14:paraId="4DA22F80"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23034</w:t>
            </w:r>
          </w:p>
        </w:tc>
        <w:tc>
          <w:tcPr>
            <w:tcW w:w="1345" w:type="dxa"/>
          </w:tcPr>
          <w:p w14:paraId="62052CB8" w14:textId="77777777" w:rsidR="00151B4C" w:rsidRPr="006D28D0" w:rsidRDefault="00151B4C" w:rsidP="00151B4C">
            <w:pPr>
              <w:widowControl w:val="0"/>
              <w:autoSpaceDE w:val="0"/>
              <w:autoSpaceDN w:val="0"/>
              <w:spacing w:before="78" w:after="0" w:line="211" w:lineRule="exact"/>
              <w:ind w:left="122" w:right="5"/>
              <w:jc w:val="center"/>
              <w:rPr>
                <w:rFonts w:eastAsia="Arial" w:cs="Arial"/>
                <w:sz w:val="18"/>
                <w:szCs w:val="18"/>
                <w:lang w:val="en-US"/>
              </w:rPr>
            </w:pPr>
            <w:r w:rsidRPr="006D28D0">
              <w:rPr>
                <w:rFonts w:eastAsia="Arial" w:cs="Arial"/>
                <w:spacing w:val="-2"/>
                <w:sz w:val="18"/>
                <w:szCs w:val="18"/>
                <w:lang w:val="en-US"/>
              </w:rPr>
              <w:t>Adelaide</w:t>
            </w:r>
          </w:p>
        </w:tc>
        <w:tc>
          <w:tcPr>
            <w:tcW w:w="2057" w:type="dxa"/>
          </w:tcPr>
          <w:p w14:paraId="7B918C45"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11</w:t>
            </w:r>
          </w:p>
        </w:tc>
        <w:tc>
          <w:tcPr>
            <w:tcW w:w="1701" w:type="dxa"/>
          </w:tcPr>
          <w:p w14:paraId="19BF35D2"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10"/>
                <w:sz w:val="18"/>
                <w:szCs w:val="18"/>
                <w:lang w:val="en-US"/>
              </w:rPr>
              <w:t>8</w:t>
            </w:r>
          </w:p>
        </w:tc>
        <w:tc>
          <w:tcPr>
            <w:tcW w:w="2410" w:type="dxa"/>
          </w:tcPr>
          <w:p w14:paraId="57806B6A"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0B1D1806" w14:textId="77777777" w:rsidTr="00290E87">
        <w:trPr>
          <w:trHeight w:val="311"/>
        </w:trPr>
        <w:tc>
          <w:tcPr>
            <w:tcW w:w="1276" w:type="dxa"/>
          </w:tcPr>
          <w:p w14:paraId="133F34BC" w14:textId="77777777" w:rsidR="00151B4C" w:rsidRPr="006D28D0" w:rsidRDefault="00151B4C" w:rsidP="00151B4C">
            <w:pPr>
              <w:widowControl w:val="0"/>
              <w:autoSpaceDE w:val="0"/>
              <w:autoSpaceDN w:val="0"/>
              <w:spacing w:before="78" w:after="0" w:line="213" w:lineRule="exact"/>
              <w:ind w:left="124"/>
              <w:jc w:val="center"/>
              <w:rPr>
                <w:rFonts w:eastAsia="Arial" w:cs="Arial"/>
                <w:sz w:val="18"/>
                <w:szCs w:val="18"/>
                <w:lang w:val="en-US"/>
              </w:rPr>
            </w:pPr>
            <w:r w:rsidRPr="006D28D0">
              <w:rPr>
                <w:rFonts w:eastAsia="Arial" w:cs="Arial"/>
                <w:spacing w:val="-4"/>
                <w:sz w:val="18"/>
                <w:szCs w:val="18"/>
                <w:lang w:val="en-US"/>
              </w:rPr>
              <w:t>9021</w:t>
            </w:r>
          </w:p>
        </w:tc>
        <w:tc>
          <w:tcPr>
            <w:tcW w:w="1345" w:type="dxa"/>
          </w:tcPr>
          <w:p w14:paraId="7AD6D7DA" w14:textId="77777777" w:rsidR="00151B4C" w:rsidRPr="006D28D0" w:rsidRDefault="00151B4C" w:rsidP="00151B4C">
            <w:pPr>
              <w:widowControl w:val="0"/>
              <w:autoSpaceDE w:val="0"/>
              <w:autoSpaceDN w:val="0"/>
              <w:spacing w:before="78" w:after="0" w:line="213" w:lineRule="exact"/>
              <w:ind w:left="122" w:right="2"/>
              <w:jc w:val="center"/>
              <w:rPr>
                <w:rFonts w:eastAsia="Arial" w:cs="Arial"/>
                <w:sz w:val="18"/>
                <w:szCs w:val="18"/>
                <w:lang w:val="en-US"/>
              </w:rPr>
            </w:pPr>
            <w:r w:rsidRPr="006D28D0">
              <w:rPr>
                <w:rFonts w:eastAsia="Arial" w:cs="Arial"/>
                <w:spacing w:val="-2"/>
                <w:sz w:val="18"/>
                <w:szCs w:val="18"/>
                <w:lang w:val="en-US"/>
              </w:rPr>
              <w:t>Perth</w:t>
            </w:r>
          </w:p>
        </w:tc>
        <w:tc>
          <w:tcPr>
            <w:tcW w:w="2057" w:type="dxa"/>
          </w:tcPr>
          <w:p w14:paraId="1F23B1F2"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27</w:t>
            </w:r>
          </w:p>
        </w:tc>
        <w:tc>
          <w:tcPr>
            <w:tcW w:w="1701" w:type="dxa"/>
          </w:tcPr>
          <w:p w14:paraId="376E4C2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26</w:t>
            </w:r>
          </w:p>
        </w:tc>
        <w:tc>
          <w:tcPr>
            <w:tcW w:w="2410" w:type="dxa"/>
          </w:tcPr>
          <w:p w14:paraId="1D6D748D"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18</w:t>
            </w:r>
          </w:p>
        </w:tc>
      </w:tr>
      <w:tr w:rsidR="004813EC" w:rsidRPr="00151B4C" w14:paraId="1FEB923C" w14:textId="77777777" w:rsidTr="00290E87">
        <w:trPr>
          <w:trHeight w:val="309"/>
        </w:trPr>
        <w:tc>
          <w:tcPr>
            <w:tcW w:w="1276" w:type="dxa"/>
          </w:tcPr>
          <w:p w14:paraId="762F46A3"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14015</w:t>
            </w:r>
          </w:p>
        </w:tc>
        <w:tc>
          <w:tcPr>
            <w:tcW w:w="1345" w:type="dxa"/>
          </w:tcPr>
          <w:p w14:paraId="0EB5DEB8" w14:textId="77777777" w:rsidR="00151B4C" w:rsidRPr="006D28D0" w:rsidRDefault="00151B4C" w:rsidP="00151B4C">
            <w:pPr>
              <w:widowControl w:val="0"/>
              <w:autoSpaceDE w:val="0"/>
              <w:autoSpaceDN w:val="0"/>
              <w:spacing w:before="78" w:after="0" w:line="211" w:lineRule="exact"/>
              <w:ind w:left="122" w:right="2"/>
              <w:jc w:val="center"/>
              <w:rPr>
                <w:rFonts w:eastAsia="Arial" w:cs="Arial"/>
                <w:sz w:val="18"/>
                <w:szCs w:val="18"/>
                <w:lang w:val="en-US"/>
              </w:rPr>
            </w:pPr>
            <w:r w:rsidRPr="006D28D0">
              <w:rPr>
                <w:rFonts w:eastAsia="Arial" w:cs="Arial"/>
                <w:spacing w:val="-2"/>
                <w:sz w:val="18"/>
                <w:szCs w:val="18"/>
                <w:lang w:val="en-US"/>
              </w:rPr>
              <w:t>Darwin</w:t>
            </w:r>
          </w:p>
        </w:tc>
        <w:tc>
          <w:tcPr>
            <w:tcW w:w="2057" w:type="dxa"/>
          </w:tcPr>
          <w:p w14:paraId="722DE3ED"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50</w:t>
            </w:r>
          </w:p>
        </w:tc>
        <w:tc>
          <w:tcPr>
            <w:tcW w:w="1701" w:type="dxa"/>
          </w:tcPr>
          <w:p w14:paraId="658DE5F2"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58</w:t>
            </w:r>
          </w:p>
        </w:tc>
        <w:tc>
          <w:tcPr>
            <w:tcW w:w="2410" w:type="dxa"/>
          </w:tcPr>
          <w:p w14:paraId="0FBB4FA8"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43</w:t>
            </w:r>
          </w:p>
        </w:tc>
      </w:tr>
      <w:tr w:rsidR="004813EC" w:rsidRPr="00151B4C" w14:paraId="3FDD0D0F" w14:textId="77777777" w:rsidTr="00290E87">
        <w:trPr>
          <w:trHeight w:val="309"/>
        </w:trPr>
        <w:tc>
          <w:tcPr>
            <w:tcW w:w="1276" w:type="dxa"/>
          </w:tcPr>
          <w:p w14:paraId="2B55D619"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40913</w:t>
            </w:r>
          </w:p>
        </w:tc>
        <w:tc>
          <w:tcPr>
            <w:tcW w:w="1345" w:type="dxa"/>
          </w:tcPr>
          <w:p w14:paraId="17034FCE" w14:textId="77777777" w:rsidR="00151B4C" w:rsidRPr="006D28D0" w:rsidRDefault="00151B4C" w:rsidP="00151B4C">
            <w:pPr>
              <w:widowControl w:val="0"/>
              <w:autoSpaceDE w:val="0"/>
              <w:autoSpaceDN w:val="0"/>
              <w:spacing w:before="78" w:after="0" w:line="211" w:lineRule="exact"/>
              <w:ind w:left="122" w:right="3"/>
              <w:jc w:val="center"/>
              <w:rPr>
                <w:rFonts w:eastAsia="Arial" w:cs="Arial"/>
                <w:sz w:val="18"/>
                <w:szCs w:val="18"/>
                <w:lang w:val="en-US"/>
              </w:rPr>
            </w:pPr>
            <w:r w:rsidRPr="006D28D0">
              <w:rPr>
                <w:rFonts w:eastAsia="Arial" w:cs="Arial"/>
                <w:spacing w:val="-2"/>
                <w:sz w:val="18"/>
                <w:szCs w:val="18"/>
                <w:lang w:val="en-US"/>
              </w:rPr>
              <w:t>Brisbane</w:t>
            </w:r>
          </w:p>
        </w:tc>
        <w:tc>
          <w:tcPr>
            <w:tcW w:w="2057" w:type="dxa"/>
          </w:tcPr>
          <w:p w14:paraId="751959B0"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42</w:t>
            </w:r>
          </w:p>
        </w:tc>
        <w:tc>
          <w:tcPr>
            <w:tcW w:w="1701" w:type="dxa"/>
          </w:tcPr>
          <w:p w14:paraId="6892BC8E"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45</w:t>
            </w:r>
          </w:p>
        </w:tc>
        <w:tc>
          <w:tcPr>
            <w:tcW w:w="2410" w:type="dxa"/>
          </w:tcPr>
          <w:p w14:paraId="60588B18"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22</w:t>
            </w:r>
          </w:p>
        </w:tc>
      </w:tr>
      <w:tr w:rsidR="004813EC" w:rsidRPr="00151B4C" w14:paraId="52B547E5" w14:textId="77777777" w:rsidTr="00290E87">
        <w:trPr>
          <w:trHeight w:val="311"/>
        </w:trPr>
        <w:tc>
          <w:tcPr>
            <w:tcW w:w="1276" w:type="dxa"/>
          </w:tcPr>
          <w:p w14:paraId="1E4ABD29" w14:textId="77777777" w:rsidR="00151B4C" w:rsidRPr="006D28D0" w:rsidRDefault="00151B4C" w:rsidP="00151B4C">
            <w:pPr>
              <w:widowControl w:val="0"/>
              <w:autoSpaceDE w:val="0"/>
              <w:autoSpaceDN w:val="0"/>
              <w:spacing w:before="78" w:after="0" w:line="213" w:lineRule="exact"/>
              <w:ind w:left="124" w:right="2"/>
              <w:jc w:val="center"/>
              <w:rPr>
                <w:rFonts w:eastAsia="Arial" w:cs="Arial"/>
                <w:sz w:val="18"/>
                <w:szCs w:val="18"/>
                <w:lang w:val="en-US"/>
              </w:rPr>
            </w:pPr>
            <w:r w:rsidRPr="006D28D0">
              <w:rPr>
                <w:rFonts w:eastAsia="Arial" w:cs="Arial"/>
                <w:spacing w:val="-2"/>
                <w:sz w:val="18"/>
                <w:szCs w:val="18"/>
                <w:lang w:val="en-US"/>
              </w:rPr>
              <w:t>66006</w:t>
            </w:r>
          </w:p>
        </w:tc>
        <w:tc>
          <w:tcPr>
            <w:tcW w:w="1345" w:type="dxa"/>
          </w:tcPr>
          <w:p w14:paraId="34479707" w14:textId="77777777" w:rsidR="00151B4C" w:rsidRPr="006D28D0" w:rsidRDefault="00151B4C" w:rsidP="00151B4C">
            <w:pPr>
              <w:widowControl w:val="0"/>
              <w:autoSpaceDE w:val="0"/>
              <w:autoSpaceDN w:val="0"/>
              <w:spacing w:before="78" w:after="0" w:line="213" w:lineRule="exact"/>
              <w:ind w:left="122" w:right="7"/>
              <w:jc w:val="center"/>
              <w:rPr>
                <w:rFonts w:eastAsia="Arial" w:cs="Arial"/>
                <w:sz w:val="18"/>
                <w:szCs w:val="18"/>
                <w:lang w:val="en-US"/>
              </w:rPr>
            </w:pPr>
            <w:r w:rsidRPr="006D28D0">
              <w:rPr>
                <w:rFonts w:eastAsia="Arial" w:cs="Arial"/>
                <w:spacing w:val="-2"/>
                <w:sz w:val="18"/>
                <w:szCs w:val="18"/>
                <w:lang w:val="en-US"/>
              </w:rPr>
              <w:t>Sydney</w:t>
            </w:r>
          </w:p>
        </w:tc>
        <w:tc>
          <w:tcPr>
            <w:tcW w:w="2057" w:type="dxa"/>
          </w:tcPr>
          <w:p w14:paraId="3979A5C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42</w:t>
            </w:r>
          </w:p>
        </w:tc>
        <w:tc>
          <w:tcPr>
            <w:tcW w:w="1701" w:type="dxa"/>
          </w:tcPr>
          <w:p w14:paraId="0ADACDDE"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77</w:t>
            </w:r>
          </w:p>
        </w:tc>
        <w:tc>
          <w:tcPr>
            <w:tcW w:w="2410" w:type="dxa"/>
          </w:tcPr>
          <w:p w14:paraId="0718850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32</w:t>
            </w:r>
          </w:p>
        </w:tc>
      </w:tr>
      <w:tr w:rsidR="004813EC" w:rsidRPr="00151B4C" w14:paraId="28240294" w14:textId="77777777" w:rsidTr="00290E87">
        <w:trPr>
          <w:trHeight w:val="313"/>
        </w:trPr>
        <w:tc>
          <w:tcPr>
            <w:tcW w:w="1276" w:type="dxa"/>
          </w:tcPr>
          <w:p w14:paraId="0F9405EB" w14:textId="77777777" w:rsidR="00151B4C" w:rsidRPr="006D28D0" w:rsidRDefault="00151B4C" w:rsidP="00151B4C">
            <w:pPr>
              <w:widowControl w:val="0"/>
              <w:autoSpaceDE w:val="0"/>
              <w:autoSpaceDN w:val="0"/>
              <w:spacing w:before="78" w:after="0" w:line="215" w:lineRule="exact"/>
              <w:ind w:left="124" w:right="2"/>
              <w:jc w:val="center"/>
              <w:rPr>
                <w:rFonts w:eastAsia="Arial" w:cs="Arial"/>
                <w:sz w:val="18"/>
                <w:szCs w:val="18"/>
                <w:lang w:val="en-US"/>
              </w:rPr>
            </w:pPr>
            <w:r w:rsidRPr="006D28D0">
              <w:rPr>
                <w:rFonts w:eastAsia="Arial" w:cs="Arial"/>
                <w:spacing w:val="-2"/>
                <w:sz w:val="18"/>
                <w:szCs w:val="18"/>
                <w:lang w:val="en-US"/>
              </w:rPr>
              <w:t>70351</w:t>
            </w:r>
          </w:p>
        </w:tc>
        <w:tc>
          <w:tcPr>
            <w:tcW w:w="1345" w:type="dxa"/>
          </w:tcPr>
          <w:p w14:paraId="3CB3C729" w14:textId="77777777" w:rsidR="00151B4C" w:rsidRPr="006D28D0" w:rsidRDefault="00151B4C" w:rsidP="00151B4C">
            <w:pPr>
              <w:widowControl w:val="0"/>
              <w:autoSpaceDE w:val="0"/>
              <w:autoSpaceDN w:val="0"/>
              <w:spacing w:before="78" w:after="0" w:line="215" w:lineRule="exact"/>
              <w:ind w:left="122"/>
              <w:jc w:val="center"/>
              <w:rPr>
                <w:rFonts w:eastAsia="Arial" w:cs="Arial"/>
                <w:sz w:val="18"/>
                <w:szCs w:val="18"/>
                <w:lang w:val="en-US"/>
              </w:rPr>
            </w:pPr>
            <w:r w:rsidRPr="006D28D0">
              <w:rPr>
                <w:rFonts w:eastAsia="Arial" w:cs="Arial"/>
                <w:spacing w:val="-2"/>
                <w:sz w:val="18"/>
                <w:szCs w:val="18"/>
                <w:lang w:val="en-US"/>
              </w:rPr>
              <w:t>Canberra</w:t>
            </w:r>
          </w:p>
        </w:tc>
        <w:tc>
          <w:tcPr>
            <w:tcW w:w="2057" w:type="dxa"/>
          </w:tcPr>
          <w:p w14:paraId="57EC51F9"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28</w:t>
            </w:r>
          </w:p>
        </w:tc>
        <w:tc>
          <w:tcPr>
            <w:tcW w:w="1701" w:type="dxa"/>
          </w:tcPr>
          <w:p w14:paraId="2011B4BF"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30</w:t>
            </w:r>
          </w:p>
        </w:tc>
        <w:tc>
          <w:tcPr>
            <w:tcW w:w="2410" w:type="dxa"/>
          </w:tcPr>
          <w:p w14:paraId="624FBD74"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25</w:t>
            </w:r>
          </w:p>
        </w:tc>
      </w:tr>
      <w:tr w:rsidR="00151B4C" w:rsidRPr="00151B4C" w14:paraId="3F658C98" w14:textId="77777777" w:rsidTr="00290E87">
        <w:trPr>
          <w:trHeight w:val="330"/>
        </w:trPr>
        <w:tc>
          <w:tcPr>
            <w:tcW w:w="2621" w:type="dxa"/>
            <w:gridSpan w:val="2"/>
          </w:tcPr>
          <w:p w14:paraId="0883AFC7" w14:textId="77777777" w:rsidR="00151B4C" w:rsidRPr="006D28D0" w:rsidRDefault="00151B4C" w:rsidP="00151B4C">
            <w:pPr>
              <w:widowControl w:val="0"/>
              <w:autoSpaceDE w:val="0"/>
              <w:autoSpaceDN w:val="0"/>
              <w:spacing w:before="78" w:after="0" w:line="240" w:lineRule="auto"/>
              <w:ind w:left="667"/>
              <w:rPr>
                <w:rFonts w:eastAsia="Arial" w:cs="Arial"/>
                <w:b/>
                <w:sz w:val="18"/>
                <w:szCs w:val="18"/>
                <w:lang w:val="en-US"/>
              </w:rPr>
            </w:pPr>
            <w:r w:rsidRPr="006D28D0">
              <w:rPr>
                <w:rFonts w:eastAsia="Arial" w:cs="Arial"/>
                <w:b/>
                <w:sz w:val="18"/>
                <w:szCs w:val="18"/>
                <w:lang w:val="en-US"/>
              </w:rPr>
              <w:t>3-year</w:t>
            </w:r>
            <w:r w:rsidRPr="006D28D0">
              <w:rPr>
                <w:rFonts w:eastAsia="Arial" w:cs="Arial"/>
                <w:b/>
                <w:spacing w:val="-9"/>
                <w:sz w:val="18"/>
                <w:szCs w:val="18"/>
                <w:lang w:val="en-US"/>
              </w:rPr>
              <w:t xml:space="preserve"> </w:t>
            </w:r>
            <w:r w:rsidRPr="006D28D0">
              <w:rPr>
                <w:rFonts w:eastAsia="Arial" w:cs="Arial"/>
                <w:b/>
                <w:spacing w:val="-2"/>
                <w:sz w:val="18"/>
                <w:szCs w:val="18"/>
                <w:lang w:val="en-US"/>
              </w:rPr>
              <w:t>average</w:t>
            </w:r>
          </w:p>
        </w:tc>
        <w:tc>
          <w:tcPr>
            <w:tcW w:w="6168" w:type="dxa"/>
            <w:gridSpan w:val="3"/>
          </w:tcPr>
          <w:p w14:paraId="3EFB07C3" w14:textId="77777777" w:rsidR="00151B4C" w:rsidRPr="006D28D0" w:rsidRDefault="00151B4C" w:rsidP="00151B4C">
            <w:pPr>
              <w:widowControl w:val="0"/>
              <w:autoSpaceDE w:val="0"/>
              <w:autoSpaceDN w:val="0"/>
              <w:spacing w:before="78" w:after="0" w:line="240" w:lineRule="auto"/>
              <w:ind w:left="119"/>
              <w:jc w:val="center"/>
              <w:rPr>
                <w:rFonts w:eastAsia="Arial" w:cs="Arial"/>
                <w:b/>
                <w:sz w:val="18"/>
                <w:szCs w:val="18"/>
                <w:lang w:val="en-US"/>
              </w:rPr>
            </w:pPr>
            <w:r w:rsidRPr="006D28D0">
              <w:rPr>
                <w:rFonts w:eastAsia="Arial" w:cs="Arial"/>
                <w:b/>
                <w:spacing w:val="-5"/>
                <w:sz w:val="18"/>
                <w:szCs w:val="18"/>
                <w:lang w:val="en-US"/>
              </w:rPr>
              <w:t>29</w:t>
            </w:r>
          </w:p>
        </w:tc>
      </w:tr>
    </w:tbl>
    <w:p w14:paraId="0A3C0202" w14:textId="3FABD02C" w:rsidR="00762005" w:rsidRDefault="00151B4C" w:rsidP="009529B9">
      <w:pPr>
        <w:spacing w:before="240"/>
        <w:rPr>
          <w:color w:val="232323"/>
          <w:lang w:val="en-US"/>
        </w:rPr>
        <w:sectPr w:rsidR="00762005" w:rsidSect="007B3DF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680" w:footer="708" w:gutter="0"/>
          <w:cols w:space="708"/>
          <w:titlePg/>
          <w:docGrid w:linePitch="360"/>
        </w:sectPr>
      </w:pPr>
      <w:r w:rsidRPr="00151B4C">
        <w:rPr>
          <w:b/>
          <w:lang w:val="en-US"/>
        </w:rPr>
        <w:t xml:space="preserve">Weekend exposure </w:t>
      </w:r>
      <w:r w:rsidRPr="00151B4C">
        <w:rPr>
          <w:lang w:val="en-US"/>
        </w:rPr>
        <w:t>is estimated for recreational activities that involve extended sun exposure, such as</w:t>
      </w:r>
      <w:r w:rsidRPr="00151B4C">
        <w:rPr>
          <w:spacing w:val="-3"/>
          <w:lang w:val="en-US"/>
        </w:rPr>
        <w:t xml:space="preserve"> </w:t>
      </w:r>
      <w:r w:rsidRPr="00151B4C">
        <w:rPr>
          <w:lang w:val="en-US"/>
        </w:rPr>
        <w:t>beach</w:t>
      </w:r>
      <w:r w:rsidRPr="00151B4C">
        <w:rPr>
          <w:spacing w:val="-2"/>
          <w:lang w:val="en-US"/>
        </w:rPr>
        <w:t xml:space="preserve"> </w:t>
      </w:r>
      <w:r w:rsidRPr="00151B4C">
        <w:rPr>
          <w:lang w:val="en-US"/>
        </w:rPr>
        <w:t>outings or</w:t>
      </w:r>
      <w:r w:rsidRPr="00151B4C">
        <w:rPr>
          <w:spacing w:val="-3"/>
          <w:lang w:val="en-US"/>
        </w:rPr>
        <w:t xml:space="preserve"> </w:t>
      </w:r>
      <w:r w:rsidRPr="00151B4C">
        <w:rPr>
          <w:lang w:val="en-US"/>
        </w:rPr>
        <w:t>outdoor</w:t>
      </w:r>
      <w:r w:rsidRPr="00151B4C">
        <w:rPr>
          <w:spacing w:val="-3"/>
          <w:lang w:val="en-US"/>
        </w:rPr>
        <w:t xml:space="preserve"> </w:t>
      </w:r>
      <w:r w:rsidRPr="00151B4C">
        <w:rPr>
          <w:lang w:val="en-US"/>
        </w:rPr>
        <w:t>activities</w:t>
      </w:r>
      <w:r w:rsidRPr="00151B4C">
        <w:rPr>
          <w:spacing w:val="-3"/>
          <w:lang w:val="en-US"/>
        </w:rPr>
        <w:t xml:space="preserve"> </w:t>
      </w:r>
      <w:r w:rsidRPr="00151B4C">
        <w:rPr>
          <w:lang w:val="en-US"/>
        </w:rPr>
        <w:t>such</w:t>
      </w:r>
      <w:r w:rsidRPr="00151B4C">
        <w:rPr>
          <w:spacing w:val="-4"/>
          <w:lang w:val="en-US"/>
        </w:rPr>
        <w:t xml:space="preserve"> </w:t>
      </w:r>
      <w:r w:rsidRPr="00151B4C">
        <w:rPr>
          <w:lang w:val="en-US"/>
        </w:rPr>
        <w:t>as</w:t>
      </w:r>
      <w:r w:rsidRPr="00151B4C">
        <w:rPr>
          <w:spacing w:val="-3"/>
          <w:lang w:val="en-US"/>
        </w:rPr>
        <w:t xml:space="preserve"> </w:t>
      </w:r>
      <w:r w:rsidRPr="00151B4C">
        <w:rPr>
          <w:lang w:val="en-US"/>
        </w:rPr>
        <w:t>water</w:t>
      </w:r>
      <w:r w:rsidRPr="00151B4C">
        <w:rPr>
          <w:spacing w:val="-3"/>
          <w:lang w:val="en-US"/>
        </w:rPr>
        <w:t xml:space="preserve"> </w:t>
      </w:r>
      <w:r w:rsidRPr="00151B4C">
        <w:rPr>
          <w:lang w:val="en-US"/>
        </w:rPr>
        <w:t>sports</w:t>
      </w:r>
      <w:r w:rsidRPr="00151B4C">
        <w:rPr>
          <w:spacing w:val="-3"/>
          <w:lang w:val="en-US"/>
        </w:rPr>
        <w:t xml:space="preserve"> </w:t>
      </w:r>
      <w:r w:rsidRPr="00151B4C">
        <w:rPr>
          <w:lang w:val="en-US"/>
        </w:rPr>
        <w:t>and</w:t>
      </w:r>
      <w:r w:rsidRPr="00151B4C">
        <w:rPr>
          <w:spacing w:val="-4"/>
          <w:lang w:val="en-US"/>
        </w:rPr>
        <w:t xml:space="preserve"> </w:t>
      </w:r>
      <w:r w:rsidRPr="00151B4C">
        <w:rPr>
          <w:lang w:val="en-US"/>
        </w:rPr>
        <w:t>fishing.</w:t>
      </w:r>
      <w:r w:rsidRPr="00151B4C">
        <w:rPr>
          <w:spacing w:val="-4"/>
          <w:lang w:val="en-US"/>
        </w:rPr>
        <w:t xml:space="preserve"> </w:t>
      </w:r>
      <w:r w:rsidRPr="00151B4C">
        <w:rPr>
          <w:color w:val="232323"/>
          <w:lang w:val="en-US"/>
        </w:rPr>
        <w:t>This</w:t>
      </w:r>
      <w:r w:rsidRPr="00151B4C">
        <w:rPr>
          <w:color w:val="232323"/>
          <w:spacing w:val="-3"/>
          <w:lang w:val="en-US"/>
        </w:rPr>
        <w:t xml:space="preserve"> </w:t>
      </w:r>
      <w:r w:rsidRPr="00151B4C">
        <w:rPr>
          <w:color w:val="232323"/>
          <w:lang w:val="en-US"/>
        </w:rPr>
        <w:t>exposure</w:t>
      </w:r>
      <w:r w:rsidRPr="00151B4C">
        <w:rPr>
          <w:color w:val="232323"/>
          <w:spacing w:val="-4"/>
          <w:lang w:val="en-US"/>
        </w:rPr>
        <w:t xml:space="preserve"> </w:t>
      </w:r>
      <w:r w:rsidRPr="00151B4C">
        <w:rPr>
          <w:color w:val="232323"/>
          <w:lang w:val="en-US"/>
        </w:rPr>
        <w:t>is</w:t>
      </w:r>
      <w:r w:rsidRPr="00151B4C">
        <w:rPr>
          <w:color w:val="232323"/>
          <w:spacing w:val="-3"/>
          <w:lang w:val="en-US"/>
        </w:rPr>
        <w:t xml:space="preserve"> </w:t>
      </w:r>
      <w:r w:rsidRPr="00151B4C">
        <w:rPr>
          <w:color w:val="232323"/>
          <w:lang w:val="en-US"/>
        </w:rPr>
        <w:t>calculated</w:t>
      </w:r>
      <w:r w:rsidRPr="00151B4C">
        <w:rPr>
          <w:color w:val="232323"/>
          <w:spacing w:val="-2"/>
          <w:lang w:val="en-US"/>
        </w:rPr>
        <w:t xml:space="preserve"> </w:t>
      </w:r>
      <w:r w:rsidRPr="00151B4C">
        <w:rPr>
          <w:color w:val="232323"/>
          <w:lang w:val="en-US"/>
        </w:rPr>
        <w:t xml:space="preserve">for one day each weekend over a 6-month period from October to April, which is conducive to these activities due to warmer weather. The calculation does not deduct the average annual heavy rainfall days for weekends (2/7 x 29 days = 9 days) because the estimated exposure already accounts for only 25% of all weekend days annually, and 50% of all weekend days from October to April. It is assumed that the remaining 50-75% of weekend days would cover non-exposure days, including those with weather not suitable for prolonged outdoor activities. Therefore, the exposure duration for scenarios 5 and 6 is set at </w:t>
      </w:r>
      <w:r w:rsidRPr="00151B4C">
        <w:rPr>
          <w:b/>
          <w:color w:val="232323"/>
          <w:lang w:val="en-US"/>
        </w:rPr>
        <w:t>26 days</w:t>
      </w:r>
      <w:r w:rsidRPr="00151B4C">
        <w:rPr>
          <w:color w:val="232323"/>
          <w:lang w:val="en-US"/>
        </w:rPr>
        <w:t>, representing one day of sunscreen exposure for each of the 26 weekends in the 6-month warmer weather period</w:t>
      </w:r>
    </w:p>
    <w:p w14:paraId="2F8EB3ED" w14:textId="7A3AC904" w:rsidR="00762005" w:rsidRPr="00697917" w:rsidRDefault="00B478EB" w:rsidP="00762005">
      <w:pPr>
        <w:pStyle w:val="Tabletitle"/>
      </w:pPr>
      <w:r w:rsidRPr="00762005">
        <w:rPr>
          <w:rFonts w:cs="Arial"/>
          <w:noProof/>
          <w:lang w:eastAsia="en-AU"/>
        </w:rPr>
        <w:drawing>
          <wp:anchor distT="0" distB="0" distL="114300" distR="114300" simplePos="0" relativeHeight="251697152" behindDoc="0" locked="0" layoutInCell="1" allowOverlap="1" wp14:anchorId="0ED46E9E" wp14:editId="6E955551">
            <wp:simplePos x="0" y="0"/>
            <wp:positionH relativeFrom="column">
              <wp:posOffset>-445135</wp:posOffset>
            </wp:positionH>
            <wp:positionV relativeFrom="paragraph">
              <wp:posOffset>504190</wp:posOffset>
            </wp:positionV>
            <wp:extent cx="337185" cy="266065"/>
            <wp:effectExtent l="0" t="0" r="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185" cy="266065"/>
                    </a:xfrm>
                    <a:prstGeom prst="rect">
                      <a:avLst/>
                    </a:prstGeom>
                    <a:noFill/>
                  </pic:spPr>
                </pic:pic>
              </a:graphicData>
            </a:graphic>
            <wp14:sizeRelH relativeFrom="margin">
              <wp14:pctWidth>0</wp14:pctWidth>
            </wp14:sizeRelH>
            <wp14:sizeRelV relativeFrom="margin">
              <wp14:pctHeight>0</wp14:pctHeight>
            </wp14:sizeRelV>
          </wp:anchor>
        </w:drawing>
      </w:r>
      <w:r w:rsidR="00762005" w:rsidRPr="00697917">
        <w:t>Table 8: Six ASEM scenarios</w:t>
      </w:r>
    </w:p>
    <w:tbl>
      <w:tblPr>
        <w:tblStyle w:val="TableTGAblue20231"/>
        <w:tblW w:w="15026" w:type="dxa"/>
        <w:tblInd w:w="-572" w:type="dxa"/>
        <w:tblLayout w:type="fixed"/>
        <w:tblLook w:val="04A0" w:firstRow="1" w:lastRow="0" w:firstColumn="1" w:lastColumn="0" w:noHBand="0" w:noVBand="1"/>
      </w:tblPr>
      <w:tblGrid>
        <w:gridCol w:w="2552"/>
        <w:gridCol w:w="1559"/>
        <w:gridCol w:w="1134"/>
        <w:gridCol w:w="1134"/>
        <w:gridCol w:w="1418"/>
        <w:gridCol w:w="7229"/>
      </w:tblGrid>
      <w:tr w:rsidR="008867B7" w:rsidRPr="003413F6" w14:paraId="7315F599" w14:textId="77777777" w:rsidTr="00B05E0E">
        <w:trPr>
          <w:cnfStyle w:val="100000000000" w:firstRow="1" w:lastRow="0" w:firstColumn="0" w:lastColumn="0" w:oddVBand="0" w:evenVBand="0" w:oddHBand="0"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4111" w:type="dxa"/>
            <w:gridSpan w:val="2"/>
            <w:vAlign w:val="center"/>
          </w:tcPr>
          <w:p w14:paraId="27F07FA5" w14:textId="24916E22" w:rsidR="00762005" w:rsidRPr="003413F6" w:rsidRDefault="00762005" w:rsidP="00762005">
            <w:pPr>
              <w:spacing w:line="259" w:lineRule="auto"/>
              <w:jc w:val="center"/>
              <w:rPr>
                <w:rFonts w:cs="Arial"/>
                <w:b w:val="0"/>
                <w:sz w:val="20"/>
                <w:szCs w:val="20"/>
              </w:rPr>
            </w:pPr>
            <w:r w:rsidRPr="003413F6">
              <w:rPr>
                <w:rFonts w:cs="Arial"/>
                <w:sz w:val="20"/>
                <w:szCs w:val="20"/>
              </w:rPr>
              <w:t>Scenario</w:t>
            </w:r>
          </w:p>
          <w:p w14:paraId="505DB402" w14:textId="4A3C267E" w:rsidR="00762005" w:rsidRPr="003413F6" w:rsidRDefault="00313B2B" w:rsidP="00762005">
            <w:pPr>
              <w:spacing w:line="259" w:lineRule="auto"/>
              <w:jc w:val="center"/>
              <w:rPr>
                <w:rFonts w:cs="Arial"/>
                <w:sz w:val="20"/>
                <w:szCs w:val="20"/>
              </w:rPr>
            </w:pPr>
            <w:r>
              <w:rPr>
                <w:rFonts w:cs="Arial"/>
                <w:b w:val="0"/>
                <w:bCs/>
                <w:sz w:val="20"/>
                <w:szCs w:val="20"/>
              </w:rPr>
              <w:t xml:space="preserve"> </w:t>
            </w:r>
            <w:r w:rsidR="00762005" w:rsidRPr="003413F6">
              <w:rPr>
                <w:rFonts w:cs="Arial"/>
                <w:b w:val="0"/>
                <w:bCs/>
                <w:sz w:val="20"/>
                <w:szCs w:val="20"/>
              </w:rPr>
              <w:t>Yellow areas represent sunscreen applied to skin</w:t>
            </w:r>
          </w:p>
        </w:tc>
        <w:tc>
          <w:tcPr>
            <w:tcW w:w="1134" w:type="dxa"/>
            <w:vAlign w:val="center"/>
          </w:tcPr>
          <w:p w14:paraId="35CF8D1D" w14:textId="77777777" w:rsidR="00762005" w:rsidRPr="003413F6" w:rsidRDefault="00762005" w:rsidP="00762005">
            <w:pPr>
              <w:spacing w:line="259"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 xml:space="preserve">Parts of body applied </w:t>
            </w:r>
          </w:p>
        </w:tc>
        <w:tc>
          <w:tcPr>
            <w:tcW w:w="1134" w:type="dxa"/>
            <w:vAlign w:val="center"/>
          </w:tcPr>
          <w:p w14:paraId="766569F3" w14:textId="77777777" w:rsidR="00762005" w:rsidRPr="003413F6" w:rsidRDefault="00762005" w:rsidP="003413F6">
            <w:pPr>
              <w:spacing w:line="259"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AF</w:t>
            </w:r>
          </w:p>
          <w:p w14:paraId="2B9E7601" w14:textId="587A6CF1" w:rsidR="00762005" w:rsidRPr="003413F6" w:rsidRDefault="00762005" w:rsidP="003413F6">
            <w:pPr>
              <w:spacing w:line="259"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(applications</w:t>
            </w:r>
            <w:r w:rsidR="007566C0" w:rsidRPr="003413F6">
              <w:rPr>
                <w:rFonts w:cs="Arial"/>
                <w:sz w:val="20"/>
                <w:szCs w:val="20"/>
              </w:rPr>
              <w:t>/</w:t>
            </w:r>
            <w:r w:rsidRPr="003413F6">
              <w:rPr>
                <w:rFonts w:cs="Arial"/>
                <w:sz w:val="20"/>
                <w:szCs w:val="20"/>
              </w:rPr>
              <w:t>day)</w:t>
            </w:r>
          </w:p>
        </w:tc>
        <w:tc>
          <w:tcPr>
            <w:tcW w:w="1418" w:type="dxa"/>
            <w:vAlign w:val="center"/>
          </w:tcPr>
          <w:p w14:paraId="7921DF66" w14:textId="77777777" w:rsidR="00762005" w:rsidRPr="003413F6" w:rsidRDefault="00762005" w:rsidP="003413F6">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Duration</w:t>
            </w:r>
          </w:p>
          <w:p w14:paraId="2384407F" w14:textId="379C9918" w:rsidR="00762005" w:rsidRPr="003413F6" w:rsidDel="00076620" w:rsidRDefault="00762005" w:rsidP="003413F6">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 xml:space="preserve">(days </w:t>
            </w:r>
            <w:r w:rsidR="007566C0" w:rsidRPr="003413F6">
              <w:rPr>
                <w:rFonts w:cs="Arial"/>
                <w:sz w:val="20"/>
                <w:szCs w:val="20"/>
              </w:rPr>
              <w:t>/</w:t>
            </w:r>
            <w:r w:rsidRPr="003413F6">
              <w:rPr>
                <w:rFonts w:cs="Arial"/>
                <w:sz w:val="20"/>
                <w:szCs w:val="20"/>
              </w:rPr>
              <w:t>year)</w:t>
            </w:r>
          </w:p>
        </w:tc>
        <w:tc>
          <w:tcPr>
            <w:tcW w:w="7229" w:type="dxa"/>
            <w:vAlign w:val="center"/>
          </w:tcPr>
          <w:p w14:paraId="23AB061B" w14:textId="77777777" w:rsidR="00762005" w:rsidRPr="003413F6" w:rsidRDefault="00762005" w:rsidP="00762005">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3413F6">
              <w:rPr>
                <w:rFonts w:cs="Arial"/>
                <w:sz w:val="20"/>
                <w:szCs w:val="20"/>
              </w:rPr>
              <w:t>Description</w:t>
            </w:r>
          </w:p>
        </w:tc>
      </w:tr>
      <w:tr w:rsidR="008867B7" w:rsidRPr="007566C0" w14:paraId="2FC7FB0D" w14:textId="77777777" w:rsidTr="00B05E0E">
        <w:trPr>
          <w:trHeight w:val="1232"/>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2C7BECD6" w14:textId="77777777" w:rsidR="00762005" w:rsidRPr="00762005" w:rsidRDefault="00762005" w:rsidP="00762005">
            <w:pPr>
              <w:spacing w:after="0" w:line="259" w:lineRule="auto"/>
              <w:ind w:left="30"/>
              <w:jc w:val="center"/>
              <w:rPr>
                <w:rFonts w:cs="Arial"/>
                <w:b/>
                <w:bCs/>
                <w:szCs w:val="18"/>
              </w:rPr>
            </w:pPr>
            <w:r w:rsidRPr="00762005">
              <w:rPr>
                <w:rFonts w:cs="Arial"/>
                <w:noProof/>
                <w:szCs w:val="18"/>
              </w:rPr>
              <w:drawing>
                <wp:inline distT="0" distB="0" distL="0" distR="0" wp14:anchorId="6A97162E" wp14:editId="42E7952F">
                  <wp:extent cx="1469792"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501837" cy="1615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2939AA21" w14:textId="77777777" w:rsidR="00762005" w:rsidRPr="00762005" w:rsidRDefault="00762005" w:rsidP="00762005">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Infrequent sun exposure. Limited sunscreen use.</w:t>
            </w:r>
          </w:p>
        </w:tc>
        <w:tc>
          <w:tcPr>
            <w:tcW w:w="1134" w:type="dxa"/>
            <w:vMerge w:val="restart"/>
            <w:vAlign w:val="center"/>
          </w:tcPr>
          <w:p w14:paraId="24408C68" w14:textId="77777777" w:rsidR="00762005" w:rsidRPr="00762005" w:rsidRDefault="00762005" w:rsidP="00762005">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Head (including face and neck), hands</w:t>
            </w:r>
          </w:p>
        </w:tc>
        <w:tc>
          <w:tcPr>
            <w:tcW w:w="1134" w:type="dxa"/>
            <w:vMerge w:val="restart"/>
            <w:vAlign w:val="center"/>
          </w:tcPr>
          <w:p w14:paraId="5B573225" w14:textId="77777777" w:rsidR="00762005" w:rsidRPr="00762005" w:rsidRDefault="00762005" w:rsidP="00762005">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2</w:t>
            </w:r>
          </w:p>
        </w:tc>
        <w:tc>
          <w:tcPr>
            <w:tcW w:w="1418" w:type="dxa"/>
            <w:vMerge w:val="restart"/>
            <w:vAlign w:val="center"/>
          </w:tcPr>
          <w:p w14:paraId="3B2B9068"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240</w:t>
            </w:r>
          </w:p>
        </w:tc>
        <w:tc>
          <w:tcPr>
            <w:tcW w:w="7229" w:type="dxa"/>
            <w:vMerge w:val="restart"/>
            <w:vAlign w:val="center"/>
          </w:tcPr>
          <w:p w14:paraId="114FACE4" w14:textId="77777777" w:rsidR="00762005" w:rsidRPr="00762005" w:rsidRDefault="00762005" w:rsidP="007566C0">
            <w:pPr>
              <w:jc w:val="both"/>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daily sunscreen application practice for adults undertaking indoor work during the </w:t>
            </w:r>
            <w:r w:rsidRPr="00762005">
              <w:rPr>
                <w:rFonts w:cs="Arial"/>
                <w:b/>
                <w:bCs/>
                <w:szCs w:val="18"/>
              </w:rPr>
              <w:t>weekdays</w:t>
            </w:r>
            <w:r w:rsidRPr="00762005">
              <w:rPr>
                <w:rFonts w:cs="Arial"/>
                <w:szCs w:val="18"/>
              </w:rPr>
              <w:t>. This population is likely to wear formal or semi-formal clothing that fully covers the torso, arms, legs, and footwear. It presumes that sunscreen is applied once in the morning and once again during morning tea, lunch, or afternoon.</w:t>
            </w:r>
          </w:p>
          <w:p w14:paraId="486B7541" w14:textId="1C989C1D" w:rsid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w:t>
            </w:r>
            <w:hyperlink w:anchor="_Current_evidence-based_sunscreen" w:history="1">
              <w:r w:rsidRPr="00762005">
                <w:rPr>
                  <w:rFonts w:cs="Arial"/>
                  <w:color w:val="0000FF"/>
                  <w:szCs w:val="18"/>
                  <w:u w:val="single"/>
                </w:rPr>
                <w:t>Current evidence-based sunscreen use guidelines</w:t>
              </w:r>
            </w:hyperlink>
            <w:r w:rsidRPr="00762005">
              <w:rPr>
                <w:rFonts w:cs="Arial"/>
                <w:szCs w:val="18"/>
              </w:rPr>
              <w:t>’ discussed above. Also see Whiteman et al. (2019).</w:t>
            </w:r>
          </w:p>
          <w:p w14:paraId="6386835A"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5DEB6690"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59BE5F5B"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734C3F1E" w14:textId="77777777" w:rsidR="008867B7" w:rsidRDefault="008867B7" w:rsidP="00313B2B">
            <w:pPr>
              <w:ind w:left="0"/>
              <w:cnfStyle w:val="000000000000" w:firstRow="0" w:lastRow="0" w:firstColumn="0" w:lastColumn="0" w:oddVBand="0" w:evenVBand="0" w:oddHBand="0" w:evenHBand="0" w:firstRowFirstColumn="0" w:firstRowLastColumn="0" w:lastRowFirstColumn="0" w:lastRowLastColumn="0"/>
              <w:rPr>
                <w:rFonts w:cs="Arial"/>
                <w:szCs w:val="18"/>
              </w:rPr>
            </w:pPr>
          </w:p>
          <w:p w14:paraId="38A868C4" w14:textId="77777777" w:rsidR="008867B7" w:rsidRPr="00762005" w:rsidDel="00925014"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51449E76" w14:textId="77777777" w:rsidTr="00B05E0E">
        <w:trPr>
          <w:trHeight w:val="2182"/>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25F6DF04" w14:textId="77777777" w:rsidR="00762005" w:rsidRPr="00762005" w:rsidRDefault="00762005" w:rsidP="00762005">
            <w:pPr>
              <w:rPr>
                <w:rFonts w:cs="Arial"/>
                <w:szCs w:val="18"/>
              </w:rPr>
            </w:pPr>
          </w:p>
        </w:tc>
        <w:tc>
          <w:tcPr>
            <w:tcW w:w="1559" w:type="dxa"/>
            <w:vAlign w:val="center"/>
          </w:tcPr>
          <w:p w14:paraId="0AD66643" w14:textId="06F3E287" w:rsidR="00762005" w:rsidRPr="00762005" w:rsidDel="002240D3"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Office </w:t>
            </w:r>
            <w:r w:rsidR="008867B7">
              <w:rPr>
                <w:rFonts w:cs="Arial"/>
                <w:szCs w:val="18"/>
              </w:rPr>
              <w:t>R</w:t>
            </w:r>
            <w:r w:rsidRPr="00762005">
              <w:rPr>
                <w:rFonts w:cs="Arial"/>
                <w:szCs w:val="18"/>
              </w:rPr>
              <w:t>etail</w:t>
            </w:r>
            <w:r w:rsidR="002101D0">
              <w:rPr>
                <w:rFonts w:cs="Arial"/>
                <w:szCs w:val="18"/>
              </w:rPr>
              <w:br/>
            </w:r>
            <w:r w:rsidR="008867B7">
              <w:rPr>
                <w:rFonts w:cs="Arial"/>
                <w:szCs w:val="18"/>
              </w:rPr>
              <w:t>H</w:t>
            </w:r>
            <w:r w:rsidRPr="00762005">
              <w:rPr>
                <w:rFonts w:cs="Arial"/>
                <w:szCs w:val="18"/>
              </w:rPr>
              <w:t xml:space="preserve">ospitality </w:t>
            </w:r>
            <w:r w:rsidR="008867B7">
              <w:rPr>
                <w:rFonts w:cs="Arial"/>
                <w:szCs w:val="18"/>
              </w:rPr>
              <w:t>H</w:t>
            </w:r>
            <w:r w:rsidRPr="00762005">
              <w:rPr>
                <w:rFonts w:cs="Arial"/>
                <w:szCs w:val="18"/>
              </w:rPr>
              <w:t>ealth worker</w:t>
            </w:r>
            <w:r w:rsidR="008867B7">
              <w:rPr>
                <w:rFonts w:cs="Arial"/>
                <w:szCs w:val="18"/>
              </w:rPr>
              <w:br/>
              <w:t>V</w:t>
            </w:r>
            <w:r w:rsidRPr="00762005">
              <w:rPr>
                <w:rFonts w:cs="Arial"/>
                <w:szCs w:val="18"/>
              </w:rPr>
              <w:t>ehicle operator</w:t>
            </w:r>
          </w:p>
        </w:tc>
        <w:tc>
          <w:tcPr>
            <w:tcW w:w="1134" w:type="dxa"/>
            <w:vMerge/>
            <w:vAlign w:val="center"/>
          </w:tcPr>
          <w:p w14:paraId="5E1DC898"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37A54829" w14:textId="77777777" w:rsidR="00762005" w:rsidRPr="00762005" w:rsidDel="00667699"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5ACE17AC"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vAlign w:val="center"/>
          </w:tcPr>
          <w:p w14:paraId="2F6F05F7"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53085B88" w14:textId="77777777" w:rsidTr="00B05E0E">
        <w:trPr>
          <w:trHeight w:val="1680"/>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507FE484" w14:textId="77777777" w:rsidR="00762005" w:rsidRPr="00762005" w:rsidRDefault="00762005" w:rsidP="00762005">
            <w:pPr>
              <w:spacing w:after="0"/>
              <w:ind w:left="0"/>
              <w:jc w:val="center"/>
              <w:rPr>
                <w:rFonts w:cs="Arial"/>
                <w:color w:val="FFFFFF"/>
                <w:szCs w:val="18"/>
              </w:rPr>
            </w:pPr>
            <w:r w:rsidRPr="00762005">
              <w:rPr>
                <w:rFonts w:cs="Arial"/>
                <w:noProof/>
                <w:color w:val="FFFFFF"/>
                <w:szCs w:val="18"/>
              </w:rPr>
              <w:drawing>
                <wp:inline distT="0" distB="0" distL="0" distR="0" wp14:anchorId="0AEC3F03" wp14:editId="18F32538">
                  <wp:extent cx="1489081" cy="1552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516462" cy="1581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556E7903" w14:textId="77777777" w:rsidR="00762005" w:rsidRPr="00762005" w:rsidRDefault="00762005" w:rsidP="00762005">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Regular sun exposure. Limited sunscreen use.</w:t>
            </w:r>
          </w:p>
        </w:tc>
        <w:tc>
          <w:tcPr>
            <w:tcW w:w="1134" w:type="dxa"/>
            <w:vMerge w:val="restart"/>
            <w:vAlign w:val="center"/>
          </w:tcPr>
          <w:p w14:paraId="0A2558DC" w14:textId="77777777" w:rsidR="00762005" w:rsidRPr="00762005" w:rsidRDefault="00762005" w:rsidP="00762005">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Head (including face and neck), hands, ¾ arms, ¾ legs</w:t>
            </w:r>
          </w:p>
        </w:tc>
        <w:tc>
          <w:tcPr>
            <w:tcW w:w="1134" w:type="dxa"/>
            <w:vMerge w:val="restart"/>
            <w:vAlign w:val="center"/>
          </w:tcPr>
          <w:p w14:paraId="55CEB18F" w14:textId="77777777" w:rsidR="00762005" w:rsidRPr="00762005" w:rsidRDefault="00762005" w:rsidP="00762005">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2</w:t>
            </w:r>
          </w:p>
        </w:tc>
        <w:tc>
          <w:tcPr>
            <w:tcW w:w="1418" w:type="dxa"/>
            <w:vMerge w:val="restart"/>
            <w:vAlign w:val="center"/>
          </w:tcPr>
          <w:p w14:paraId="757E9948"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240</w:t>
            </w:r>
          </w:p>
        </w:tc>
        <w:tc>
          <w:tcPr>
            <w:tcW w:w="7229" w:type="dxa"/>
            <w:vMerge w:val="restart"/>
            <w:vAlign w:val="center"/>
          </w:tcPr>
          <w:p w14:paraId="14CB534C" w14:textId="77777777" w:rsidR="00762005" w:rsidRPr="00762005" w:rsidRDefault="00762005" w:rsidP="007566C0">
            <w:pPr>
              <w:jc w:val="both"/>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daily sunscreen application for adults (including active retirees) undertaking outdoor recreational activities during </w:t>
            </w:r>
            <w:r w:rsidRPr="00762005">
              <w:rPr>
                <w:rFonts w:cs="Arial"/>
                <w:b/>
                <w:bCs/>
                <w:szCs w:val="18"/>
              </w:rPr>
              <w:t>weekdays</w:t>
            </w:r>
            <w:r w:rsidRPr="00762005">
              <w:rPr>
                <w:rFonts w:cs="Arial"/>
                <w:szCs w:val="18"/>
              </w:rPr>
              <w:t xml:space="preserve">. </w:t>
            </w:r>
          </w:p>
          <w:p w14:paraId="57475310"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population, particularly in warmer regions of Northern Australia, are likely to wear sport/casual clothing that may cover approximately ¼ of the arms and legs, torso and footwear. It presumes that sunscreen is applied once in the morning/start of the activity and once again halfway into the activity.</w:t>
            </w:r>
          </w:p>
          <w:p w14:paraId="20F5FE81" w14:textId="601F97BA" w:rsid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w:t>
            </w:r>
            <w:hyperlink w:anchor="_Current_evidence-based_sunscreen" w:history="1">
              <w:r w:rsidR="00261FC5" w:rsidRPr="00762005">
                <w:rPr>
                  <w:rFonts w:cs="Arial"/>
                  <w:color w:val="0000FF"/>
                  <w:szCs w:val="18"/>
                  <w:u w:val="single"/>
                </w:rPr>
                <w:t>Current evidence-based sunscreen use guidelines</w:t>
              </w:r>
            </w:hyperlink>
            <w:r w:rsidRPr="00762005">
              <w:rPr>
                <w:rFonts w:cs="Arial"/>
                <w:szCs w:val="18"/>
              </w:rPr>
              <w:t xml:space="preserve">’ discussed above. Also see ASSC (2023) and Whiteman et al. (2019). </w:t>
            </w:r>
          </w:p>
          <w:p w14:paraId="6EA04810"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0CE3D096"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0AC76765" w14:textId="77777777" w:rsidR="008867B7"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p w14:paraId="664A7F73" w14:textId="77777777" w:rsidR="008867B7" w:rsidRPr="00762005" w:rsidRDefault="008867B7"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672568A7" w14:textId="77777777" w:rsidTr="00B05E0E">
        <w:trPr>
          <w:trHeight w:val="1479"/>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02AC5ACF" w14:textId="77777777" w:rsidR="00762005" w:rsidRPr="00762005" w:rsidRDefault="00762005" w:rsidP="00762005">
            <w:pPr>
              <w:rPr>
                <w:rFonts w:cs="Arial"/>
                <w:szCs w:val="18"/>
              </w:rPr>
            </w:pPr>
          </w:p>
        </w:tc>
        <w:tc>
          <w:tcPr>
            <w:tcW w:w="1559" w:type="dxa"/>
            <w:vAlign w:val="center"/>
          </w:tcPr>
          <w:p w14:paraId="5BDE390D" w14:textId="77777777" w:rsid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Daily exercise </w:t>
            </w:r>
            <w:r w:rsidR="002101D0">
              <w:rPr>
                <w:rFonts w:cs="Arial"/>
                <w:szCs w:val="18"/>
              </w:rPr>
              <w:t>D</w:t>
            </w:r>
            <w:r w:rsidRPr="00762005">
              <w:rPr>
                <w:rFonts w:cs="Arial"/>
                <w:szCs w:val="18"/>
              </w:rPr>
              <w:t>og walking</w:t>
            </w:r>
            <w:r w:rsidR="002101D0">
              <w:rPr>
                <w:rFonts w:cs="Arial"/>
                <w:szCs w:val="18"/>
              </w:rPr>
              <w:br/>
              <w:t>G</w:t>
            </w:r>
            <w:r w:rsidRPr="00762005">
              <w:rPr>
                <w:rFonts w:cs="Arial"/>
                <w:szCs w:val="18"/>
              </w:rPr>
              <w:t xml:space="preserve">ardening </w:t>
            </w:r>
            <w:r w:rsidR="002101D0">
              <w:rPr>
                <w:rFonts w:cs="Arial"/>
                <w:szCs w:val="18"/>
              </w:rPr>
              <w:t>O</w:t>
            </w:r>
            <w:r w:rsidRPr="00762005">
              <w:rPr>
                <w:rFonts w:cs="Arial"/>
                <w:szCs w:val="18"/>
              </w:rPr>
              <w:t>ther recreation</w:t>
            </w:r>
          </w:p>
          <w:p w14:paraId="292467FB" w14:textId="75A7E47B" w:rsidR="006347CF" w:rsidRPr="00762005" w:rsidRDefault="006347CF"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74B5C52D"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7C5A3AA4"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2C88A9FA"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vAlign w:val="center"/>
          </w:tcPr>
          <w:p w14:paraId="11EDB42A"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6BB1D850" w14:textId="77777777" w:rsidTr="00B05E0E">
        <w:trPr>
          <w:trHeight w:val="1636"/>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212CADC1" w14:textId="18B433DC" w:rsidR="00762005" w:rsidRPr="00762005" w:rsidRDefault="00762005" w:rsidP="007566C0">
            <w:pPr>
              <w:spacing w:before="0" w:after="0" w:line="240" w:lineRule="auto"/>
              <w:ind w:left="0"/>
              <w:rPr>
                <w:rFonts w:eastAsia="Times New Roman" w:cs="Arial"/>
                <w:b/>
                <w:bCs/>
                <w:szCs w:val="18"/>
              </w:rPr>
            </w:pPr>
            <w:r w:rsidRPr="00762005">
              <w:rPr>
                <w:rFonts w:eastAsia="Times New Roman" w:cs="Arial"/>
                <w:noProof/>
                <w:szCs w:val="18"/>
              </w:rPr>
              <w:drawing>
                <wp:anchor distT="0" distB="0" distL="114300" distR="114300" simplePos="0" relativeHeight="251693056" behindDoc="0" locked="0" layoutInCell="1" allowOverlap="1" wp14:anchorId="611AD685" wp14:editId="4EBBE2A8">
                  <wp:simplePos x="0" y="0"/>
                  <wp:positionH relativeFrom="column">
                    <wp:posOffset>48895</wp:posOffset>
                  </wp:positionH>
                  <wp:positionV relativeFrom="paragraph">
                    <wp:posOffset>-1850390</wp:posOffset>
                  </wp:positionV>
                  <wp:extent cx="1543050" cy="1685290"/>
                  <wp:effectExtent l="0" t="0" r="0" b="0"/>
                  <wp:wrapTopAndBottom/>
                  <wp:docPr id="2127252742" name="Picture 21272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543050"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vAlign w:val="center"/>
          </w:tcPr>
          <w:p w14:paraId="4A128BD8" w14:textId="77777777" w:rsidR="00762005" w:rsidRPr="00762005" w:rsidRDefault="00762005" w:rsidP="002101D0">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Frequent sun exposure. Regular sunscreen use.</w:t>
            </w:r>
          </w:p>
        </w:tc>
        <w:tc>
          <w:tcPr>
            <w:tcW w:w="1134" w:type="dxa"/>
            <w:vMerge w:val="restart"/>
            <w:vAlign w:val="center"/>
          </w:tcPr>
          <w:p w14:paraId="448BC94A"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Face, neck, hands, ½ arms, ½ legs</w:t>
            </w:r>
          </w:p>
        </w:tc>
        <w:tc>
          <w:tcPr>
            <w:tcW w:w="1134" w:type="dxa"/>
            <w:vMerge w:val="restart"/>
            <w:vAlign w:val="center"/>
          </w:tcPr>
          <w:p w14:paraId="41B60455"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3 (Childcare)</w:t>
            </w:r>
          </w:p>
          <w:p w14:paraId="7ED112A8"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2 (School)</w:t>
            </w:r>
          </w:p>
        </w:tc>
        <w:tc>
          <w:tcPr>
            <w:tcW w:w="1418" w:type="dxa"/>
            <w:vMerge w:val="restart"/>
            <w:vAlign w:val="center"/>
          </w:tcPr>
          <w:p w14:paraId="35C5B8CF"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240</w:t>
            </w:r>
          </w:p>
        </w:tc>
        <w:tc>
          <w:tcPr>
            <w:tcW w:w="7229" w:type="dxa"/>
            <w:vMerge w:val="restart"/>
            <w:vAlign w:val="center"/>
          </w:tcPr>
          <w:p w14:paraId="7D4FA7C0"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daily sunscreen application for children (above one year of age) attending sun smart childcare services (and schools) during the </w:t>
            </w:r>
            <w:r w:rsidRPr="00762005">
              <w:rPr>
                <w:rFonts w:cs="Arial"/>
                <w:b/>
                <w:bCs/>
                <w:szCs w:val="18"/>
              </w:rPr>
              <w:t>weekdays</w:t>
            </w:r>
            <w:r w:rsidRPr="00762005">
              <w:rPr>
                <w:rFonts w:cs="Arial"/>
                <w:szCs w:val="18"/>
              </w:rPr>
              <w:t xml:space="preserve">. </w:t>
            </w:r>
          </w:p>
          <w:p w14:paraId="73E366AF"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population, particularly in warmer parts of Australia, are likely to wear hats and clothing that covers the torso, ½ arms and legs, and footwear. Sunscreen is applied frequently as a policy/practice in the majority of the early childhood centres but sun protection behaviours tend to reduce in older children and therefore sunscreen has been assumed to be applied up to two applications per day in older children.  </w:t>
            </w:r>
          </w:p>
          <w:p w14:paraId="75E7442D" w14:textId="38A8C813"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evidence under the heading ‘</w:t>
            </w:r>
            <w:hyperlink w:anchor="_Sunscreen_use_in" w:history="1">
              <w:r w:rsidRPr="00762005">
                <w:rPr>
                  <w:rFonts w:cs="Arial"/>
                  <w:color w:val="0000FF"/>
                  <w:szCs w:val="18"/>
                  <w:u w:val="single"/>
                </w:rPr>
                <w:t>Sunscreen use in children’</w:t>
              </w:r>
            </w:hyperlink>
            <w:r w:rsidRPr="00762005">
              <w:rPr>
                <w:rFonts w:cs="Arial"/>
                <w:szCs w:val="18"/>
              </w:rPr>
              <w:t xml:space="preserve"> discussed above, in particular see Cancer Council SA (2018).</w:t>
            </w:r>
          </w:p>
          <w:p w14:paraId="442F753F" w14:textId="779CC4F5" w:rsidR="007566C0"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The estimation of sunscreen exposure for childcare</w:t>
            </w:r>
            <w:r w:rsidR="006E4F94">
              <w:rPr>
                <w:rFonts w:cs="Arial"/>
                <w:szCs w:val="18"/>
              </w:rPr>
              <w:t xml:space="preserve"> </w:t>
            </w:r>
            <w:r w:rsidRPr="00762005">
              <w:rPr>
                <w:rFonts w:cs="Arial"/>
                <w:szCs w:val="18"/>
              </w:rPr>
              <w:t>s</w:t>
            </w:r>
            <w:r w:rsidR="006E4F94">
              <w:rPr>
                <w:rFonts w:cs="Arial"/>
                <w:szCs w:val="18"/>
              </w:rPr>
              <w:t>ettings</w:t>
            </w:r>
            <w:r w:rsidRPr="00762005">
              <w:rPr>
                <w:rFonts w:cs="Arial"/>
                <w:szCs w:val="18"/>
              </w:rPr>
              <w:t xml:space="preserve"> is based on toddlers aged above 12 months instead of 6 to 12 months, as children normally learn to walk on their own between 12-15 months of age (DOHAC 2023</w:t>
            </w:r>
            <w:r w:rsidRPr="00762005">
              <w:rPr>
                <w:rFonts w:cs="Arial"/>
                <w:color w:val="0000FF"/>
                <w:szCs w:val="18"/>
                <w:u w:val="single"/>
              </w:rPr>
              <w:t>;</w:t>
            </w:r>
            <w:r w:rsidRPr="00762005">
              <w:rPr>
                <w:rFonts w:cs="Arial"/>
                <w:szCs w:val="18"/>
              </w:rPr>
              <w:t xml:space="preserve"> ACECQA 2024) and are more likely to be exposed to the sun (and consequently sunscreens) in a childcare setting relative to a 6-12-month-old child. Moreover, as discussed under the heading ‘</w:t>
            </w:r>
            <w:hyperlink w:anchor="_How_sunscreens_should" w:history="1">
              <w:r w:rsidR="00261FC5" w:rsidRPr="00261FC5">
                <w:rPr>
                  <w:rStyle w:val="Hyperlink"/>
                  <w:rFonts w:cs="Arial"/>
                  <w:szCs w:val="18"/>
                </w:rPr>
                <w:t>Sunscreen for infants (birth to 12 months)</w:t>
              </w:r>
            </w:hyperlink>
            <w:r w:rsidRPr="00762005">
              <w:rPr>
                <w:rFonts w:cs="Arial"/>
                <w:szCs w:val="18"/>
              </w:rPr>
              <w:t>’, infants under 12 months are not recommend to be exposed to the sun, and children under 6 months are not recommended to use sunscreen.</w:t>
            </w:r>
          </w:p>
        </w:tc>
      </w:tr>
      <w:tr w:rsidR="008867B7" w:rsidRPr="007566C0" w14:paraId="077A4A90" w14:textId="77777777" w:rsidTr="00B05E0E">
        <w:trPr>
          <w:trHeight w:val="2196"/>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20C45A85" w14:textId="77777777" w:rsidR="00762005" w:rsidRPr="00762005" w:rsidRDefault="00762005" w:rsidP="00762005">
            <w:pPr>
              <w:rPr>
                <w:rFonts w:cs="Arial"/>
                <w:szCs w:val="18"/>
              </w:rPr>
            </w:pPr>
          </w:p>
        </w:tc>
        <w:tc>
          <w:tcPr>
            <w:tcW w:w="1559" w:type="dxa"/>
            <w:vAlign w:val="center"/>
          </w:tcPr>
          <w:p w14:paraId="7B4CE057" w14:textId="77777777" w:rsidR="002101D0" w:rsidRDefault="00762005" w:rsidP="002101D0">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Childcare (1-2 years old) </w:t>
            </w:r>
          </w:p>
          <w:p w14:paraId="27D151B2" w14:textId="01200DCD" w:rsidR="00762005" w:rsidRPr="00762005" w:rsidRDefault="002101D0" w:rsidP="002101D0">
            <w:pP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S</w:t>
            </w:r>
            <w:r w:rsidR="00762005" w:rsidRPr="00762005">
              <w:rPr>
                <w:rFonts w:cs="Arial"/>
                <w:szCs w:val="18"/>
              </w:rPr>
              <w:t>chool children (under 18)</w:t>
            </w:r>
          </w:p>
        </w:tc>
        <w:tc>
          <w:tcPr>
            <w:tcW w:w="1134" w:type="dxa"/>
            <w:vMerge/>
            <w:vAlign w:val="center"/>
          </w:tcPr>
          <w:p w14:paraId="2437E80B"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0FCDA153"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5EB2B0E3"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vAlign w:val="center"/>
          </w:tcPr>
          <w:p w14:paraId="0838D61A"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54F01B77" w14:textId="77777777" w:rsidTr="00B05E0E">
        <w:trPr>
          <w:trHeight w:val="1421"/>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798B22BE" w14:textId="77777777" w:rsidR="00762005" w:rsidRPr="00762005" w:rsidRDefault="00762005" w:rsidP="00762005">
            <w:pPr>
              <w:spacing w:before="0" w:after="0" w:line="240" w:lineRule="auto"/>
              <w:rPr>
                <w:rFonts w:eastAsia="Times New Roman" w:cs="Arial"/>
                <w:b/>
                <w:bCs/>
                <w:szCs w:val="18"/>
              </w:rPr>
            </w:pPr>
            <w:r w:rsidRPr="00762005">
              <w:rPr>
                <w:rFonts w:eastAsia="Times New Roman" w:cs="Arial"/>
                <w:noProof/>
                <w:szCs w:val="18"/>
              </w:rPr>
              <w:drawing>
                <wp:anchor distT="0" distB="0" distL="114300" distR="114300" simplePos="0" relativeHeight="251696128" behindDoc="0" locked="0" layoutInCell="1" allowOverlap="1" wp14:anchorId="0D5F2B53" wp14:editId="72981072">
                  <wp:simplePos x="0" y="0"/>
                  <wp:positionH relativeFrom="column">
                    <wp:posOffset>-41910</wp:posOffset>
                  </wp:positionH>
                  <wp:positionV relativeFrom="paragraph">
                    <wp:posOffset>-90805</wp:posOffset>
                  </wp:positionV>
                  <wp:extent cx="1546225" cy="1616075"/>
                  <wp:effectExtent l="0" t="0" r="0" b="3175"/>
                  <wp:wrapNone/>
                  <wp:docPr id="2127252743" name="Picture 212725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4622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vAlign w:val="center"/>
          </w:tcPr>
          <w:p w14:paraId="73D4DBA1" w14:textId="77777777" w:rsidR="00762005" w:rsidRDefault="00762005" w:rsidP="002101D0">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Frequent sun exposure. Regular sunscreen use.</w:t>
            </w:r>
          </w:p>
          <w:p w14:paraId="69C0C836" w14:textId="77777777" w:rsidR="008867B7" w:rsidRPr="00762005" w:rsidRDefault="008867B7" w:rsidP="002101D0">
            <w:pPr>
              <w:spacing w:line="259" w:lineRule="auto"/>
              <w:ind w:left="0"/>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restart"/>
            <w:vAlign w:val="center"/>
          </w:tcPr>
          <w:p w14:paraId="23CD9CC1"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Face, neck, hands, ½ arms, ½ legs</w:t>
            </w:r>
          </w:p>
        </w:tc>
        <w:tc>
          <w:tcPr>
            <w:tcW w:w="1134" w:type="dxa"/>
            <w:vMerge w:val="restart"/>
            <w:vAlign w:val="center"/>
          </w:tcPr>
          <w:p w14:paraId="2203697D"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3</w:t>
            </w:r>
          </w:p>
        </w:tc>
        <w:tc>
          <w:tcPr>
            <w:tcW w:w="1418" w:type="dxa"/>
            <w:vMerge w:val="restart"/>
            <w:vAlign w:val="center"/>
          </w:tcPr>
          <w:p w14:paraId="77F29DEC"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240</w:t>
            </w:r>
          </w:p>
        </w:tc>
        <w:tc>
          <w:tcPr>
            <w:tcW w:w="7229" w:type="dxa"/>
            <w:vMerge w:val="restart"/>
            <w:vAlign w:val="center"/>
          </w:tcPr>
          <w:p w14:paraId="31A16BCF"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daily sunscreen application practice for adults engaging in outdoor work (as their main occupation) during </w:t>
            </w:r>
            <w:r w:rsidRPr="00762005">
              <w:rPr>
                <w:rFonts w:cs="Arial"/>
                <w:b/>
                <w:bCs/>
                <w:szCs w:val="18"/>
              </w:rPr>
              <w:t>weekdays</w:t>
            </w:r>
            <w:r w:rsidRPr="00762005">
              <w:rPr>
                <w:rFonts w:cs="Arial"/>
                <w:szCs w:val="18"/>
              </w:rPr>
              <w:t xml:space="preserve">. </w:t>
            </w:r>
          </w:p>
          <w:p w14:paraId="18B1AE75"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population, particularly in warmer regions of Australia, are likely to wear specific workwear including a hat, clothing that fully covers the torso, ½ arms and legs, and footwear. Sunscreen is applied once in the morning, during lunch/midday and in the afternoon as this would include professions that are expected to spend long periods of time during the day (~6 hours) during peak UV periods.</w:t>
            </w:r>
          </w:p>
          <w:p w14:paraId="67ADB235" w14:textId="65770AF6" w:rsid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evidence under ‘</w:t>
            </w:r>
            <w:hyperlink w:anchor="_Sunscreen_use_by" w:history="1">
              <w:r w:rsidRPr="00762005">
                <w:rPr>
                  <w:rFonts w:cs="Arial"/>
                  <w:color w:val="0000FF"/>
                  <w:szCs w:val="18"/>
                  <w:u w:val="single"/>
                </w:rPr>
                <w:t>Sunscreen use by outdoor workers</w:t>
              </w:r>
            </w:hyperlink>
            <w:r w:rsidRPr="00762005">
              <w:rPr>
                <w:rFonts w:cs="Arial"/>
                <w:szCs w:val="18"/>
              </w:rPr>
              <w:t>’ discussed above.</w:t>
            </w:r>
          </w:p>
          <w:p w14:paraId="6AF1598E" w14:textId="77777777" w:rsidR="008867B7" w:rsidRDefault="008867B7" w:rsidP="008867B7">
            <w:pPr>
              <w:cnfStyle w:val="000000000000" w:firstRow="0" w:lastRow="0" w:firstColumn="0" w:lastColumn="0" w:oddVBand="0" w:evenVBand="0" w:oddHBand="0" w:evenHBand="0" w:firstRowFirstColumn="0" w:firstRowLastColumn="0" w:lastRowFirstColumn="0" w:lastRowLastColumn="0"/>
              <w:rPr>
                <w:rFonts w:cs="Arial"/>
                <w:szCs w:val="18"/>
              </w:rPr>
            </w:pPr>
          </w:p>
          <w:p w14:paraId="23AD26C4" w14:textId="77777777" w:rsidR="008867B7" w:rsidRDefault="008867B7" w:rsidP="008867B7">
            <w:pPr>
              <w:cnfStyle w:val="000000000000" w:firstRow="0" w:lastRow="0" w:firstColumn="0" w:lastColumn="0" w:oddVBand="0" w:evenVBand="0" w:oddHBand="0" w:evenHBand="0" w:firstRowFirstColumn="0" w:firstRowLastColumn="0" w:lastRowFirstColumn="0" w:lastRowLastColumn="0"/>
              <w:rPr>
                <w:rFonts w:cs="Arial"/>
                <w:szCs w:val="18"/>
              </w:rPr>
            </w:pPr>
          </w:p>
          <w:p w14:paraId="737E7234" w14:textId="77777777" w:rsidR="008867B7" w:rsidRPr="00762005" w:rsidRDefault="008867B7"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0A2AACD5" w14:textId="77777777" w:rsidTr="00B05E0E">
        <w:trPr>
          <w:trHeight w:val="1833"/>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1A5A97B3" w14:textId="77777777" w:rsidR="00762005" w:rsidRPr="00762005" w:rsidRDefault="00762005" w:rsidP="00762005">
            <w:pPr>
              <w:rPr>
                <w:rFonts w:cs="Arial"/>
                <w:szCs w:val="18"/>
              </w:rPr>
            </w:pPr>
          </w:p>
        </w:tc>
        <w:tc>
          <w:tcPr>
            <w:tcW w:w="1559" w:type="dxa"/>
            <w:vAlign w:val="center"/>
          </w:tcPr>
          <w:p w14:paraId="207A5DFC" w14:textId="3A49B720" w:rsidR="008867B7" w:rsidRPr="00762005" w:rsidRDefault="00762005" w:rsidP="002101D0">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Agricultural worker</w:t>
            </w:r>
            <w:r w:rsidR="002101D0">
              <w:rPr>
                <w:rFonts w:cs="Arial"/>
                <w:szCs w:val="18"/>
              </w:rPr>
              <w:br/>
              <w:t>G</w:t>
            </w:r>
            <w:r w:rsidRPr="00762005">
              <w:rPr>
                <w:rFonts w:cs="Arial"/>
                <w:szCs w:val="18"/>
              </w:rPr>
              <w:t>rounds keeper</w:t>
            </w:r>
            <w:r w:rsidR="002101D0">
              <w:rPr>
                <w:rFonts w:cs="Arial"/>
                <w:szCs w:val="18"/>
              </w:rPr>
              <w:br/>
              <w:t>L</w:t>
            </w:r>
            <w:r w:rsidRPr="00762005">
              <w:rPr>
                <w:rFonts w:cs="Arial"/>
                <w:szCs w:val="18"/>
              </w:rPr>
              <w:t>andscaper</w:t>
            </w:r>
            <w:r w:rsidR="002101D0">
              <w:rPr>
                <w:rFonts w:cs="Arial"/>
                <w:szCs w:val="18"/>
              </w:rPr>
              <w:br/>
              <w:t>T</w:t>
            </w:r>
            <w:r w:rsidRPr="00762005">
              <w:rPr>
                <w:rFonts w:cs="Arial"/>
                <w:szCs w:val="18"/>
              </w:rPr>
              <w:t xml:space="preserve">radesperson </w:t>
            </w:r>
            <w:r w:rsidR="002101D0">
              <w:rPr>
                <w:rFonts w:cs="Arial"/>
                <w:szCs w:val="18"/>
              </w:rPr>
              <w:br/>
              <w:t>S</w:t>
            </w:r>
            <w:r w:rsidRPr="00762005">
              <w:rPr>
                <w:rFonts w:cs="Arial"/>
                <w:szCs w:val="18"/>
              </w:rPr>
              <w:t>urf lifeguard</w:t>
            </w:r>
          </w:p>
        </w:tc>
        <w:tc>
          <w:tcPr>
            <w:tcW w:w="1134" w:type="dxa"/>
            <w:vMerge/>
            <w:vAlign w:val="center"/>
          </w:tcPr>
          <w:p w14:paraId="1174499E"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3538E74C"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630E3196"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vAlign w:val="center"/>
          </w:tcPr>
          <w:p w14:paraId="329145AC" w14:textId="77777777" w:rsidR="00762005" w:rsidRPr="00762005" w:rsidRDefault="00762005" w:rsidP="0076200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14E7E601" w14:textId="77777777" w:rsidTr="00B05E0E">
        <w:trPr>
          <w:trHeight w:val="1838"/>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22351696" w14:textId="0A49CA9D" w:rsidR="00762005" w:rsidRPr="00762005" w:rsidRDefault="00762005" w:rsidP="00762005">
            <w:pPr>
              <w:spacing w:before="0" w:after="0" w:line="240" w:lineRule="auto"/>
              <w:ind w:left="0"/>
              <w:rPr>
                <w:rFonts w:eastAsia="Times New Roman" w:cs="Arial"/>
                <w:b/>
                <w:bCs/>
                <w:szCs w:val="18"/>
              </w:rPr>
            </w:pPr>
          </w:p>
          <w:p w14:paraId="69B03C9A" w14:textId="2EAA5099" w:rsidR="00762005" w:rsidRPr="00762005" w:rsidRDefault="00313B2B" w:rsidP="00762005">
            <w:pPr>
              <w:spacing w:before="0" w:after="0" w:line="240" w:lineRule="auto"/>
              <w:ind w:left="0"/>
              <w:rPr>
                <w:rFonts w:eastAsia="Times New Roman" w:cs="Arial"/>
                <w:b/>
                <w:bCs/>
                <w:szCs w:val="18"/>
              </w:rPr>
            </w:pPr>
            <w:r w:rsidRPr="00762005">
              <w:rPr>
                <w:rFonts w:eastAsia="Times New Roman" w:cs="Arial"/>
                <w:noProof/>
                <w:szCs w:val="18"/>
              </w:rPr>
              <w:drawing>
                <wp:anchor distT="0" distB="0" distL="114300" distR="114300" simplePos="0" relativeHeight="251694080" behindDoc="0" locked="0" layoutInCell="1" allowOverlap="1" wp14:anchorId="07B0D7FD" wp14:editId="155ED82E">
                  <wp:simplePos x="0" y="0"/>
                  <wp:positionH relativeFrom="column">
                    <wp:posOffset>41910</wp:posOffset>
                  </wp:positionH>
                  <wp:positionV relativeFrom="paragraph">
                    <wp:posOffset>31115</wp:posOffset>
                  </wp:positionV>
                  <wp:extent cx="1341755" cy="1524000"/>
                  <wp:effectExtent l="0" t="0" r="0" b="0"/>
                  <wp:wrapNone/>
                  <wp:docPr id="2127252744" name="Picture 212725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34175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1BE0F" w14:textId="7FF9D697" w:rsidR="00762005" w:rsidRPr="00762005" w:rsidRDefault="00762005" w:rsidP="00762005">
            <w:pPr>
              <w:spacing w:before="0" w:after="0" w:line="240" w:lineRule="auto"/>
              <w:ind w:left="0"/>
              <w:rPr>
                <w:rFonts w:eastAsia="Times New Roman" w:cs="Arial"/>
                <w:b/>
                <w:bCs/>
                <w:szCs w:val="18"/>
              </w:rPr>
            </w:pPr>
          </w:p>
          <w:p w14:paraId="28B4FE52" w14:textId="04BEE145" w:rsidR="00762005" w:rsidRPr="00762005" w:rsidRDefault="00762005" w:rsidP="00762005">
            <w:pPr>
              <w:spacing w:before="0" w:after="0" w:line="240" w:lineRule="auto"/>
              <w:ind w:left="0"/>
              <w:rPr>
                <w:rFonts w:eastAsia="Times New Roman" w:cs="Arial"/>
                <w:b/>
                <w:bCs/>
                <w:szCs w:val="18"/>
              </w:rPr>
            </w:pPr>
          </w:p>
          <w:p w14:paraId="428D6475" w14:textId="77777777" w:rsidR="00762005" w:rsidRPr="00762005" w:rsidRDefault="00762005" w:rsidP="00762005">
            <w:pPr>
              <w:spacing w:before="0" w:after="0" w:line="240" w:lineRule="auto"/>
              <w:ind w:left="0"/>
              <w:rPr>
                <w:rFonts w:eastAsia="Times New Roman" w:cs="Arial"/>
                <w:b/>
                <w:bCs/>
                <w:szCs w:val="18"/>
              </w:rPr>
            </w:pPr>
          </w:p>
          <w:p w14:paraId="4553C015" w14:textId="77777777" w:rsidR="00762005" w:rsidRPr="00762005" w:rsidRDefault="00762005" w:rsidP="00762005">
            <w:pPr>
              <w:spacing w:before="0" w:after="0" w:line="240" w:lineRule="auto"/>
              <w:ind w:left="0"/>
              <w:rPr>
                <w:rFonts w:eastAsia="Times New Roman" w:cs="Arial"/>
                <w:b/>
                <w:bCs/>
                <w:szCs w:val="18"/>
              </w:rPr>
            </w:pPr>
          </w:p>
          <w:p w14:paraId="38FCCED4" w14:textId="77777777" w:rsidR="00762005" w:rsidRPr="00762005" w:rsidRDefault="00762005" w:rsidP="00762005">
            <w:pPr>
              <w:spacing w:before="0" w:after="0" w:line="240" w:lineRule="auto"/>
              <w:ind w:left="0"/>
              <w:rPr>
                <w:rFonts w:eastAsia="Times New Roman" w:cs="Arial"/>
                <w:b/>
                <w:bCs/>
                <w:szCs w:val="18"/>
              </w:rPr>
            </w:pPr>
          </w:p>
          <w:p w14:paraId="559775C1" w14:textId="77777777" w:rsidR="00762005" w:rsidRPr="00762005" w:rsidRDefault="00762005" w:rsidP="00762005">
            <w:pPr>
              <w:spacing w:before="0" w:after="0" w:line="240" w:lineRule="auto"/>
              <w:ind w:left="0"/>
              <w:rPr>
                <w:rFonts w:eastAsia="Times New Roman" w:cs="Arial"/>
                <w:b/>
                <w:bCs/>
                <w:szCs w:val="18"/>
              </w:rPr>
            </w:pPr>
          </w:p>
          <w:p w14:paraId="2E8D45AE" w14:textId="77777777" w:rsidR="00762005" w:rsidRPr="00762005" w:rsidRDefault="00762005" w:rsidP="00762005">
            <w:pPr>
              <w:spacing w:before="0" w:after="0" w:line="240" w:lineRule="auto"/>
              <w:ind w:left="0"/>
              <w:rPr>
                <w:rFonts w:eastAsia="Times New Roman" w:cs="Arial"/>
                <w:b/>
                <w:bCs/>
                <w:szCs w:val="18"/>
              </w:rPr>
            </w:pPr>
          </w:p>
          <w:p w14:paraId="7CB6F282" w14:textId="77777777" w:rsidR="00762005" w:rsidRPr="00762005" w:rsidRDefault="00762005" w:rsidP="00762005">
            <w:pPr>
              <w:spacing w:before="0" w:after="0" w:line="240" w:lineRule="auto"/>
              <w:ind w:left="0"/>
              <w:rPr>
                <w:rFonts w:eastAsia="Times New Roman" w:cs="Arial"/>
                <w:b/>
                <w:bCs/>
                <w:szCs w:val="18"/>
              </w:rPr>
            </w:pPr>
          </w:p>
          <w:p w14:paraId="11825E50" w14:textId="77777777" w:rsidR="00762005" w:rsidRPr="00762005" w:rsidRDefault="00762005" w:rsidP="00762005">
            <w:pPr>
              <w:spacing w:before="0" w:after="0" w:line="240" w:lineRule="auto"/>
              <w:ind w:left="0"/>
              <w:rPr>
                <w:rFonts w:eastAsia="Times New Roman" w:cs="Arial"/>
                <w:b/>
                <w:bCs/>
                <w:szCs w:val="18"/>
              </w:rPr>
            </w:pPr>
          </w:p>
          <w:p w14:paraId="5168EAEB" w14:textId="77777777" w:rsidR="00762005" w:rsidRPr="00762005" w:rsidRDefault="00762005" w:rsidP="00762005">
            <w:pPr>
              <w:spacing w:before="0" w:after="0" w:line="240" w:lineRule="auto"/>
              <w:ind w:left="0"/>
              <w:rPr>
                <w:rFonts w:eastAsia="Times New Roman" w:cs="Arial"/>
                <w:b/>
                <w:bCs/>
                <w:szCs w:val="18"/>
              </w:rPr>
            </w:pPr>
          </w:p>
          <w:p w14:paraId="016B0152" w14:textId="77777777" w:rsidR="00762005" w:rsidRPr="00762005" w:rsidRDefault="00762005" w:rsidP="00762005">
            <w:pPr>
              <w:spacing w:before="0" w:after="0" w:line="240" w:lineRule="auto"/>
              <w:ind w:left="0"/>
              <w:rPr>
                <w:rFonts w:eastAsia="Times New Roman" w:cs="Arial"/>
                <w:b/>
                <w:bCs/>
                <w:szCs w:val="18"/>
              </w:rPr>
            </w:pPr>
          </w:p>
          <w:p w14:paraId="011E45BD" w14:textId="77777777" w:rsidR="00762005" w:rsidRPr="00762005" w:rsidRDefault="00762005" w:rsidP="00762005">
            <w:pPr>
              <w:spacing w:before="0" w:after="0" w:line="240" w:lineRule="auto"/>
              <w:ind w:left="0"/>
              <w:rPr>
                <w:rFonts w:eastAsia="Times New Roman" w:cs="Arial"/>
                <w:b/>
                <w:bCs/>
                <w:szCs w:val="18"/>
              </w:rPr>
            </w:pPr>
          </w:p>
        </w:tc>
        <w:tc>
          <w:tcPr>
            <w:tcW w:w="1559" w:type="dxa"/>
            <w:vAlign w:val="center"/>
          </w:tcPr>
          <w:p w14:paraId="016617D1"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Prolonged sun exposure. Extensive sunscreen use.</w:t>
            </w:r>
          </w:p>
        </w:tc>
        <w:tc>
          <w:tcPr>
            <w:tcW w:w="1134" w:type="dxa"/>
            <w:vMerge w:val="restart"/>
            <w:vAlign w:val="center"/>
          </w:tcPr>
          <w:p w14:paraId="44AC55B9"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Face, neck, hands, ½ legs, feet</w:t>
            </w:r>
          </w:p>
        </w:tc>
        <w:tc>
          <w:tcPr>
            <w:tcW w:w="1134" w:type="dxa"/>
            <w:vMerge w:val="restart"/>
            <w:vAlign w:val="center"/>
          </w:tcPr>
          <w:p w14:paraId="22616C87"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3</w:t>
            </w:r>
          </w:p>
        </w:tc>
        <w:tc>
          <w:tcPr>
            <w:tcW w:w="1418" w:type="dxa"/>
            <w:vMerge w:val="restart"/>
            <w:vAlign w:val="center"/>
          </w:tcPr>
          <w:p w14:paraId="0E8D2F8B"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26</w:t>
            </w:r>
          </w:p>
        </w:tc>
        <w:tc>
          <w:tcPr>
            <w:tcW w:w="7229" w:type="dxa"/>
            <w:vMerge w:val="restart"/>
            <w:vAlign w:val="center"/>
          </w:tcPr>
          <w:p w14:paraId="59659952" w14:textId="77777777" w:rsidR="00762005" w:rsidRPr="00762005" w:rsidRDefault="00762005" w:rsidP="00313B2B">
            <w:pPr>
              <w:jc w:val="both"/>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daily sunscreen application for sun-smart adults and children, undertaking outdoor recreational activities that lead to prolonged sun exposure on </w:t>
            </w:r>
            <w:r w:rsidRPr="00762005">
              <w:rPr>
                <w:rFonts w:cs="Arial"/>
                <w:b/>
                <w:bCs/>
                <w:szCs w:val="18"/>
              </w:rPr>
              <w:t>weekends</w:t>
            </w:r>
            <w:r w:rsidRPr="00762005">
              <w:rPr>
                <w:rFonts w:cs="Arial"/>
                <w:szCs w:val="18"/>
              </w:rPr>
              <w:t xml:space="preserve">. </w:t>
            </w:r>
          </w:p>
          <w:p w14:paraId="29B7D6FA"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population is likely to wear hats and clothing such as a long sleeve shirt/rashie, shorts/boardies that cover ½ legs. Sunscreen is applied once in the morning/start of the activity and twice again during the day, particularly due to swimming, sweating or towel drying that may remove the product.</w:t>
            </w:r>
          </w:p>
          <w:p w14:paraId="3334B83C" w14:textId="77777777" w:rsid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evidence under ‘</w:t>
            </w:r>
            <w:hyperlink w:anchor="_Sunscreen_use_by_1" w:history="1">
              <w:r w:rsidRPr="00762005">
                <w:rPr>
                  <w:rFonts w:cs="Arial"/>
                  <w:color w:val="0000FF"/>
                  <w:szCs w:val="18"/>
                  <w:u w:val="single"/>
                </w:rPr>
                <w:t>Sunscreen use by the general population</w:t>
              </w:r>
            </w:hyperlink>
            <w:r w:rsidRPr="00762005">
              <w:rPr>
                <w:rFonts w:cs="Arial"/>
                <w:szCs w:val="18"/>
              </w:rPr>
              <w:t xml:space="preserve">’ and </w:t>
            </w:r>
            <w:r w:rsidR="00261FC5">
              <w:rPr>
                <w:rFonts w:cs="Arial"/>
                <w:szCs w:val="18"/>
              </w:rPr>
              <w:t>‘</w:t>
            </w:r>
            <w:hyperlink w:anchor="_Current_evidence-based_sunscreen" w:history="1">
              <w:r w:rsidR="00261FC5" w:rsidRPr="00762005">
                <w:rPr>
                  <w:rFonts w:cs="Arial"/>
                  <w:color w:val="0000FF"/>
                  <w:szCs w:val="18"/>
                  <w:u w:val="single"/>
                </w:rPr>
                <w:t>Current evidence-based sunscreen use guidelines</w:t>
              </w:r>
            </w:hyperlink>
            <w:r w:rsidRPr="00762005">
              <w:rPr>
                <w:rFonts w:cs="Arial"/>
                <w:szCs w:val="18"/>
              </w:rPr>
              <w:t xml:space="preserve">’ discussed above. </w:t>
            </w:r>
          </w:p>
          <w:p w14:paraId="0CBEF5C9" w14:textId="5C6E7804" w:rsidR="006347CF" w:rsidRPr="00762005" w:rsidRDefault="006347CF"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1DDB6FB4" w14:textId="77777777" w:rsidTr="00B05E0E">
        <w:trPr>
          <w:trHeight w:val="1365"/>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1F6F80DE" w14:textId="77777777" w:rsidR="00762005" w:rsidRPr="00762005" w:rsidRDefault="00762005" w:rsidP="00762005">
            <w:pPr>
              <w:spacing w:line="259" w:lineRule="auto"/>
              <w:rPr>
                <w:rFonts w:cs="Arial"/>
                <w:szCs w:val="18"/>
              </w:rPr>
            </w:pPr>
          </w:p>
        </w:tc>
        <w:tc>
          <w:tcPr>
            <w:tcW w:w="1559" w:type="dxa"/>
            <w:vAlign w:val="center"/>
          </w:tcPr>
          <w:p w14:paraId="13AF8996"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Full day in the sun (beach or other activities)</w:t>
            </w:r>
          </w:p>
        </w:tc>
        <w:tc>
          <w:tcPr>
            <w:tcW w:w="1134" w:type="dxa"/>
            <w:vMerge/>
            <w:vAlign w:val="center"/>
          </w:tcPr>
          <w:p w14:paraId="503DF72A"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743FDE85"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51489378"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vAlign w:val="center"/>
          </w:tcPr>
          <w:p w14:paraId="684E45DF" w14:textId="77777777"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6003AC21" w14:textId="77777777" w:rsidTr="00B05E0E">
        <w:trPr>
          <w:trHeight w:val="1757"/>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06591141" w14:textId="77777777" w:rsidR="00762005" w:rsidRPr="00762005" w:rsidRDefault="00762005" w:rsidP="00762005">
            <w:pPr>
              <w:spacing w:before="0" w:after="0" w:line="240" w:lineRule="auto"/>
              <w:rPr>
                <w:rFonts w:eastAsia="Times New Roman" w:cs="Arial"/>
                <w:b/>
                <w:bCs/>
                <w:szCs w:val="18"/>
              </w:rPr>
            </w:pPr>
            <w:r w:rsidRPr="00762005">
              <w:rPr>
                <w:rFonts w:eastAsia="Times New Roman" w:cs="Arial"/>
                <w:noProof/>
                <w:szCs w:val="18"/>
              </w:rPr>
              <w:drawing>
                <wp:anchor distT="0" distB="0" distL="114300" distR="114300" simplePos="0" relativeHeight="251695104" behindDoc="0" locked="0" layoutInCell="1" allowOverlap="1" wp14:anchorId="02B3B061" wp14:editId="22E71008">
                  <wp:simplePos x="0" y="0"/>
                  <wp:positionH relativeFrom="column">
                    <wp:posOffset>-11430</wp:posOffset>
                  </wp:positionH>
                  <wp:positionV relativeFrom="paragraph">
                    <wp:posOffset>12700</wp:posOffset>
                  </wp:positionV>
                  <wp:extent cx="1492250" cy="1590675"/>
                  <wp:effectExtent l="0" t="0" r="0" b="9525"/>
                  <wp:wrapNone/>
                  <wp:docPr id="2127252745" name="Picture 212725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492250"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vAlign w:val="center"/>
          </w:tcPr>
          <w:p w14:paraId="21F79B52"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Prolonged sun exposure. Extensive sunscreen use.</w:t>
            </w:r>
          </w:p>
        </w:tc>
        <w:tc>
          <w:tcPr>
            <w:tcW w:w="1134" w:type="dxa"/>
            <w:vMerge w:val="restart"/>
            <w:vAlign w:val="center"/>
          </w:tcPr>
          <w:p w14:paraId="330E4ED0"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Full body</w:t>
            </w:r>
          </w:p>
        </w:tc>
        <w:tc>
          <w:tcPr>
            <w:tcW w:w="1134" w:type="dxa"/>
            <w:vMerge w:val="restart"/>
            <w:vAlign w:val="center"/>
          </w:tcPr>
          <w:p w14:paraId="46F259FA"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Up to 3</w:t>
            </w:r>
          </w:p>
        </w:tc>
        <w:tc>
          <w:tcPr>
            <w:tcW w:w="1418" w:type="dxa"/>
            <w:vMerge w:val="restart"/>
            <w:vAlign w:val="center"/>
          </w:tcPr>
          <w:p w14:paraId="5A72B28C" w14:textId="77777777" w:rsidR="00762005" w:rsidRPr="00762005" w:rsidRDefault="00762005" w:rsidP="008867B7">
            <w:pPr>
              <w:spacing w:line="259" w:lineRule="auto"/>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26</w:t>
            </w:r>
          </w:p>
        </w:tc>
        <w:tc>
          <w:tcPr>
            <w:tcW w:w="7229" w:type="dxa"/>
            <w:vMerge w:val="restart"/>
            <w:vAlign w:val="center"/>
          </w:tcPr>
          <w:p w14:paraId="7D387FD2" w14:textId="77777777" w:rsidR="00762005" w:rsidRPr="00762005" w:rsidRDefault="00762005" w:rsidP="00313B2B">
            <w:pPr>
              <w:ind w:left="0"/>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 xml:space="preserve">This scenario accounts for sunscreen application for adults and adolescents spending full day at the beach leading to prolonged sun exposure on </w:t>
            </w:r>
            <w:r w:rsidRPr="00762005">
              <w:rPr>
                <w:rFonts w:cs="Arial"/>
                <w:b/>
                <w:bCs/>
                <w:szCs w:val="18"/>
              </w:rPr>
              <w:t>weekends</w:t>
            </w:r>
            <w:r w:rsidRPr="00762005">
              <w:rPr>
                <w:rFonts w:cs="Arial"/>
                <w:szCs w:val="18"/>
              </w:rPr>
              <w:t xml:space="preserve">. </w:t>
            </w:r>
          </w:p>
          <w:p w14:paraId="7B8C88C2" w14:textId="77777777" w:rsidR="00762005" w:rsidRPr="00762005" w:rsidRDefault="00762005" w:rsidP="00313B2B">
            <w:pPr>
              <w:ind w:left="0"/>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population is likely to wear minimal swimwear. It presumes that sunscreen is applied once in the morning and twice again during the day, particularly due to swimming, sweating or towel drying that may remove the product.</w:t>
            </w:r>
          </w:p>
          <w:p w14:paraId="596762DA" w14:textId="19CDF1FC" w:rsidR="00762005" w:rsidRP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is supported by the ‘</w:t>
            </w:r>
            <w:hyperlink w:anchor="_Current_evidence-based_sunscreen" w:history="1">
              <w:r w:rsidR="00261FC5" w:rsidRPr="00762005">
                <w:rPr>
                  <w:rFonts w:cs="Arial"/>
                  <w:color w:val="0000FF"/>
                  <w:szCs w:val="18"/>
                  <w:u w:val="single"/>
                </w:rPr>
                <w:t>Current evidence-based sunscreen use guidelines</w:t>
              </w:r>
            </w:hyperlink>
            <w:r w:rsidRPr="00762005">
              <w:rPr>
                <w:rFonts w:cs="Arial"/>
                <w:szCs w:val="18"/>
              </w:rPr>
              <w:t>’ discussed above for sunscreen application if the full body is exposed to the sun.</w:t>
            </w:r>
          </w:p>
          <w:p w14:paraId="17D6366A" w14:textId="77777777" w:rsidR="008867B7" w:rsidRDefault="00762005" w:rsidP="00313B2B">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This scenario does not include children, as they are typically supervised by parents and expected to wear sun-smart attire, including hats and protective clothing, as outlined in scenario 5.</w:t>
            </w:r>
          </w:p>
          <w:p w14:paraId="6E482015" w14:textId="3AF9C4D1" w:rsidR="006347CF" w:rsidRPr="00762005" w:rsidRDefault="006347CF" w:rsidP="00313B2B">
            <w:pPr>
              <w:cnfStyle w:val="000000000000" w:firstRow="0" w:lastRow="0" w:firstColumn="0" w:lastColumn="0" w:oddVBand="0" w:evenVBand="0" w:oddHBand="0" w:evenHBand="0" w:firstRowFirstColumn="0" w:firstRowLastColumn="0" w:lastRowFirstColumn="0" w:lastRowLastColumn="0"/>
              <w:rPr>
                <w:rFonts w:cs="Arial"/>
                <w:szCs w:val="18"/>
              </w:rPr>
            </w:pPr>
          </w:p>
        </w:tc>
      </w:tr>
      <w:tr w:rsidR="008867B7" w:rsidRPr="007566C0" w14:paraId="59CB7241" w14:textId="77777777" w:rsidTr="00B05E0E">
        <w:trPr>
          <w:trHeight w:val="1453"/>
        </w:trPr>
        <w:tc>
          <w:tcPr>
            <w:cnfStyle w:val="001000000000" w:firstRow="0" w:lastRow="0" w:firstColumn="1" w:lastColumn="0" w:oddVBand="0" w:evenVBand="0" w:oddHBand="0" w:evenHBand="0" w:firstRowFirstColumn="0" w:firstRowLastColumn="0" w:lastRowFirstColumn="0" w:lastRowLastColumn="0"/>
            <w:tcW w:w="2552" w:type="dxa"/>
            <w:vMerge/>
            <w:textDirection w:val="btLr"/>
          </w:tcPr>
          <w:p w14:paraId="07EF5A6A" w14:textId="77777777" w:rsidR="00762005" w:rsidRPr="00762005" w:rsidRDefault="00762005" w:rsidP="00762005">
            <w:pPr>
              <w:ind w:right="113"/>
              <w:jc w:val="center"/>
              <w:rPr>
                <w:rFonts w:cs="Arial"/>
                <w:szCs w:val="18"/>
              </w:rPr>
            </w:pPr>
          </w:p>
        </w:tc>
        <w:tc>
          <w:tcPr>
            <w:tcW w:w="1559" w:type="dxa"/>
            <w:vAlign w:val="center"/>
          </w:tcPr>
          <w:p w14:paraId="5E0E0AAF" w14:textId="77777777" w:rsidR="00762005" w:rsidRDefault="00762005" w:rsidP="008867B7">
            <w:pPr>
              <w:cnfStyle w:val="000000000000" w:firstRow="0" w:lastRow="0" w:firstColumn="0" w:lastColumn="0" w:oddVBand="0" w:evenVBand="0" w:oddHBand="0" w:evenHBand="0" w:firstRowFirstColumn="0" w:firstRowLastColumn="0" w:lastRowFirstColumn="0" w:lastRowLastColumn="0"/>
              <w:rPr>
                <w:rFonts w:cs="Arial"/>
                <w:szCs w:val="18"/>
              </w:rPr>
            </w:pPr>
            <w:r w:rsidRPr="00762005">
              <w:rPr>
                <w:rFonts w:cs="Arial"/>
                <w:szCs w:val="18"/>
              </w:rPr>
              <w:t>Full day at the beach</w:t>
            </w:r>
          </w:p>
          <w:p w14:paraId="76651D2E" w14:textId="77777777" w:rsidR="006347CF" w:rsidRDefault="006347CF" w:rsidP="008867B7">
            <w:pPr>
              <w:cnfStyle w:val="000000000000" w:firstRow="0" w:lastRow="0" w:firstColumn="0" w:lastColumn="0" w:oddVBand="0" w:evenVBand="0" w:oddHBand="0" w:evenHBand="0" w:firstRowFirstColumn="0" w:firstRowLastColumn="0" w:lastRowFirstColumn="0" w:lastRowLastColumn="0"/>
              <w:rPr>
                <w:rFonts w:cs="Arial"/>
                <w:szCs w:val="18"/>
              </w:rPr>
            </w:pPr>
          </w:p>
          <w:p w14:paraId="21093E9F" w14:textId="77777777" w:rsidR="006347CF" w:rsidRDefault="006347CF" w:rsidP="008867B7">
            <w:pPr>
              <w:cnfStyle w:val="000000000000" w:firstRow="0" w:lastRow="0" w:firstColumn="0" w:lastColumn="0" w:oddVBand="0" w:evenVBand="0" w:oddHBand="0" w:evenHBand="0" w:firstRowFirstColumn="0" w:firstRowLastColumn="0" w:lastRowFirstColumn="0" w:lastRowLastColumn="0"/>
              <w:rPr>
                <w:rFonts w:cs="Arial"/>
                <w:szCs w:val="18"/>
              </w:rPr>
            </w:pPr>
          </w:p>
          <w:p w14:paraId="69D9BE68" w14:textId="77777777" w:rsidR="006347CF" w:rsidRDefault="006347CF" w:rsidP="008867B7">
            <w:pPr>
              <w:cnfStyle w:val="000000000000" w:firstRow="0" w:lastRow="0" w:firstColumn="0" w:lastColumn="0" w:oddVBand="0" w:evenVBand="0" w:oddHBand="0" w:evenHBand="0" w:firstRowFirstColumn="0" w:firstRowLastColumn="0" w:lastRowFirstColumn="0" w:lastRowLastColumn="0"/>
              <w:rPr>
                <w:rFonts w:cs="Arial"/>
                <w:szCs w:val="18"/>
              </w:rPr>
            </w:pPr>
          </w:p>
          <w:p w14:paraId="046C419E" w14:textId="77777777" w:rsidR="006347CF" w:rsidRPr="00762005" w:rsidRDefault="006347CF" w:rsidP="006347CF">
            <w:pPr>
              <w:ind w:left="0"/>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481E0B36"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1134" w:type="dxa"/>
            <w:vMerge/>
            <w:vAlign w:val="center"/>
          </w:tcPr>
          <w:p w14:paraId="43A0F507"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1418" w:type="dxa"/>
            <w:vMerge/>
            <w:vAlign w:val="center"/>
          </w:tcPr>
          <w:p w14:paraId="10E4E24A"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7229" w:type="dxa"/>
            <w:vMerge/>
          </w:tcPr>
          <w:p w14:paraId="37C9F512" w14:textId="77777777" w:rsidR="00762005" w:rsidRPr="00762005" w:rsidRDefault="00762005" w:rsidP="00762005">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r>
    </w:tbl>
    <w:p w14:paraId="3CD9195B" w14:textId="77777777" w:rsidR="00762005" w:rsidRDefault="00762005">
      <w:pPr>
        <w:rPr>
          <w:rFonts w:eastAsia="Cambria" w:cs="Times New Roman"/>
          <w:b/>
          <w:color w:val="333F48"/>
        </w:rPr>
      </w:pPr>
      <w:bookmarkStart w:id="99" w:name="Table8"/>
    </w:p>
    <w:p w14:paraId="21A538B6" w14:textId="77777777" w:rsidR="00762005" w:rsidRDefault="00762005" w:rsidP="00697917">
      <w:pPr>
        <w:pStyle w:val="Tabletitle"/>
      </w:pPr>
    </w:p>
    <w:p w14:paraId="4F87759B" w14:textId="77777777" w:rsidR="00762005" w:rsidRDefault="00762005" w:rsidP="00697917">
      <w:pPr>
        <w:pStyle w:val="Tabletitle"/>
        <w:sectPr w:rsidR="00762005" w:rsidSect="00762005">
          <w:pgSz w:w="16838" w:h="11906" w:orient="landscape"/>
          <w:pgMar w:top="1440" w:right="1440" w:bottom="1440" w:left="1440" w:header="680" w:footer="708" w:gutter="0"/>
          <w:cols w:space="708"/>
          <w:docGrid w:linePitch="360"/>
        </w:sectPr>
      </w:pPr>
    </w:p>
    <w:p w14:paraId="0D6B206D" w14:textId="2B6919DF" w:rsidR="00151B4C" w:rsidRPr="00151B4C" w:rsidRDefault="00151B4C" w:rsidP="00F47305">
      <w:pPr>
        <w:pStyle w:val="Heading4"/>
      </w:pPr>
      <w:bookmarkStart w:id="100" w:name="_Toc184730583"/>
      <w:bookmarkStart w:id="101" w:name="Calculationsexposure"/>
      <w:bookmarkEnd w:id="99"/>
      <w:r w:rsidRPr="00151B4C">
        <w:t>Calculations</w:t>
      </w:r>
      <w:r w:rsidRPr="00151B4C">
        <w:rPr>
          <w:spacing w:val="-6"/>
        </w:rPr>
        <w:t xml:space="preserve"> </w:t>
      </w:r>
      <w:r w:rsidR="00DB4FE0">
        <w:t>to establish</w:t>
      </w:r>
      <w:r w:rsidRPr="00151B4C">
        <w:rPr>
          <w:spacing w:val="-6"/>
        </w:rPr>
        <w:t xml:space="preserve"> </w:t>
      </w:r>
      <w:r w:rsidR="006C633B">
        <w:t>highest estimated average daily sunscreen exposure</w:t>
      </w:r>
      <w:bookmarkEnd w:id="100"/>
    </w:p>
    <w:bookmarkEnd w:id="101"/>
    <w:p w14:paraId="61C7AB05" w14:textId="77777777" w:rsidR="00151B4C" w:rsidRPr="00151B4C" w:rsidRDefault="00151B4C" w:rsidP="00151B4C">
      <w:pPr>
        <w:widowControl w:val="0"/>
        <w:autoSpaceDE w:val="0"/>
        <w:autoSpaceDN w:val="0"/>
        <w:spacing w:before="121" w:after="0" w:line="256" w:lineRule="auto"/>
        <w:rPr>
          <w:rFonts w:eastAsia="Arial" w:cs="Arial"/>
          <w:lang w:val="en-US"/>
        </w:rPr>
      </w:pP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TGA</w:t>
      </w:r>
      <w:r w:rsidRPr="00151B4C">
        <w:rPr>
          <w:rFonts w:eastAsia="Arial" w:cs="Arial"/>
          <w:spacing w:val="-2"/>
          <w:lang w:val="en-US"/>
        </w:rPr>
        <w:t xml:space="preserve"> </w:t>
      </w:r>
      <w:r w:rsidRPr="00151B4C">
        <w:rPr>
          <w:rFonts w:eastAsia="Arial" w:cs="Arial"/>
          <w:lang w:val="en-US"/>
        </w:rPr>
        <w:t>has</w:t>
      </w:r>
      <w:r w:rsidRPr="00151B4C">
        <w:rPr>
          <w:rFonts w:eastAsia="Arial" w:cs="Arial"/>
          <w:spacing w:val="-3"/>
          <w:lang w:val="en-US"/>
        </w:rPr>
        <w:t xml:space="preserve"> </w:t>
      </w:r>
      <w:r w:rsidRPr="00151B4C">
        <w:rPr>
          <w:rFonts w:eastAsia="Arial" w:cs="Arial"/>
          <w:lang w:val="en-US"/>
        </w:rPr>
        <w:t>calculated</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sunscreen</w:t>
      </w:r>
      <w:r w:rsidRPr="00151B4C">
        <w:rPr>
          <w:rFonts w:eastAsia="Arial" w:cs="Arial"/>
          <w:spacing w:val="-2"/>
          <w:lang w:val="en-US"/>
        </w:rPr>
        <w:t xml:space="preserve"> </w:t>
      </w:r>
      <w:r w:rsidRPr="00151B4C">
        <w:rPr>
          <w:rFonts w:eastAsia="Arial" w:cs="Arial"/>
          <w:lang w:val="en-US"/>
        </w:rPr>
        <w:t>exposure</w:t>
      </w:r>
      <w:r w:rsidRPr="00151B4C">
        <w:rPr>
          <w:rFonts w:eastAsia="Arial" w:cs="Arial"/>
          <w:spacing w:val="-4"/>
          <w:lang w:val="en-US"/>
        </w:rPr>
        <w:t xml:space="preserve"> </w:t>
      </w:r>
      <w:r w:rsidRPr="00151B4C">
        <w:rPr>
          <w:rFonts w:eastAsia="Arial" w:cs="Arial"/>
          <w:lang w:val="en-US"/>
        </w:rPr>
        <w:t>for</w:t>
      </w:r>
      <w:r w:rsidRPr="00151B4C">
        <w:rPr>
          <w:rFonts w:eastAsia="Arial" w:cs="Arial"/>
          <w:spacing w:val="-3"/>
          <w:lang w:val="en-US"/>
        </w:rPr>
        <w:t xml:space="preserve"> </w:t>
      </w:r>
      <w:r w:rsidRPr="00151B4C">
        <w:rPr>
          <w:rFonts w:eastAsia="Arial" w:cs="Arial"/>
          <w:lang w:val="en-US"/>
        </w:rPr>
        <w:t>each</w:t>
      </w:r>
      <w:r w:rsidRPr="00151B4C">
        <w:rPr>
          <w:rFonts w:eastAsia="Arial" w:cs="Arial"/>
          <w:spacing w:val="-4"/>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scenario</w:t>
      </w:r>
      <w:r w:rsidRPr="00151B4C">
        <w:rPr>
          <w:rFonts w:eastAsia="Arial" w:cs="Arial"/>
          <w:spacing w:val="-4"/>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combined</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weekday and weekend scenarios to provide a yearly realistic exposure. These yearly exposure scenarios are:</w:t>
      </w:r>
    </w:p>
    <w:p w14:paraId="43F8CC36" w14:textId="77777777" w:rsidR="00151B4C" w:rsidRPr="006D28D0" w:rsidRDefault="00151B4C" w:rsidP="006D28D0">
      <w:pPr>
        <w:pStyle w:val="Numberbullet0"/>
        <w:numPr>
          <w:ilvl w:val="0"/>
          <w:numId w:val="18"/>
        </w:numPr>
        <w:rPr>
          <w:rFonts w:ascii="Symbol" w:hAnsi="Symbol"/>
        </w:rPr>
      </w:pPr>
      <w:r w:rsidRPr="00803BFE">
        <w:t>For</w:t>
      </w:r>
      <w:r w:rsidRPr="006D28D0">
        <w:rPr>
          <w:spacing w:val="-5"/>
        </w:rPr>
        <w:t xml:space="preserve"> </w:t>
      </w:r>
      <w:r w:rsidRPr="00803BFE">
        <w:t>adults:</w:t>
      </w:r>
      <w:r w:rsidRPr="006D28D0">
        <w:rPr>
          <w:spacing w:val="-6"/>
        </w:rPr>
        <w:t xml:space="preserve"> </w:t>
      </w:r>
      <w:r w:rsidRPr="00803BFE">
        <w:t>Scenarios</w:t>
      </w:r>
      <w:r w:rsidRPr="006D28D0">
        <w:rPr>
          <w:spacing w:val="-4"/>
        </w:rPr>
        <w:t xml:space="preserve"> </w:t>
      </w:r>
      <w:r w:rsidRPr="00803BFE">
        <w:t>4</w:t>
      </w:r>
      <w:r w:rsidRPr="006D28D0">
        <w:rPr>
          <w:spacing w:val="-6"/>
        </w:rPr>
        <w:t xml:space="preserve"> </w:t>
      </w:r>
      <w:r w:rsidRPr="00803BFE">
        <w:t>+</w:t>
      </w:r>
      <w:r w:rsidRPr="006D28D0">
        <w:rPr>
          <w:spacing w:val="-4"/>
        </w:rPr>
        <w:t xml:space="preserve"> </w:t>
      </w:r>
      <w:r w:rsidRPr="006D28D0">
        <w:rPr>
          <w:spacing w:val="-5"/>
        </w:rPr>
        <w:t>6.</w:t>
      </w:r>
    </w:p>
    <w:p w14:paraId="3ABF14F3" w14:textId="77777777" w:rsidR="00151B4C" w:rsidRPr="00803BFE" w:rsidRDefault="00151B4C">
      <w:pPr>
        <w:numPr>
          <w:ilvl w:val="0"/>
          <w:numId w:val="7"/>
        </w:numPr>
        <w:tabs>
          <w:tab w:val="left" w:pos="425"/>
        </w:tabs>
        <w:spacing w:before="120" w:after="180" w:line="240" w:lineRule="atLeast"/>
        <w:rPr>
          <w:rFonts w:ascii="Symbol" w:eastAsia="Cambria" w:hAnsi="Symbol" w:cs="Times New Roman"/>
        </w:rPr>
      </w:pPr>
      <w:r w:rsidRPr="00803BFE">
        <w:rPr>
          <w:rFonts w:eastAsia="Cambria" w:cs="Times New Roman"/>
        </w:rPr>
        <w:t>For</w:t>
      </w:r>
      <w:r w:rsidRPr="00803BFE">
        <w:rPr>
          <w:rFonts w:eastAsia="Cambria" w:cs="Times New Roman"/>
          <w:spacing w:val="-7"/>
        </w:rPr>
        <w:t xml:space="preserve"> </w:t>
      </w:r>
      <w:r w:rsidRPr="00803BFE">
        <w:rPr>
          <w:rFonts w:eastAsia="Cambria" w:cs="Times New Roman"/>
        </w:rPr>
        <w:t>secondary</w:t>
      </w:r>
      <w:r w:rsidRPr="00803BFE">
        <w:rPr>
          <w:rFonts w:eastAsia="Cambria" w:cs="Times New Roman"/>
          <w:spacing w:val="-6"/>
        </w:rPr>
        <w:t xml:space="preserve"> </w:t>
      </w:r>
      <w:r w:rsidRPr="00803BFE">
        <w:rPr>
          <w:rFonts w:eastAsia="Cambria" w:cs="Times New Roman"/>
        </w:rPr>
        <w:t>school</w:t>
      </w:r>
      <w:r w:rsidRPr="00803BFE">
        <w:rPr>
          <w:rFonts w:eastAsia="Cambria" w:cs="Times New Roman"/>
          <w:spacing w:val="-8"/>
        </w:rPr>
        <w:t xml:space="preserve"> </w:t>
      </w:r>
      <w:r w:rsidRPr="00803BFE">
        <w:rPr>
          <w:rFonts w:eastAsia="Cambria" w:cs="Times New Roman"/>
        </w:rPr>
        <w:t>children:</w:t>
      </w:r>
      <w:r w:rsidRPr="00803BFE">
        <w:rPr>
          <w:rFonts w:eastAsia="Cambria" w:cs="Times New Roman"/>
          <w:spacing w:val="-4"/>
        </w:rPr>
        <w:t xml:space="preserve"> </w:t>
      </w:r>
      <w:r w:rsidRPr="00803BFE">
        <w:rPr>
          <w:rFonts w:eastAsia="Cambria" w:cs="Times New Roman"/>
        </w:rPr>
        <w:t>Scenarios</w:t>
      </w:r>
      <w:r w:rsidRPr="00803BFE">
        <w:rPr>
          <w:rFonts w:eastAsia="Cambria" w:cs="Times New Roman"/>
          <w:spacing w:val="-6"/>
        </w:rPr>
        <w:t xml:space="preserve"> </w:t>
      </w:r>
      <w:r w:rsidRPr="00803BFE">
        <w:rPr>
          <w:rFonts w:eastAsia="Cambria" w:cs="Times New Roman"/>
        </w:rPr>
        <w:t>3</w:t>
      </w:r>
      <w:r w:rsidRPr="00803BFE">
        <w:rPr>
          <w:rFonts w:eastAsia="Cambria" w:cs="Times New Roman"/>
          <w:spacing w:val="-7"/>
        </w:rPr>
        <w:t xml:space="preserve"> </w:t>
      </w:r>
      <w:r w:rsidRPr="00803BFE">
        <w:rPr>
          <w:rFonts w:eastAsia="Cambria" w:cs="Times New Roman"/>
        </w:rPr>
        <w:t>+</w:t>
      </w:r>
      <w:r w:rsidRPr="00803BFE">
        <w:rPr>
          <w:rFonts w:eastAsia="Cambria" w:cs="Times New Roman"/>
          <w:spacing w:val="-5"/>
        </w:rPr>
        <w:t xml:space="preserve"> 6.</w:t>
      </w:r>
    </w:p>
    <w:p w14:paraId="4F93863E" w14:textId="77777777" w:rsidR="00151B4C" w:rsidRPr="00803BFE" w:rsidRDefault="00151B4C">
      <w:pPr>
        <w:numPr>
          <w:ilvl w:val="0"/>
          <w:numId w:val="7"/>
        </w:numPr>
        <w:tabs>
          <w:tab w:val="left" w:pos="425"/>
        </w:tabs>
        <w:spacing w:before="120" w:after="180" w:line="240" w:lineRule="atLeast"/>
        <w:rPr>
          <w:rFonts w:ascii="Symbol" w:eastAsia="Cambria" w:hAnsi="Symbol" w:cs="Times New Roman"/>
        </w:rPr>
      </w:pPr>
      <w:r w:rsidRPr="00803BFE">
        <w:rPr>
          <w:rFonts w:eastAsia="Cambria" w:cs="Times New Roman"/>
        </w:rPr>
        <w:t>For</w:t>
      </w:r>
      <w:r w:rsidRPr="00803BFE">
        <w:rPr>
          <w:rFonts w:eastAsia="Cambria" w:cs="Times New Roman"/>
          <w:spacing w:val="-3"/>
        </w:rPr>
        <w:t xml:space="preserve"> </w:t>
      </w:r>
      <w:r w:rsidRPr="00803BFE">
        <w:rPr>
          <w:rFonts w:eastAsia="Cambria" w:cs="Times New Roman"/>
        </w:rPr>
        <w:t>other</w:t>
      </w:r>
      <w:r w:rsidRPr="00803BFE">
        <w:rPr>
          <w:rFonts w:eastAsia="Cambria" w:cs="Times New Roman"/>
          <w:spacing w:val="-3"/>
        </w:rPr>
        <w:t xml:space="preserve"> </w:t>
      </w:r>
      <w:r w:rsidRPr="00803BFE">
        <w:rPr>
          <w:rFonts w:eastAsia="Cambria" w:cs="Times New Roman"/>
        </w:rPr>
        <w:t>children,</w:t>
      </w:r>
      <w:r w:rsidRPr="00803BFE">
        <w:rPr>
          <w:rFonts w:eastAsia="Cambria" w:cs="Times New Roman"/>
          <w:spacing w:val="-3"/>
        </w:rPr>
        <w:t xml:space="preserve"> </w:t>
      </w:r>
      <w:r w:rsidRPr="00803BFE">
        <w:rPr>
          <w:rFonts w:eastAsia="Cambria" w:cs="Times New Roman"/>
        </w:rPr>
        <w:t>including</w:t>
      </w:r>
      <w:r w:rsidRPr="00803BFE">
        <w:rPr>
          <w:rFonts w:eastAsia="Cambria" w:cs="Times New Roman"/>
          <w:spacing w:val="-4"/>
        </w:rPr>
        <w:t xml:space="preserve"> </w:t>
      </w:r>
      <w:r w:rsidRPr="00803BFE">
        <w:rPr>
          <w:rFonts w:eastAsia="Cambria" w:cs="Times New Roman"/>
        </w:rPr>
        <w:t>toddlers,</w:t>
      </w:r>
      <w:r w:rsidRPr="00803BFE">
        <w:rPr>
          <w:rFonts w:eastAsia="Cambria" w:cs="Times New Roman"/>
          <w:spacing w:val="-4"/>
        </w:rPr>
        <w:t xml:space="preserve"> </w:t>
      </w:r>
      <w:r w:rsidRPr="00803BFE">
        <w:rPr>
          <w:rFonts w:eastAsia="Cambria" w:cs="Times New Roman"/>
        </w:rPr>
        <w:t>pre-school,</w:t>
      </w:r>
      <w:r w:rsidRPr="00803BFE">
        <w:rPr>
          <w:rFonts w:eastAsia="Cambria" w:cs="Times New Roman"/>
          <w:spacing w:val="-4"/>
        </w:rPr>
        <w:t xml:space="preserve"> </w:t>
      </w:r>
      <w:r w:rsidRPr="00803BFE">
        <w:rPr>
          <w:rFonts w:eastAsia="Cambria" w:cs="Times New Roman"/>
        </w:rPr>
        <w:t>and</w:t>
      </w:r>
      <w:r w:rsidRPr="00803BFE">
        <w:rPr>
          <w:rFonts w:eastAsia="Cambria" w:cs="Times New Roman"/>
          <w:spacing w:val="-3"/>
        </w:rPr>
        <w:t xml:space="preserve"> </w:t>
      </w:r>
      <w:r w:rsidRPr="00803BFE">
        <w:rPr>
          <w:rFonts w:eastAsia="Cambria" w:cs="Times New Roman"/>
        </w:rPr>
        <w:t>primary</w:t>
      </w:r>
      <w:r w:rsidRPr="00803BFE">
        <w:rPr>
          <w:rFonts w:eastAsia="Cambria" w:cs="Times New Roman"/>
          <w:spacing w:val="-3"/>
        </w:rPr>
        <w:t xml:space="preserve"> </w:t>
      </w:r>
      <w:r w:rsidRPr="00803BFE">
        <w:rPr>
          <w:rFonts w:eastAsia="Cambria" w:cs="Times New Roman"/>
        </w:rPr>
        <w:t>school</w:t>
      </w:r>
      <w:r w:rsidRPr="00803BFE">
        <w:rPr>
          <w:rFonts w:eastAsia="Cambria" w:cs="Times New Roman"/>
          <w:spacing w:val="-5"/>
        </w:rPr>
        <w:t xml:space="preserve"> </w:t>
      </w:r>
      <w:r w:rsidRPr="00803BFE">
        <w:rPr>
          <w:rFonts w:eastAsia="Cambria" w:cs="Times New Roman"/>
        </w:rPr>
        <w:t>children:</w:t>
      </w:r>
      <w:r w:rsidRPr="00803BFE">
        <w:rPr>
          <w:rFonts w:eastAsia="Cambria" w:cs="Times New Roman"/>
          <w:spacing w:val="-2"/>
        </w:rPr>
        <w:t xml:space="preserve"> </w:t>
      </w:r>
      <w:r w:rsidRPr="00803BFE">
        <w:rPr>
          <w:rFonts w:eastAsia="Cambria" w:cs="Times New Roman"/>
        </w:rPr>
        <w:t>Scenarios</w:t>
      </w:r>
      <w:r w:rsidRPr="00803BFE">
        <w:rPr>
          <w:rFonts w:eastAsia="Cambria" w:cs="Times New Roman"/>
          <w:spacing w:val="-3"/>
        </w:rPr>
        <w:t xml:space="preserve"> </w:t>
      </w:r>
      <w:r w:rsidRPr="00803BFE">
        <w:rPr>
          <w:rFonts w:eastAsia="Cambria" w:cs="Times New Roman"/>
        </w:rPr>
        <w:t>3</w:t>
      </w:r>
      <w:r w:rsidRPr="00803BFE">
        <w:rPr>
          <w:rFonts w:eastAsia="Cambria" w:cs="Times New Roman"/>
          <w:spacing w:val="-4"/>
        </w:rPr>
        <w:t xml:space="preserve"> </w:t>
      </w:r>
      <w:r w:rsidRPr="00803BFE">
        <w:rPr>
          <w:rFonts w:eastAsia="Cambria" w:cs="Times New Roman"/>
        </w:rPr>
        <w:t xml:space="preserve">+ </w:t>
      </w:r>
      <w:r w:rsidRPr="00803BFE">
        <w:rPr>
          <w:rFonts w:eastAsia="Cambria" w:cs="Times New Roman"/>
          <w:spacing w:val="-6"/>
        </w:rPr>
        <w:t>5.</w:t>
      </w:r>
    </w:p>
    <w:p w14:paraId="6991DBCD" w14:textId="64221495" w:rsidR="00151B4C" w:rsidRPr="00151B4C" w:rsidRDefault="00151B4C" w:rsidP="00151B4C">
      <w:pPr>
        <w:widowControl w:val="0"/>
        <w:autoSpaceDE w:val="0"/>
        <w:autoSpaceDN w:val="0"/>
        <w:spacing w:before="125" w:after="0" w:line="240" w:lineRule="auto"/>
        <w:rPr>
          <w:rFonts w:eastAsia="Arial" w:cs="Arial"/>
          <w:lang w:val="en-US"/>
        </w:rPr>
      </w:pPr>
      <w:r w:rsidRPr="00151B4C">
        <w:rPr>
          <w:rFonts w:eastAsia="Arial" w:cs="Arial"/>
          <w:lang w:val="en-US"/>
        </w:rPr>
        <w:t>To</w:t>
      </w:r>
      <w:r w:rsidRPr="00151B4C">
        <w:rPr>
          <w:rFonts w:eastAsia="Arial" w:cs="Arial"/>
          <w:spacing w:val="-7"/>
          <w:lang w:val="en-US"/>
        </w:rPr>
        <w:t xml:space="preserve"> </w:t>
      </w:r>
      <w:r w:rsidRPr="00151B4C">
        <w:rPr>
          <w:rFonts w:eastAsia="Arial" w:cs="Arial"/>
          <w:lang w:val="en-US"/>
        </w:rPr>
        <w:t>derive</w:t>
      </w:r>
      <w:r w:rsidRPr="00151B4C">
        <w:rPr>
          <w:rFonts w:eastAsia="Arial" w:cs="Arial"/>
          <w:spacing w:val="-5"/>
          <w:lang w:val="en-US"/>
        </w:rPr>
        <w:t xml:space="preserve"> </w:t>
      </w:r>
      <w:r w:rsidRPr="00151B4C">
        <w:rPr>
          <w:rFonts w:eastAsia="Arial" w:cs="Arial"/>
          <w:lang w:val="en-US"/>
        </w:rPr>
        <w:t>the</w:t>
      </w:r>
      <w:r w:rsidRPr="00151B4C">
        <w:rPr>
          <w:rFonts w:eastAsia="Arial" w:cs="Arial"/>
          <w:spacing w:val="-5"/>
          <w:lang w:val="en-US"/>
        </w:rPr>
        <w:t xml:space="preserve"> </w:t>
      </w:r>
      <w:r w:rsidRPr="00151B4C">
        <w:rPr>
          <w:rFonts w:eastAsia="Arial" w:cs="Arial"/>
          <w:lang w:val="en-US"/>
        </w:rPr>
        <w:t>estimated</w:t>
      </w:r>
      <w:r w:rsidRPr="00151B4C">
        <w:rPr>
          <w:rFonts w:eastAsia="Arial" w:cs="Arial"/>
          <w:spacing w:val="-7"/>
          <w:lang w:val="en-US"/>
        </w:rPr>
        <w:t xml:space="preserve"> </w:t>
      </w:r>
      <w:r w:rsidR="007F4EFD">
        <w:rPr>
          <w:rFonts w:eastAsia="Arial" w:cs="Arial"/>
          <w:spacing w:val="-7"/>
          <w:lang w:val="en-US"/>
        </w:rPr>
        <w:t xml:space="preserve">average </w:t>
      </w:r>
      <w:r w:rsidRPr="00151B4C">
        <w:rPr>
          <w:rFonts w:eastAsia="Arial" w:cs="Arial"/>
          <w:lang w:val="en-US"/>
        </w:rPr>
        <w:t>daily</w:t>
      </w:r>
      <w:r w:rsidRPr="00151B4C">
        <w:rPr>
          <w:rFonts w:eastAsia="Arial" w:cs="Arial"/>
          <w:spacing w:val="-6"/>
          <w:lang w:val="en-US"/>
        </w:rPr>
        <w:t xml:space="preserve"> </w:t>
      </w:r>
      <w:r w:rsidRPr="00151B4C">
        <w:rPr>
          <w:rFonts w:eastAsia="Arial" w:cs="Arial"/>
          <w:lang w:val="en-US"/>
        </w:rPr>
        <w:t>sunscreen</w:t>
      </w:r>
      <w:r w:rsidRPr="00151B4C">
        <w:rPr>
          <w:rFonts w:eastAsia="Arial" w:cs="Arial"/>
          <w:spacing w:val="-7"/>
          <w:lang w:val="en-US"/>
        </w:rPr>
        <w:t xml:space="preserve"> </w:t>
      </w:r>
      <w:r w:rsidRPr="00151B4C">
        <w:rPr>
          <w:rFonts w:eastAsia="Arial" w:cs="Arial"/>
          <w:lang w:val="en-US"/>
        </w:rPr>
        <w:t>exposure,</w:t>
      </w:r>
      <w:r w:rsidRPr="00151B4C">
        <w:rPr>
          <w:rFonts w:eastAsia="Arial" w:cs="Arial"/>
          <w:spacing w:val="-7"/>
          <w:lang w:val="en-US"/>
        </w:rPr>
        <w:t xml:space="preserve"> </w:t>
      </w:r>
      <w:r w:rsidRPr="00151B4C">
        <w:rPr>
          <w:rFonts w:eastAsia="Arial" w:cs="Arial"/>
          <w:lang w:val="en-US"/>
        </w:rPr>
        <w:t>the</w:t>
      </w:r>
      <w:r w:rsidRPr="00151B4C">
        <w:rPr>
          <w:rFonts w:eastAsia="Arial" w:cs="Arial"/>
          <w:spacing w:val="-5"/>
          <w:lang w:val="en-US"/>
        </w:rPr>
        <w:t xml:space="preserve"> </w:t>
      </w:r>
      <w:r w:rsidRPr="00151B4C">
        <w:rPr>
          <w:rFonts w:eastAsia="Arial" w:cs="Arial"/>
          <w:lang w:val="en-US"/>
        </w:rPr>
        <w:t>output</w:t>
      </w:r>
      <w:r w:rsidRPr="00151B4C">
        <w:rPr>
          <w:rFonts w:eastAsia="Arial" w:cs="Arial"/>
          <w:spacing w:val="-6"/>
          <w:lang w:val="en-US"/>
        </w:rPr>
        <w:t xml:space="preserve"> </w:t>
      </w:r>
      <w:r w:rsidRPr="00151B4C">
        <w:rPr>
          <w:rFonts w:eastAsia="Arial" w:cs="Arial"/>
          <w:lang w:val="en-US"/>
        </w:rPr>
        <w:t>was</w:t>
      </w:r>
      <w:r w:rsidRPr="00151B4C">
        <w:rPr>
          <w:rFonts w:eastAsia="Arial" w:cs="Arial"/>
          <w:spacing w:val="-4"/>
          <w:lang w:val="en-US"/>
        </w:rPr>
        <w:t xml:space="preserve"> </w:t>
      </w:r>
      <w:r w:rsidRPr="00151B4C">
        <w:rPr>
          <w:rFonts w:eastAsia="Arial" w:cs="Arial"/>
          <w:lang w:val="en-US"/>
        </w:rPr>
        <w:t>divided</w:t>
      </w:r>
      <w:r w:rsidRPr="00151B4C">
        <w:rPr>
          <w:rFonts w:eastAsia="Arial" w:cs="Arial"/>
          <w:spacing w:val="-5"/>
          <w:lang w:val="en-US"/>
        </w:rPr>
        <w:t xml:space="preserve"> </w:t>
      </w:r>
      <w:r w:rsidRPr="00151B4C">
        <w:rPr>
          <w:rFonts w:eastAsia="Arial" w:cs="Arial"/>
          <w:lang w:val="en-US"/>
        </w:rPr>
        <w:t>by</w:t>
      </w:r>
      <w:r w:rsidRPr="00151B4C">
        <w:rPr>
          <w:rFonts w:eastAsia="Arial" w:cs="Arial"/>
          <w:spacing w:val="-6"/>
          <w:lang w:val="en-US"/>
        </w:rPr>
        <w:t xml:space="preserve"> </w:t>
      </w:r>
      <w:r w:rsidRPr="00151B4C">
        <w:rPr>
          <w:rFonts w:eastAsia="Arial" w:cs="Arial"/>
          <w:lang w:val="en-US"/>
        </w:rPr>
        <w:t>365</w:t>
      </w:r>
      <w:r w:rsidRPr="00151B4C">
        <w:rPr>
          <w:rFonts w:eastAsia="Arial" w:cs="Arial"/>
          <w:spacing w:val="-5"/>
          <w:lang w:val="en-US"/>
        </w:rPr>
        <w:t xml:space="preserve"> </w:t>
      </w:r>
      <w:r w:rsidRPr="00151B4C">
        <w:rPr>
          <w:rFonts w:eastAsia="Arial" w:cs="Arial"/>
          <w:spacing w:val="-2"/>
          <w:lang w:val="en-US"/>
        </w:rPr>
        <w:t>days.</w:t>
      </w:r>
    </w:p>
    <w:p w14:paraId="1BAA3B2A" w14:textId="77777777" w:rsidR="00151B4C" w:rsidRPr="00151B4C" w:rsidRDefault="00151B4C" w:rsidP="00151B4C">
      <w:pPr>
        <w:widowControl w:val="0"/>
        <w:autoSpaceDE w:val="0"/>
        <w:autoSpaceDN w:val="0"/>
        <w:spacing w:before="9" w:after="0" w:line="240" w:lineRule="auto"/>
        <w:rPr>
          <w:rFonts w:eastAsia="Arial" w:cs="Arial"/>
          <w:sz w:val="9"/>
          <w:lang w:val="en-US"/>
        </w:rPr>
      </w:pPr>
      <w:r w:rsidRPr="00151B4C">
        <w:rPr>
          <w:rFonts w:eastAsia="Arial" w:cs="Arial"/>
          <w:noProof/>
          <w:lang w:eastAsia="en-AU"/>
        </w:rPr>
        <mc:AlternateContent>
          <mc:Choice Requires="wps">
            <w:drawing>
              <wp:anchor distT="0" distB="0" distL="0" distR="0" simplePos="0" relativeHeight="251678720" behindDoc="1" locked="0" layoutInCell="1" allowOverlap="1" wp14:anchorId="5491B646" wp14:editId="40E83AD2">
                <wp:simplePos x="0" y="0"/>
                <wp:positionH relativeFrom="page">
                  <wp:posOffset>904875</wp:posOffset>
                </wp:positionH>
                <wp:positionV relativeFrom="paragraph">
                  <wp:posOffset>85090</wp:posOffset>
                </wp:positionV>
                <wp:extent cx="5551805" cy="1028700"/>
                <wp:effectExtent l="0" t="0" r="10795" b="19050"/>
                <wp:wrapTopAndBottom/>
                <wp:docPr id="11"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1805" cy="1028700"/>
                        </a:xfrm>
                        <a:prstGeom prst="rect">
                          <a:avLst/>
                        </a:prstGeom>
                        <a:ln w="6108">
                          <a:solidFill>
                            <a:srgbClr val="000000"/>
                          </a:solidFill>
                          <a:prstDash val="solid"/>
                        </a:ln>
                      </wps:spPr>
                      <wps:txbx>
                        <w:txbxContent>
                          <w:p w14:paraId="64FCEEBD" w14:textId="0E90D74D" w:rsidR="00151B4C" w:rsidRPr="008619C4" w:rsidRDefault="00151B4C" w:rsidP="007F4EFD">
                            <w:pPr>
                              <w:spacing w:before="240"/>
                              <w:ind w:left="103"/>
                              <w:rPr>
                                <w:sz w:val="21"/>
                              </w:rPr>
                            </w:pPr>
                            <w:r w:rsidRPr="008619C4">
                              <w:rPr>
                                <w:b/>
                                <w:sz w:val="21"/>
                              </w:rPr>
                              <w:t>Scenarios</w:t>
                            </w:r>
                            <w:r w:rsidRPr="008619C4">
                              <w:rPr>
                                <w:b/>
                                <w:spacing w:val="-5"/>
                                <w:sz w:val="21"/>
                              </w:rPr>
                              <w:t xml:space="preserve"> </w:t>
                            </w:r>
                            <w:r w:rsidRPr="008619C4">
                              <w:rPr>
                                <w:b/>
                                <w:sz w:val="21"/>
                              </w:rPr>
                              <w:t>3</w:t>
                            </w:r>
                            <w:r w:rsidRPr="008619C4">
                              <w:rPr>
                                <w:b/>
                                <w:spacing w:val="-5"/>
                                <w:sz w:val="21"/>
                              </w:rPr>
                              <w:t xml:space="preserve"> </w:t>
                            </w:r>
                            <w:r w:rsidRPr="008619C4">
                              <w:rPr>
                                <w:b/>
                                <w:sz w:val="21"/>
                              </w:rPr>
                              <w:t>and</w:t>
                            </w:r>
                            <w:r w:rsidRPr="008619C4">
                              <w:rPr>
                                <w:b/>
                                <w:spacing w:val="-5"/>
                                <w:sz w:val="21"/>
                              </w:rPr>
                              <w:t xml:space="preserve"> </w:t>
                            </w:r>
                            <w:r w:rsidRPr="008619C4">
                              <w:rPr>
                                <w:b/>
                                <w:sz w:val="21"/>
                              </w:rPr>
                              <w:t>5</w:t>
                            </w:r>
                            <w:r w:rsidRPr="008619C4">
                              <w:rPr>
                                <w:b/>
                                <w:spacing w:val="-5"/>
                                <w:sz w:val="21"/>
                              </w:rPr>
                              <w:t xml:space="preserve"> </w:t>
                            </w:r>
                            <w:r w:rsidRPr="008619C4">
                              <w:rPr>
                                <w:b/>
                                <w:sz w:val="21"/>
                              </w:rPr>
                              <w:t>for</w:t>
                            </w:r>
                            <w:r w:rsidRPr="008619C4">
                              <w:rPr>
                                <w:b/>
                                <w:spacing w:val="-6"/>
                                <w:sz w:val="21"/>
                              </w:rPr>
                              <w:t xml:space="preserve"> </w:t>
                            </w:r>
                            <w:r w:rsidRPr="008619C4">
                              <w:rPr>
                                <w:b/>
                                <w:sz w:val="21"/>
                              </w:rPr>
                              <w:t>toddlers</w:t>
                            </w:r>
                            <w:r w:rsidRPr="008619C4">
                              <w:rPr>
                                <w:b/>
                                <w:spacing w:val="-5"/>
                                <w:sz w:val="21"/>
                              </w:rPr>
                              <w:t xml:space="preserve"> </w:t>
                            </w:r>
                            <w:r w:rsidRPr="008619C4">
                              <w:rPr>
                                <w:b/>
                                <w:sz w:val="21"/>
                              </w:rPr>
                              <w:t>aged</w:t>
                            </w:r>
                            <w:r w:rsidRPr="008619C4">
                              <w:rPr>
                                <w:b/>
                                <w:spacing w:val="-4"/>
                                <w:sz w:val="21"/>
                              </w:rPr>
                              <w:t xml:space="preserve"> </w:t>
                            </w:r>
                            <w:r w:rsidRPr="008619C4">
                              <w:rPr>
                                <w:b/>
                                <w:sz w:val="21"/>
                              </w:rPr>
                              <w:t>1</w:t>
                            </w:r>
                            <w:r w:rsidRPr="008619C4">
                              <w:t>-</w:t>
                            </w:r>
                            <w:r w:rsidRPr="008619C4">
                              <w:rPr>
                                <w:b/>
                                <w:sz w:val="21"/>
                              </w:rPr>
                              <w:t>2</w:t>
                            </w:r>
                            <w:r w:rsidRPr="008619C4">
                              <w:rPr>
                                <w:b/>
                                <w:spacing w:val="-5"/>
                                <w:sz w:val="21"/>
                              </w:rPr>
                              <w:t xml:space="preserve"> </w:t>
                            </w:r>
                            <w:r w:rsidRPr="008619C4">
                              <w:rPr>
                                <w:b/>
                                <w:sz w:val="21"/>
                              </w:rPr>
                              <w:t>years</w:t>
                            </w:r>
                            <w:r w:rsidRPr="008619C4">
                              <w:rPr>
                                <w:b/>
                                <w:spacing w:val="-7"/>
                                <w:sz w:val="21"/>
                              </w:rPr>
                              <w:t xml:space="preserve"> </w:t>
                            </w:r>
                            <w:r w:rsidRPr="008619C4">
                              <w:rPr>
                                <w:b/>
                                <w:sz w:val="21"/>
                              </w:rPr>
                              <w:t>old</w:t>
                            </w:r>
                            <w:r w:rsidRPr="008619C4">
                              <w:rPr>
                                <w:b/>
                                <w:spacing w:val="-5"/>
                                <w:sz w:val="21"/>
                              </w:rPr>
                              <w:t xml:space="preserve"> </w:t>
                            </w:r>
                            <w:r w:rsidRPr="008619C4">
                              <w:rPr>
                                <w:b/>
                                <w:sz w:val="21"/>
                              </w:rPr>
                              <w:t>provided</w:t>
                            </w:r>
                            <w:r w:rsidRPr="008619C4">
                              <w:rPr>
                                <w:b/>
                                <w:spacing w:val="-5"/>
                                <w:sz w:val="21"/>
                              </w:rPr>
                              <w:t xml:space="preserve"> </w:t>
                            </w:r>
                            <w:r w:rsidRPr="008619C4">
                              <w:rPr>
                                <w:b/>
                                <w:sz w:val="21"/>
                              </w:rPr>
                              <w:t>the</w:t>
                            </w:r>
                            <w:r w:rsidRPr="008619C4">
                              <w:rPr>
                                <w:b/>
                                <w:spacing w:val="-5"/>
                                <w:sz w:val="21"/>
                              </w:rPr>
                              <w:t xml:space="preserve"> </w:t>
                            </w:r>
                            <w:r w:rsidRPr="008619C4">
                              <w:rPr>
                                <w:b/>
                                <w:sz w:val="21"/>
                              </w:rPr>
                              <w:t>highest</w:t>
                            </w:r>
                            <w:r w:rsidRPr="008619C4">
                              <w:rPr>
                                <w:b/>
                                <w:spacing w:val="-5"/>
                                <w:sz w:val="21"/>
                              </w:rPr>
                              <w:t xml:space="preserve"> </w:t>
                            </w:r>
                            <w:r w:rsidRPr="008619C4">
                              <w:rPr>
                                <w:b/>
                                <w:sz w:val="21"/>
                              </w:rPr>
                              <w:t>estimated</w:t>
                            </w:r>
                            <w:r w:rsidRPr="008619C4">
                              <w:rPr>
                                <w:b/>
                                <w:spacing w:val="-5"/>
                                <w:sz w:val="21"/>
                              </w:rPr>
                              <w:t xml:space="preserve"> </w:t>
                            </w:r>
                            <w:r w:rsidR="007F4EFD">
                              <w:rPr>
                                <w:b/>
                                <w:spacing w:val="-5"/>
                                <w:sz w:val="21"/>
                              </w:rPr>
                              <w:t xml:space="preserve">average </w:t>
                            </w:r>
                            <w:r w:rsidRPr="008619C4">
                              <w:rPr>
                                <w:b/>
                                <w:spacing w:val="-2"/>
                                <w:sz w:val="21"/>
                              </w:rPr>
                              <w:t>daily</w:t>
                            </w:r>
                            <w:r w:rsidR="007F4EFD">
                              <w:rPr>
                                <w:b/>
                                <w:spacing w:val="-2"/>
                                <w:sz w:val="21"/>
                              </w:rPr>
                              <w:t xml:space="preserve"> </w:t>
                            </w:r>
                            <w:r w:rsidRPr="008619C4">
                              <w:rPr>
                                <w:b/>
                                <w:sz w:val="21"/>
                              </w:rPr>
                              <w:t>sunscreen</w:t>
                            </w:r>
                            <w:r w:rsidRPr="008619C4">
                              <w:rPr>
                                <w:b/>
                                <w:spacing w:val="-7"/>
                                <w:sz w:val="21"/>
                              </w:rPr>
                              <w:t xml:space="preserve"> </w:t>
                            </w:r>
                            <w:r w:rsidRPr="008619C4">
                              <w:rPr>
                                <w:b/>
                                <w:sz w:val="21"/>
                              </w:rPr>
                              <w:t>exposure</w:t>
                            </w:r>
                            <w:r w:rsidRPr="008619C4">
                              <w:rPr>
                                <w:b/>
                                <w:spacing w:val="-5"/>
                                <w:sz w:val="21"/>
                              </w:rPr>
                              <w:t xml:space="preserve"> </w:t>
                            </w:r>
                            <w:r w:rsidRPr="008619C4">
                              <w:rPr>
                                <w:b/>
                                <w:sz w:val="21"/>
                              </w:rPr>
                              <w:t>per</w:t>
                            </w:r>
                            <w:r w:rsidRPr="008619C4">
                              <w:rPr>
                                <w:b/>
                                <w:spacing w:val="-8"/>
                                <w:sz w:val="21"/>
                              </w:rPr>
                              <w:t xml:space="preserve"> </w:t>
                            </w:r>
                            <w:r w:rsidRPr="008619C4">
                              <w:rPr>
                                <w:b/>
                                <w:sz w:val="21"/>
                              </w:rPr>
                              <w:t>kg/bw</w:t>
                            </w:r>
                            <w:r w:rsidRPr="008619C4">
                              <w:rPr>
                                <w:b/>
                                <w:spacing w:val="-4"/>
                                <w:sz w:val="21"/>
                              </w:rPr>
                              <w:t xml:space="preserve"> </w:t>
                            </w:r>
                            <w:r w:rsidRPr="008619C4">
                              <w:rPr>
                                <w:sz w:val="21"/>
                              </w:rPr>
                              <w:t>due</w:t>
                            </w:r>
                            <w:r w:rsidRPr="008619C4">
                              <w:rPr>
                                <w:spacing w:val="-4"/>
                                <w:sz w:val="21"/>
                              </w:rPr>
                              <w:t xml:space="preserve"> </w:t>
                            </w:r>
                            <w:r w:rsidRPr="008619C4">
                              <w:rPr>
                                <w:spacing w:val="-5"/>
                                <w:sz w:val="21"/>
                              </w:rPr>
                              <w:t>to:</w:t>
                            </w:r>
                          </w:p>
                          <w:p w14:paraId="565FA845" w14:textId="0A5AF9B8" w:rsidR="00151B4C" w:rsidRPr="00B05E0E" w:rsidRDefault="00151B4C" w:rsidP="00B05E0E">
                            <w:pPr>
                              <w:pStyle w:val="ListBullet"/>
                            </w:pPr>
                            <w:r w:rsidRPr="00B05E0E">
                              <w:t>their high skin surface area to body weight ratio</w:t>
                            </w:r>
                          </w:p>
                          <w:p w14:paraId="2EC73BAE" w14:textId="77777777" w:rsidR="00151B4C" w:rsidRPr="00B05E0E" w:rsidRDefault="00151B4C" w:rsidP="00B05E0E">
                            <w:pPr>
                              <w:pStyle w:val="ListBullet"/>
                            </w:pPr>
                            <w:r w:rsidRPr="00B05E0E">
                              <w:t>high estimated sunscreen exposure based on the scenarios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91B646" id="_x0000_t202" coordsize="21600,21600" o:spt="202" path="m,l,21600r21600,l21600,xe">
                <v:stroke joinstyle="miter"/>
                <v:path gradientshapeok="t" o:connecttype="rect"/>
              </v:shapetype>
              <v:shape id="Textbox 72" o:spid="_x0000_s1026" type="#_x0000_t202" style="position:absolute;margin-left:71.25pt;margin-top:6.7pt;width:437.15pt;height:8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" filled="f" strokeweight=".16967mm">
                <v:path arrowok="t"/>
                <v:textbox inset="0,0,0,0">
                  <w:txbxContent>
                    <w:p w14:paraId="64FCEEBD" w14:textId="0E90D74D" w:rsidR="00151B4C" w:rsidRPr="008619C4" w:rsidRDefault="00151B4C" w:rsidP="007F4EFD">
                      <w:pPr>
                        <w:spacing w:before="240"/>
                        <w:ind w:left="103"/>
                        <w:rPr>
                          <w:sz w:val="21"/>
                        </w:rPr>
                      </w:pPr>
                      <w:r w:rsidRPr="008619C4">
                        <w:rPr>
                          <w:b/>
                          <w:sz w:val="21"/>
                        </w:rPr>
                        <w:t>Scenarios</w:t>
                      </w:r>
                      <w:r w:rsidRPr="008619C4">
                        <w:rPr>
                          <w:b/>
                          <w:spacing w:val="-5"/>
                          <w:sz w:val="21"/>
                        </w:rPr>
                        <w:t xml:space="preserve"> </w:t>
                      </w:r>
                      <w:r w:rsidRPr="008619C4">
                        <w:rPr>
                          <w:b/>
                          <w:sz w:val="21"/>
                        </w:rPr>
                        <w:t>3</w:t>
                      </w:r>
                      <w:r w:rsidRPr="008619C4">
                        <w:rPr>
                          <w:b/>
                          <w:spacing w:val="-5"/>
                          <w:sz w:val="21"/>
                        </w:rPr>
                        <w:t xml:space="preserve"> </w:t>
                      </w:r>
                      <w:r w:rsidRPr="008619C4">
                        <w:rPr>
                          <w:b/>
                          <w:sz w:val="21"/>
                        </w:rPr>
                        <w:t>and</w:t>
                      </w:r>
                      <w:r w:rsidRPr="008619C4">
                        <w:rPr>
                          <w:b/>
                          <w:spacing w:val="-5"/>
                          <w:sz w:val="21"/>
                        </w:rPr>
                        <w:t xml:space="preserve"> </w:t>
                      </w:r>
                      <w:r w:rsidRPr="008619C4">
                        <w:rPr>
                          <w:b/>
                          <w:sz w:val="21"/>
                        </w:rPr>
                        <w:t>5</w:t>
                      </w:r>
                      <w:r w:rsidRPr="008619C4">
                        <w:rPr>
                          <w:b/>
                          <w:spacing w:val="-5"/>
                          <w:sz w:val="21"/>
                        </w:rPr>
                        <w:t xml:space="preserve"> </w:t>
                      </w:r>
                      <w:r w:rsidRPr="008619C4">
                        <w:rPr>
                          <w:b/>
                          <w:sz w:val="21"/>
                        </w:rPr>
                        <w:t>for</w:t>
                      </w:r>
                      <w:r w:rsidRPr="008619C4">
                        <w:rPr>
                          <w:b/>
                          <w:spacing w:val="-6"/>
                          <w:sz w:val="21"/>
                        </w:rPr>
                        <w:t xml:space="preserve"> </w:t>
                      </w:r>
                      <w:r w:rsidRPr="008619C4">
                        <w:rPr>
                          <w:b/>
                          <w:sz w:val="21"/>
                        </w:rPr>
                        <w:t>toddlers</w:t>
                      </w:r>
                      <w:r w:rsidRPr="008619C4">
                        <w:rPr>
                          <w:b/>
                          <w:spacing w:val="-5"/>
                          <w:sz w:val="21"/>
                        </w:rPr>
                        <w:t xml:space="preserve"> </w:t>
                      </w:r>
                      <w:r w:rsidRPr="008619C4">
                        <w:rPr>
                          <w:b/>
                          <w:sz w:val="21"/>
                        </w:rPr>
                        <w:t>aged</w:t>
                      </w:r>
                      <w:r w:rsidRPr="008619C4">
                        <w:rPr>
                          <w:b/>
                          <w:spacing w:val="-4"/>
                          <w:sz w:val="21"/>
                        </w:rPr>
                        <w:t xml:space="preserve"> </w:t>
                      </w:r>
                      <w:r w:rsidRPr="008619C4">
                        <w:rPr>
                          <w:b/>
                          <w:sz w:val="21"/>
                        </w:rPr>
                        <w:t>1</w:t>
                      </w:r>
                      <w:r w:rsidRPr="008619C4">
                        <w:t>-</w:t>
                      </w:r>
                      <w:r w:rsidRPr="008619C4">
                        <w:rPr>
                          <w:b/>
                          <w:sz w:val="21"/>
                        </w:rPr>
                        <w:t>2</w:t>
                      </w:r>
                      <w:r w:rsidRPr="008619C4">
                        <w:rPr>
                          <w:b/>
                          <w:spacing w:val="-5"/>
                          <w:sz w:val="21"/>
                        </w:rPr>
                        <w:t xml:space="preserve"> </w:t>
                      </w:r>
                      <w:r w:rsidRPr="008619C4">
                        <w:rPr>
                          <w:b/>
                          <w:sz w:val="21"/>
                        </w:rPr>
                        <w:t>years</w:t>
                      </w:r>
                      <w:r w:rsidRPr="008619C4">
                        <w:rPr>
                          <w:b/>
                          <w:spacing w:val="-7"/>
                          <w:sz w:val="21"/>
                        </w:rPr>
                        <w:t xml:space="preserve"> </w:t>
                      </w:r>
                      <w:r w:rsidRPr="008619C4">
                        <w:rPr>
                          <w:b/>
                          <w:sz w:val="21"/>
                        </w:rPr>
                        <w:t>old</w:t>
                      </w:r>
                      <w:r w:rsidRPr="008619C4">
                        <w:rPr>
                          <w:b/>
                          <w:spacing w:val="-5"/>
                          <w:sz w:val="21"/>
                        </w:rPr>
                        <w:t xml:space="preserve"> </w:t>
                      </w:r>
                      <w:r w:rsidRPr="008619C4">
                        <w:rPr>
                          <w:b/>
                          <w:sz w:val="21"/>
                        </w:rPr>
                        <w:t>provided</w:t>
                      </w:r>
                      <w:r w:rsidRPr="008619C4">
                        <w:rPr>
                          <w:b/>
                          <w:spacing w:val="-5"/>
                          <w:sz w:val="21"/>
                        </w:rPr>
                        <w:t xml:space="preserve"> </w:t>
                      </w:r>
                      <w:r w:rsidRPr="008619C4">
                        <w:rPr>
                          <w:b/>
                          <w:sz w:val="21"/>
                        </w:rPr>
                        <w:t>the</w:t>
                      </w:r>
                      <w:r w:rsidRPr="008619C4">
                        <w:rPr>
                          <w:b/>
                          <w:spacing w:val="-5"/>
                          <w:sz w:val="21"/>
                        </w:rPr>
                        <w:t xml:space="preserve"> </w:t>
                      </w:r>
                      <w:r w:rsidRPr="008619C4">
                        <w:rPr>
                          <w:b/>
                          <w:sz w:val="21"/>
                        </w:rPr>
                        <w:t>highest</w:t>
                      </w:r>
                      <w:r w:rsidRPr="008619C4">
                        <w:rPr>
                          <w:b/>
                          <w:spacing w:val="-5"/>
                          <w:sz w:val="21"/>
                        </w:rPr>
                        <w:t xml:space="preserve"> </w:t>
                      </w:r>
                      <w:r w:rsidRPr="008619C4">
                        <w:rPr>
                          <w:b/>
                          <w:sz w:val="21"/>
                        </w:rPr>
                        <w:t>estimated</w:t>
                      </w:r>
                      <w:r w:rsidRPr="008619C4">
                        <w:rPr>
                          <w:b/>
                          <w:spacing w:val="-5"/>
                          <w:sz w:val="21"/>
                        </w:rPr>
                        <w:t xml:space="preserve"> </w:t>
                      </w:r>
                      <w:r w:rsidR="007F4EFD">
                        <w:rPr>
                          <w:b/>
                          <w:spacing w:val="-5"/>
                          <w:sz w:val="21"/>
                        </w:rPr>
                        <w:t xml:space="preserve">average </w:t>
                      </w:r>
                      <w:r w:rsidRPr="008619C4">
                        <w:rPr>
                          <w:b/>
                          <w:spacing w:val="-2"/>
                          <w:sz w:val="21"/>
                        </w:rPr>
                        <w:t>daily</w:t>
                      </w:r>
                      <w:r w:rsidR="007F4EFD">
                        <w:rPr>
                          <w:b/>
                          <w:spacing w:val="-2"/>
                          <w:sz w:val="21"/>
                        </w:rPr>
                        <w:t xml:space="preserve"> </w:t>
                      </w:r>
                      <w:r w:rsidRPr="008619C4">
                        <w:rPr>
                          <w:b/>
                          <w:sz w:val="21"/>
                        </w:rPr>
                        <w:t>sunscreen</w:t>
                      </w:r>
                      <w:r w:rsidRPr="008619C4">
                        <w:rPr>
                          <w:b/>
                          <w:spacing w:val="-7"/>
                          <w:sz w:val="21"/>
                        </w:rPr>
                        <w:t xml:space="preserve"> </w:t>
                      </w:r>
                      <w:r w:rsidRPr="008619C4">
                        <w:rPr>
                          <w:b/>
                          <w:sz w:val="21"/>
                        </w:rPr>
                        <w:t>exposure</w:t>
                      </w:r>
                      <w:r w:rsidRPr="008619C4">
                        <w:rPr>
                          <w:b/>
                          <w:spacing w:val="-5"/>
                          <w:sz w:val="21"/>
                        </w:rPr>
                        <w:t xml:space="preserve"> </w:t>
                      </w:r>
                      <w:r w:rsidRPr="008619C4">
                        <w:rPr>
                          <w:b/>
                          <w:sz w:val="21"/>
                        </w:rPr>
                        <w:t>per</w:t>
                      </w:r>
                      <w:r w:rsidRPr="008619C4">
                        <w:rPr>
                          <w:b/>
                          <w:spacing w:val="-8"/>
                          <w:sz w:val="21"/>
                        </w:rPr>
                        <w:t xml:space="preserve"> </w:t>
                      </w:r>
                      <w:r w:rsidRPr="008619C4">
                        <w:rPr>
                          <w:b/>
                          <w:sz w:val="21"/>
                        </w:rPr>
                        <w:t>kg/</w:t>
                      </w:r>
                      <w:proofErr w:type="spellStart"/>
                      <w:r w:rsidRPr="008619C4">
                        <w:rPr>
                          <w:b/>
                          <w:sz w:val="21"/>
                        </w:rPr>
                        <w:t>bw</w:t>
                      </w:r>
                      <w:proofErr w:type="spellEnd"/>
                      <w:r w:rsidRPr="008619C4">
                        <w:rPr>
                          <w:b/>
                          <w:spacing w:val="-4"/>
                          <w:sz w:val="21"/>
                        </w:rPr>
                        <w:t xml:space="preserve"> </w:t>
                      </w:r>
                      <w:r w:rsidRPr="008619C4">
                        <w:rPr>
                          <w:sz w:val="21"/>
                        </w:rPr>
                        <w:t>due</w:t>
                      </w:r>
                      <w:r w:rsidRPr="008619C4">
                        <w:rPr>
                          <w:spacing w:val="-4"/>
                          <w:sz w:val="21"/>
                        </w:rPr>
                        <w:t xml:space="preserve"> </w:t>
                      </w:r>
                      <w:r w:rsidRPr="008619C4">
                        <w:rPr>
                          <w:spacing w:val="-5"/>
                          <w:sz w:val="21"/>
                        </w:rPr>
                        <w:t>to:</w:t>
                      </w:r>
                    </w:p>
                    <w:p w14:paraId="565FA845" w14:textId="0A5AF9B8" w:rsidR="00151B4C" w:rsidRPr="00B05E0E" w:rsidRDefault="00151B4C" w:rsidP="00B05E0E">
                      <w:pPr>
                        <w:pStyle w:val="ListBullet"/>
                      </w:pPr>
                      <w:r w:rsidRPr="00B05E0E">
                        <w:t>their high skin surface area to body weight ratio</w:t>
                      </w:r>
                    </w:p>
                    <w:p w14:paraId="2EC73BAE" w14:textId="77777777" w:rsidR="00151B4C" w:rsidRPr="00B05E0E" w:rsidRDefault="00151B4C" w:rsidP="00B05E0E">
                      <w:pPr>
                        <w:pStyle w:val="ListBullet"/>
                      </w:pPr>
                      <w:r w:rsidRPr="00B05E0E">
                        <w:t>high estimated sunscreen exposure based on the scenarios</w:t>
                      </w:r>
                    </w:p>
                  </w:txbxContent>
                </v:textbox>
                <w10:wrap type="topAndBottom" anchorx="page"/>
              </v:shape>
            </w:pict>
          </mc:Fallback>
        </mc:AlternateContent>
      </w:r>
    </w:p>
    <w:p w14:paraId="6CAC7F1D" w14:textId="77777777" w:rsidR="00151B4C" w:rsidRPr="00151B4C" w:rsidRDefault="00151B4C" w:rsidP="00151B4C">
      <w:pPr>
        <w:widowControl w:val="0"/>
        <w:autoSpaceDE w:val="0"/>
        <w:autoSpaceDN w:val="0"/>
        <w:spacing w:before="21" w:after="0" w:line="240" w:lineRule="auto"/>
        <w:rPr>
          <w:rFonts w:eastAsia="Arial" w:cs="Arial"/>
          <w:lang w:val="en-US"/>
        </w:rPr>
      </w:pPr>
    </w:p>
    <w:p w14:paraId="714E7844" w14:textId="6217D8B1" w:rsidR="00151B4C" w:rsidRPr="00151B4C" w:rsidRDefault="00151B4C" w:rsidP="007F4EFD">
      <w:pPr>
        <w:widowControl w:val="0"/>
        <w:autoSpaceDE w:val="0"/>
        <w:autoSpaceDN w:val="0"/>
        <w:spacing w:after="0"/>
        <w:ind w:right="257"/>
        <w:jc w:val="both"/>
        <w:rPr>
          <w:rFonts w:eastAsia="Arial" w:cs="Arial"/>
          <w:lang w:val="en-US"/>
        </w:rPr>
      </w:pPr>
      <w:r w:rsidRPr="00151B4C">
        <w:rPr>
          <w:rFonts w:eastAsia="Arial" w:cs="Arial"/>
          <w:lang w:val="en-US"/>
        </w:rPr>
        <w:t>All</w:t>
      </w:r>
      <w:r w:rsidRPr="00151B4C">
        <w:rPr>
          <w:rFonts w:eastAsia="Arial" w:cs="Arial"/>
          <w:spacing w:val="-1"/>
          <w:lang w:val="en-US"/>
        </w:rPr>
        <w:t xml:space="preserve"> </w:t>
      </w:r>
      <w:r w:rsidRPr="00151B4C">
        <w:rPr>
          <w:rFonts w:eastAsia="Arial" w:cs="Arial"/>
          <w:lang w:val="en-US"/>
        </w:rPr>
        <w:t>the calculations for the estimated daily sunscreen exposure for each age group and scenario, and the</w:t>
      </w:r>
      <w:r w:rsidRPr="00151B4C">
        <w:rPr>
          <w:rFonts w:eastAsia="Arial" w:cs="Arial"/>
          <w:spacing w:val="-4"/>
          <w:lang w:val="en-US"/>
        </w:rPr>
        <w:t xml:space="preserve"> </w:t>
      </w:r>
      <w:r w:rsidRPr="00151B4C">
        <w:rPr>
          <w:rFonts w:eastAsia="Arial" w:cs="Arial"/>
          <w:lang w:val="en-US"/>
        </w:rPr>
        <w:t>combinations of</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above</w:t>
      </w:r>
      <w:r w:rsidRPr="00151B4C">
        <w:rPr>
          <w:rFonts w:eastAsia="Arial" w:cs="Arial"/>
          <w:spacing w:val="-4"/>
          <w:lang w:val="en-US"/>
        </w:rPr>
        <w:t xml:space="preserve"> </w:t>
      </w:r>
      <w:r w:rsidRPr="00151B4C">
        <w:rPr>
          <w:rFonts w:eastAsia="Arial" w:cs="Arial"/>
          <w:lang w:val="en-US"/>
        </w:rPr>
        <w:t>scenarios</w:t>
      </w:r>
      <w:r w:rsidRPr="00151B4C">
        <w:rPr>
          <w:rFonts w:eastAsia="Arial" w:cs="Arial"/>
          <w:spacing w:val="-2"/>
          <w:lang w:val="en-US"/>
        </w:rPr>
        <w:t xml:space="preserve"> </w:t>
      </w:r>
      <w:r w:rsidRPr="00151B4C">
        <w:rPr>
          <w:rFonts w:eastAsia="Arial" w:cs="Arial"/>
          <w:lang w:val="en-US"/>
        </w:rPr>
        <w:t>(including</w:t>
      </w:r>
      <w:r w:rsidRPr="00151B4C">
        <w:rPr>
          <w:rFonts w:eastAsia="Arial" w:cs="Arial"/>
          <w:spacing w:val="-2"/>
          <w:lang w:val="en-US"/>
        </w:rPr>
        <w:t xml:space="preserve"> </w:t>
      </w:r>
      <w:r w:rsidRPr="00151B4C">
        <w:rPr>
          <w:rFonts w:eastAsia="Arial" w:cs="Arial"/>
          <w:lang w:val="en-US"/>
        </w:rPr>
        <w:t>how</w:t>
      </w:r>
      <w:r w:rsidRPr="00151B4C">
        <w:rPr>
          <w:rFonts w:eastAsia="Arial" w:cs="Arial"/>
          <w:spacing w:val="-4"/>
          <w:lang w:val="en-US"/>
        </w:rPr>
        <w:t xml:space="preserve"> </w:t>
      </w:r>
      <w:r w:rsidRPr="00151B4C">
        <w:rPr>
          <w:rFonts w:eastAsia="Arial" w:cs="Arial"/>
          <w:lang w:val="en-US"/>
        </w:rPr>
        <w:t>Australian</w:t>
      </w:r>
      <w:r w:rsidRPr="00151B4C">
        <w:rPr>
          <w:rFonts w:eastAsia="Arial" w:cs="Arial"/>
          <w:spacing w:val="-4"/>
          <w:lang w:val="en-US"/>
        </w:rPr>
        <w:t xml:space="preserve"> </w:t>
      </w:r>
      <w:r w:rsidRPr="00151B4C">
        <w:rPr>
          <w:rFonts w:eastAsia="Arial" w:cs="Arial"/>
          <w:lang w:val="en-US"/>
        </w:rPr>
        <w:t>skin</w:t>
      </w:r>
      <w:r w:rsidRPr="00151B4C">
        <w:rPr>
          <w:rFonts w:eastAsia="Arial" w:cs="Arial"/>
          <w:spacing w:val="-4"/>
          <w:lang w:val="en-US"/>
        </w:rPr>
        <w:t xml:space="preserve"> </w:t>
      </w:r>
      <w:r w:rsidRPr="00151B4C">
        <w:rPr>
          <w:rFonts w:eastAsia="Arial" w:cs="Arial"/>
          <w:lang w:val="en-US"/>
        </w:rPr>
        <w:t>surface</w:t>
      </w:r>
      <w:r w:rsidRPr="00151B4C">
        <w:rPr>
          <w:rFonts w:eastAsia="Arial" w:cs="Arial"/>
          <w:spacing w:val="-4"/>
          <w:lang w:val="en-US"/>
        </w:rPr>
        <w:t xml:space="preserve"> </w:t>
      </w:r>
      <w:r w:rsidRPr="00151B4C">
        <w:rPr>
          <w:rFonts w:eastAsia="Arial" w:cs="Arial"/>
          <w:lang w:val="en-US"/>
        </w:rPr>
        <w:t>area</w:t>
      </w:r>
      <w:r w:rsidRPr="00151B4C">
        <w:rPr>
          <w:rFonts w:eastAsia="Arial" w:cs="Arial"/>
          <w:spacing w:val="-4"/>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body</w:t>
      </w:r>
      <w:r w:rsidRPr="00151B4C">
        <w:rPr>
          <w:rFonts w:eastAsia="Arial" w:cs="Arial"/>
          <w:spacing w:val="-3"/>
          <w:lang w:val="en-US"/>
        </w:rPr>
        <w:t xml:space="preserve"> </w:t>
      </w:r>
      <w:r w:rsidRPr="00151B4C">
        <w:rPr>
          <w:rFonts w:eastAsia="Arial" w:cs="Arial"/>
          <w:lang w:val="en-US"/>
        </w:rPr>
        <w:t xml:space="preserve">weight data have been used) </w:t>
      </w:r>
      <w:r w:rsidR="007F4EFD">
        <w:rPr>
          <w:rFonts w:eastAsia="Arial" w:cs="Arial"/>
          <w:lang w:val="en-US"/>
        </w:rPr>
        <w:t>were</w:t>
      </w:r>
      <w:r w:rsidRPr="00151B4C">
        <w:rPr>
          <w:rFonts w:eastAsia="Arial" w:cs="Arial"/>
          <w:lang w:val="en-US"/>
        </w:rPr>
        <w:t xml:space="preserve"> provided in the </w:t>
      </w:r>
      <w:r w:rsidRPr="00151B4C">
        <w:rPr>
          <w:rFonts w:eastAsia="Arial" w:cs="Arial"/>
          <w:b/>
          <w:lang w:val="en-US"/>
        </w:rPr>
        <w:t>ASEM Calculations Microsoft Excel file</w:t>
      </w:r>
      <w:r w:rsidR="007F4EFD">
        <w:rPr>
          <w:rFonts w:eastAsia="Arial" w:cs="Arial"/>
          <w:b/>
          <w:lang w:val="en-US"/>
        </w:rPr>
        <w:t xml:space="preserve"> published on the TGA website as part of the </w:t>
      </w:r>
      <w:hyperlink r:id="rId45" w:history="1">
        <w:r w:rsidR="007F4EFD" w:rsidRPr="007F4EFD">
          <w:rPr>
            <w:rStyle w:val="Hyperlink"/>
            <w:rFonts w:eastAsia="Arial" w:cs="Arial"/>
            <w:b/>
            <w:lang w:val="en-US"/>
          </w:rPr>
          <w:t>consultation</w:t>
        </w:r>
      </w:hyperlink>
      <w:r w:rsidRPr="00151B4C">
        <w:rPr>
          <w:rFonts w:eastAsia="Arial" w:cs="Arial"/>
          <w:b/>
          <w:lang w:val="en-US"/>
        </w:rPr>
        <w:t xml:space="preserve"> </w:t>
      </w:r>
      <w:r w:rsidRPr="00151B4C">
        <w:rPr>
          <w:rFonts w:eastAsia="Arial" w:cs="Arial"/>
          <w:lang w:val="en-US"/>
        </w:rPr>
        <w:t>(see tab ‘2.</w:t>
      </w:r>
      <w:r w:rsidR="007F4EFD">
        <w:rPr>
          <w:rFonts w:eastAsia="Arial" w:cs="Arial"/>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calculations’).</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calculations for</w:t>
      </w:r>
      <w:r w:rsidRPr="00151B4C">
        <w:rPr>
          <w:rFonts w:eastAsia="Arial" w:cs="Arial"/>
          <w:spacing w:val="-3"/>
          <w:lang w:val="en-US"/>
        </w:rPr>
        <w:t xml:space="preserve"> </w:t>
      </w:r>
      <w:r w:rsidRPr="00151B4C">
        <w:rPr>
          <w:rFonts w:eastAsia="Arial" w:cs="Arial"/>
          <w:lang w:val="en-US"/>
        </w:rPr>
        <w:t>Scenario</w:t>
      </w:r>
      <w:r w:rsidRPr="00151B4C">
        <w:rPr>
          <w:rFonts w:eastAsia="Arial" w:cs="Arial"/>
          <w:spacing w:val="-2"/>
          <w:lang w:val="en-US"/>
        </w:rPr>
        <w:t xml:space="preserve"> </w:t>
      </w:r>
      <w:r w:rsidRPr="00151B4C">
        <w:rPr>
          <w:rFonts w:eastAsia="Arial" w:cs="Arial"/>
          <w:lang w:val="en-US"/>
        </w:rPr>
        <w:t>3</w:t>
      </w:r>
      <w:r w:rsidRPr="00151B4C">
        <w:rPr>
          <w:rFonts w:eastAsia="Arial" w:cs="Arial"/>
          <w:spacing w:val="-4"/>
          <w:lang w:val="en-US"/>
        </w:rPr>
        <w:t xml:space="preserve"> </w:t>
      </w:r>
      <w:r w:rsidRPr="00151B4C">
        <w:rPr>
          <w:rFonts w:eastAsia="Arial" w:cs="Arial"/>
          <w:lang w:val="en-US"/>
        </w:rPr>
        <w:t>and</w:t>
      </w:r>
      <w:r w:rsidRPr="00151B4C">
        <w:rPr>
          <w:rFonts w:eastAsia="Arial" w:cs="Arial"/>
          <w:spacing w:val="-2"/>
          <w:lang w:val="en-US"/>
        </w:rPr>
        <w:t xml:space="preserve"> </w:t>
      </w:r>
      <w:r w:rsidRPr="00151B4C">
        <w:rPr>
          <w:rFonts w:eastAsia="Arial" w:cs="Arial"/>
          <w:lang w:val="en-US"/>
        </w:rPr>
        <w:t>5</w:t>
      </w:r>
      <w:r w:rsidRPr="00151B4C">
        <w:rPr>
          <w:rFonts w:eastAsia="Arial" w:cs="Arial"/>
          <w:spacing w:val="-4"/>
          <w:lang w:val="en-US"/>
        </w:rPr>
        <w:t xml:space="preserve"> </w:t>
      </w:r>
      <w:r w:rsidRPr="00151B4C">
        <w:rPr>
          <w:rFonts w:eastAsia="Arial" w:cs="Arial"/>
          <w:lang w:val="en-US"/>
        </w:rPr>
        <w:t>for</w:t>
      </w:r>
      <w:r w:rsidRPr="00151B4C">
        <w:rPr>
          <w:rFonts w:eastAsia="Arial" w:cs="Arial"/>
          <w:spacing w:val="-3"/>
          <w:lang w:val="en-US"/>
        </w:rPr>
        <w:t xml:space="preserve"> </w:t>
      </w:r>
      <w:r w:rsidRPr="00151B4C">
        <w:rPr>
          <w:rFonts w:eastAsia="Arial" w:cs="Arial"/>
          <w:lang w:val="en-US"/>
        </w:rPr>
        <w:t>toddlers</w:t>
      </w:r>
      <w:r w:rsidRPr="00151B4C">
        <w:rPr>
          <w:rFonts w:eastAsia="Arial" w:cs="Arial"/>
          <w:spacing w:val="-3"/>
          <w:lang w:val="en-US"/>
        </w:rPr>
        <w:t xml:space="preserve"> </w:t>
      </w:r>
      <w:r w:rsidRPr="00151B4C">
        <w:rPr>
          <w:rFonts w:eastAsia="Arial" w:cs="Arial"/>
          <w:lang w:val="en-US"/>
        </w:rPr>
        <w:t>aged</w:t>
      </w:r>
      <w:r w:rsidRPr="00151B4C">
        <w:rPr>
          <w:rFonts w:eastAsia="Arial" w:cs="Arial"/>
          <w:spacing w:val="-2"/>
          <w:lang w:val="en-US"/>
        </w:rPr>
        <w:t xml:space="preserve"> </w:t>
      </w:r>
      <w:r w:rsidRPr="00151B4C">
        <w:rPr>
          <w:rFonts w:eastAsia="Arial" w:cs="Arial"/>
          <w:lang w:val="en-US"/>
        </w:rPr>
        <w:t>1-2 years are provided below:</w:t>
      </w:r>
    </w:p>
    <w:p w14:paraId="6A68AF0E" w14:textId="45AEDBCD" w:rsidR="00151B4C" w:rsidRPr="00151B4C" w:rsidRDefault="004813EC" w:rsidP="00151B4C">
      <w:pPr>
        <w:widowControl w:val="0"/>
        <w:autoSpaceDE w:val="0"/>
        <w:autoSpaceDN w:val="0"/>
        <w:spacing w:before="6" w:after="0" w:line="240" w:lineRule="auto"/>
        <w:rPr>
          <w:rFonts w:eastAsia="Arial" w:cs="Arial"/>
          <w:sz w:val="8"/>
          <w:lang w:val="en-US"/>
        </w:rPr>
      </w:pPr>
      <w:r w:rsidRPr="00151B4C">
        <w:rPr>
          <w:rFonts w:eastAsia="Arial" w:cs="Arial"/>
          <w:noProof/>
          <w:lang w:eastAsia="en-AU"/>
        </w:rPr>
        <mc:AlternateContent>
          <mc:Choice Requires="wps">
            <w:drawing>
              <wp:anchor distT="0" distB="0" distL="0" distR="0" simplePos="0" relativeHeight="251679744" behindDoc="1" locked="0" layoutInCell="1" allowOverlap="1" wp14:anchorId="300D698A" wp14:editId="11BB017A">
                <wp:simplePos x="0" y="0"/>
                <wp:positionH relativeFrom="margin">
                  <wp:align>left</wp:align>
                </wp:positionH>
                <wp:positionV relativeFrom="paragraph">
                  <wp:posOffset>79375</wp:posOffset>
                </wp:positionV>
                <wp:extent cx="5581015" cy="2552065"/>
                <wp:effectExtent l="0" t="0" r="19685" b="19685"/>
                <wp:wrapTopAndBottom/>
                <wp:docPr id="1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498" cy="2552065"/>
                        </a:xfrm>
                        <a:prstGeom prst="rect">
                          <a:avLst/>
                        </a:prstGeom>
                        <a:ln w="6108">
                          <a:solidFill>
                            <a:srgbClr val="000000"/>
                          </a:solidFill>
                          <a:prstDash val="solid"/>
                        </a:ln>
                      </wps:spPr>
                      <wps:txbx>
                        <w:txbxContent>
                          <w:p w14:paraId="1288D0FD" w14:textId="77777777" w:rsidR="00151B4C" w:rsidRDefault="00151B4C" w:rsidP="00151B4C">
                            <w:pPr>
                              <w:pStyle w:val="BodyText"/>
                            </w:pPr>
                          </w:p>
                          <w:p w14:paraId="25C62FA3" w14:textId="77777777" w:rsidR="00151B4C" w:rsidRPr="008619C4" w:rsidRDefault="00151B4C" w:rsidP="00151B4C">
                            <w:pPr>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1</w:t>
                            </w:r>
                            <w:r w:rsidRPr="008619C4">
                              <w:rPr>
                                <w:b/>
                                <w:spacing w:val="-7"/>
                              </w:rPr>
                              <w:t xml:space="preserve"> </w:t>
                            </w:r>
                            <w:r w:rsidRPr="008619C4">
                              <w:rPr>
                                <w:b/>
                                <w:spacing w:val="-5"/>
                              </w:rPr>
                              <w:t>(%)</w:t>
                            </w:r>
                          </w:p>
                          <w:p w14:paraId="3F1E3CC2" w14:textId="77777777" w:rsidR="00151B4C" w:rsidRPr="008619C4" w:rsidRDefault="00151B4C" w:rsidP="00151B4C">
                            <w:pPr>
                              <w:pStyle w:val="BodyText"/>
                              <w:ind w:left="103"/>
                            </w:pPr>
                            <w:r w:rsidRPr="008619C4">
                              <w:t>Scenario</w:t>
                            </w:r>
                            <w:r w:rsidRPr="008619C4">
                              <w:rPr>
                                <w:spacing w:val="-6"/>
                              </w:rPr>
                              <w:t xml:space="preserve"> </w:t>
                            </w:r>
                            <w:r w:rsidRPr="008619C4">
                              <w:t>3</w:t>
                            </w:r>
                            <w:r w:rsidRPr="008619C4">
                              <w:rPr>
                                <w:spacing w:val="-3"/>
                              </w:rPr>
                              <w:t xml:space="preserve"> </w:t>
                            </w:r>
                            <w:r w:rsidRPr="008619C4">
                              <w:t>=</w:t>
                            </w:r>
                            <w:r w:rsidRPr="008619C4">
                              <w:rPr>
                                <w:spacing w:val="-5"/>
                              </w:rPr>
                              <w:t xml:space="preserve"> </w:t>
                            </w:r>
                            <w:r w:rsidRPr="008619C4">
                              <w:t>607</w:t>
                            </w:r>
                            <w:r w:rsidRPr="008619C4">
                              <w:rPr>
                                <w:spacing w:val="-3"/>
                              </w:rPr>
                              <w:t xml:space="preserve"> </w:t>
                            </w:r>
                            <w:r w:rsidRPr="008619C4">
                              <w:t>mg/kg</w:t>
                            </w:r>
                            <w:r w:rsidRPr="008619C4">
                              <w:rPr>
                                <w:spacing w:val="-5"/>
                              </w:rPr>
                              <w:t xml:space="preserve"> </w:t>
                            </w:r>
                            <w:r w:rsidRPr="008619C4">
                              <w:rPr>
                                <w:spacing w:val="-2"/>
                              </w:rPr>
                              <w:t>bw/day</w:t>
                            </w:r>
                          </w:p>
                          <w:p w14:paraId="060DAF54" w14:textId="77777777" w:rsidR="00151B4C" w:rsidRPr="008619C4" w:rsidRDefault="00151B4C" w:rsidP="00151B4C">
                            <w:pPr>
                              <w:pStyle w:val="BodyText"/>
                              <w:spacing w:before="1"/>
                              <w:ind w:left="103"/>
                            </w:pPr>
                            <w:r w:rsidRPr="008619C4">
                              <w:t>Scenario</w:t>
                            </w:r>
                            <w:r w:rsidRPr="008619C4">
                              <w:rPr>
                                <w:spacing w:val="-6"/>
                              </w:rPr>
                              <w:t xml:space="preserve"> </w:t>
                            </w:r>
                            <w:r w:rsidRPr="008619C4">
                              <w:t>5</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mg/kg</w:t>
                            </w:r>
                            <w:r w:rsidRPr="008619C4">
                              <w:rPr>
                                <w:spacing w:val="-3"/>
                              </w:rPr>
                              <w:t xml:space="preserve"> </w:t>
                            </w:r>
                            <w:r w:rsidRPr="008619C4">
                              <w:rPr>
                                <w:spacing w:val="-2"/>
                              </w:rPr>
                              <w:t>bw/day</w:t>
                            </w:r>
                          </w:p>
                          <w:p w14:paraId="560BDC9E" w14:textId="77777777" w:rsidR="00151B4C" w:rsidRPr="008619C4" w:rsidRDefault="00151B4C" w:rsidP="00151B4C">
                            <w:pPr>
                              <w:pStyle w:val="BodyText"/>
                            </w:pPr>
                          </w:p>
                          <w:p w14:paraId="201B6E98" w14:textId="2A436FAB" w:rsidR="00151B4C" w:rsidRPr="008619C4" w:rsidRDefault="006C633B" w:rsidP="00151B4C">
                            <w:pPr>
                              <w:spacing w:before="1" w:line="229" w:lineRule="exact"/>
                              <w:ind w:left="103"/>
                              <w:rPr>
                                <w:b/>
                              </w:rPr>
                            </w:pPr>
                            <w:r>
                              <w:rPr>
                                <w:b/>
                              </w:rPr>
                              <w:t>Highest estimated average daily sunscreen exposure</w:t>
                            </w:r>
                            <w:r w:rsidR="00151B4C" w:rsidRPr="008619C4">
                              <w:rPr>
                                <w:b/>
                                <w:spacing w:val="-7"/>
                              </w:rPr>
                              <w:t xml:space="preserve"> </w:t>
                            </w:r>
                            <w:r w:rsidR="00151B4C" w:rsidRPr="008619C4">
                              <w:rPr>
                                <w:b/>
                              </w:rPr>
                              <w:t>Method</w:t>
                            </w:r>
                            <w:r w:rsidR="00151B4C" w:rsidRPr="008619C4">
                              <w:rPr>
                                <w:b/>
                                <w:spacing w:val="-8"/>
                              </w:rPr>
                              <w:t xml:space="preserve"> </w:t>
                            </w:r>
                            <w:r w:rsidR="00151B4C" w:rsidRPr="008619C4">
                              <w:rPr>
                                <w:b/>
                              </w:rPr>
                              <w:t>1</w:t>
                            </w:r>
                            <w:r w:rsidR="00151B4C" w:rsidRPr="008619C4">
                              <w:rPr>
                                <w:b/>
                                <w:spacing w:val="-9"/>
                              </w:rPr>
                              <w:t xml:space="preserve"> </w:t>
                            </w:r>
                            <w:r w:rsidR="00151B4C" w:rsidRPr="008619C4">
                              <w:rPr>
                                <w:b/>
                                <w:spacing w:val="-5"/>
                              </w:rPr>
                              <w:t>(%)</w:t>
                            </w:r>
                          </w:p>
                          <w:p w14:paraId="576E84D9" w14:textId="77777777" w:rsidR="00151B4C" w:rsidRPr="008619C4" w:rsidRDefault="00151B4C" w:rsidP="00151B4C">
                            <w:pPr>
                              <w:spacing w:line="229" w:lineRule="exact"/>
                              <w:ind w:left="103"/>
                              <w:rPr>
                                <w:b/>
                              </w:rPr>
                            </w:pPr>
                            <w:r w:rsidRPr="008619C4">
                              <w:t>Scenario</w:t>
                            </w:r>
                            <w:r w:rsidRPr="008619C4">
                              <w:rPr>
                                <w:spacing w:val="-5"/>
                              </w:rPr>
                              <w:t xml:space="preserve"> </w:t>
                            </w:r>
                            <w:r w:rsidRPr="008619C4">
                              <w:t>3</w:t>
                            </w:r>
                            <w:r w:rsidRPr="008619C4">
                              <w:rPr>
                                <w:spacing w:val="-3"/>
                              </w:rPr>
                              <w:t xml:space="preserve"> </w:t>
                            </w:r>
                            <w:r w:rsidRPr="008619C4">
                              <w:t>+</w:t>
                            </w:r>
                            <w:r w:rsidRPr="008619C4">
                              <w:rPr>
                                <w:spacing w:val="-3"/>
                              </w:rPr>
                              <w:t xml:space="preserve"> </w:t>
                            </w:r>
                            <w:r w:rsidRPr="008619C4">
                              <w:t>Scenario</w:t>
                            </w:r>
                            <w:r w:rsidRPr="008619C4">
                              <w:rPr>
                                <w:spacing w:val="-3"/>
                              </w:rPr>
                              <w:t xml:space="preserve"> </w:t>
                            </w:r>
                            <w:r w:rsidRPr="008619C4">
                              <w:t>5</w:t>
                            </w:r>
                            <w:r w:rsidRPr="008619C4">
                              <w:rPr>
                                <w:spacing w:val="-4"/>
                              </w:rPr>
                              <w:t xml:space="preserve"> </w:t>
                            </w:r>
                            <w:r w:rsidRPr="008619C4">
                              <w:t>=</w:t>
                            </w:r>
                            <w:r w:rsidRPr="008619C4">
                              <w:rPr>
                                <w:spacing w:val="-1"/>
                              </w:rPr>
                              <w:t xml:space="preserve"> </w:t>
                            </w:r>
                            <w:r w:rsidRPr="008619C4">
                              <w:t>607</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w:t>
                            </w:r>
                            <w:r w:rsidRPr="008619C4">
                              <w:rPr>
                                <w:spacing w:val="-4"/>
                              </w:rPr>
                              <w:t xml:space="preserve"> </w:t>
                            </w:r>
                            <w:r w:rsidRPr="008619C4">
                              <w:rPr>
                                <w:b/>
                              </w:rPr>
                              <w:t>673</w:t>
                            </w:r>
                            <w:r w:rsidRPr="008619C4">
                              <w:rPr>
                                <w:b/>
                                <w:spacing w:val="-4"/>
                              </w:rPr>
                              <w:t xml:space="preserve"> </w:t>
                            </w:r>
                            <w:r w:rsidRPr="008619C4">
                              <w:rPr>
                                <w:b/>
                              </w:rPr>
                              <w:t>mg/kg</w:t>
                            </w:r>
                            <w:r w:rsidRPr="008619C4">
                              <w:rPr>
                                <w:b/>
                                <w:spacing w:val="-4"/>
                              </w:rPr>
                              <w:t xml:space="preserve"> </w:t>
                            </w:r>
                            <w:r w:rsidRPr="008619C4">
                              <w:rPr>
                                <w:b/>
                                <w:spacing w:val="-2"/>
                              </w:rPr>
                              <w:t>bw/day</w:t>
                            </w:r>
                          </w:p>
                          <w:p w14:paraId="45EB6B8C" w14:textId="77777777" w:rsidR="00151B4C" w:rsidRPr="008619C4" w:rsidRDefault="00151B4C" w:rsidP="00151B4C">
                            <w:pPr>
                              <w:pStyle w:val="BodyText"/>
                              <w:rPr>
                                <w:b/>
                              </w:rPr>
                            </w:pPr>
                          </w:p>
                          <w:p w14:paraId="7389B738" w14:textId="77777777" w:rsidR="00151B4C" w:rsidRPr="008619C4" w:rsidRDefault="00151B4C" w:rsidP="00151B4C">
                            <w:pPr>
                              <w:spacing w:before="1"/>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2</w:t>
                            </w:r>
                            <w:r w:rsidRPr="008619C4">
                              <w:rPr>
                                <w:b/>
                                <w:spacing w:val="-7"/>
                              </w:rPr>
                              <w:t xml:space="preserve"> </w:t>
                            </w:r>
                            <w:r w:rsidRPr="008619C4">
                              <w:rPr>
                                <w:b/>
                                <w:spacing w:val="-2"/>
                              </w:rPr>
                              <w:t>(µg/cm2)</w:t>
                            </w:r>
                          </w:p>
                          <w:p w14:paraId="0546C5A0" w14:textId="77777777" w:rsidR="00151B4C" w:rsidRPr="008619C4" w:rsidRDefault="00151B4C" w:rsidP="00151B4C">
                            <w:pPr>
                              <w:pStyle w:val="BodyText"/>
                              <w:ind w:left="103"/>
                            </w:pPr>
                            <w:r w:rsidRPr="008619C4">
                              <w:t>Scenario</w:t>
                            </w:r>
                            <w:r w:rsidRPr="008619C4">
                              <w:rPr>
                                <w:spacing w:val="-6"/>
                              </w:rPr>
                              <w:t xml:space="preserve"> </w:t>
                            </w:r>
                            <w:r w:rsidRPr="008619C4">
                              <w:t>3</w:t>
                            </w:r>
                            <w:r w:rsidRPr="008619C4">
                              <w:rPr>
                                <w:spacing w:val="-4"/>
                              </w:rPr>
                              <w:t xml:space="preserve"> </w:t>
                            </w:r>
                            <w:r w:rsidRPr="008619C4">
                              <w:t>=</w:t>
                            </w:r>
                            <w:r w:rsidRPr="008619C4">
                              <w:rPr>
                                <w:spacing w:val="-5"/>
                              </w:rPr>
                              <w:t xml:space="preserve"> </w:t>
                            </w:r>
                            <w:r w:rsidRPr="008619C4">
                              <w:t>303</w:t>
                            </w:r>
                            <w:r w:rsidRPr="008619C4">
                              <w:rPr>
                                <w:spacing w:val="-4"/>
                              </w:rPr>
                              <w:t xml:space="preserve"> </w:t>
                            </w:r>
                            <w:r w:rsidRPr="008619C4">
                              <w:t>cm</w:t>
                            </w:r>
                            <w:r w:rsidRPr="008619C4">
                              <w:rPr>
                                <w:position w:val="6"/>
                                <w:sz w:val="13"/>
                              </w:rPr>
                              <w:t>2</w:t>
                            </w:r>
                            <w:r w:rsidRPr="008619C4">
                              <w:t>/kg</w:t>
                            </w:r>
                            <w:r w:rsidRPr="008619C4">
                              <w:rPr>
                                <w:spacing w:val="-4"/>
                              </w:rPr>
                              <w:t xml:space="preserve"> </w:t>
                            </w:r>
                            <w:r w:rsidRPr="008619C4">
                              <w:rPr>
                                <w:spacing w:val="-2"/>
                              </w:rPr>
                              <w:t>bw/day</w:t>
                            </w:r>
                          </w:p>
                          <w:p w14:paraId="07183C5B" w14:textId="77777777" w:rsidR="00151B4C" w:rsidRPr="008619C4" w:rsidRDefault="00151B4C" w:rsidP="00151B4C">
                            <w:pPr>
                              <w:pStyle w:val="BodyText"/>
                              <w:ind w:left="103"/>
                            </w:pPr>
                            <w:r w:rsidRPr="008619C4">
                              <w:t>Scenario</w:t>
                            </w:r>
                            <w:r w:rsidRPr="008619C4">
                              <w:rPr>
                                <w:spacing w:val="-5"/>
                              </w:rPr>
                              <w:t xml:space="preserve"> </w:t>
                            </w:r>
                            <w:r w:rsidRPr="008619C4">
                              <w:t>5</w:t>
                            </w:r>
                            <w:r w:rsidRPr="008619C4">
                              <w:rPr>
                                <w:spacing w:val="-3"/>
                              </w:rPr>
                              <w:t xml:space="preserve"> </w:t>
                            </w:r>
                            <w:r w:rsidRPr="008619C4">
                              <w:t>=</w:t>
                            </w:r>
                            <w:r w:rsidRPr="008619C4">
                              <w:rPr>
                                <w:spacing w:val="-4"/>
                              </w:rPr>
                              <w:t xml:space="preserve"> </w:t>
                            </w:r>
                            <w:r w:rsidRPr="008619C4">
                              <w:t>33</w:t>
                            </w:r>
                            <w:r w:rsidRPr="008619C4">
                              <w:rPr>
                                <w:spacing w:val="-4"/>
                              </w:rPr>
                              <w:t xml:space="preserve"> </w:t>
                            </w:r>
                            <w:r w:rsidRPr="008619C4">
                              <w:t>cm</w:t>
                            </w:r>
                            <w:r w:rsidRPr="008619C4">
                              <w:rPr>
                                <w:position w:val="6"/>
                                <w:sz w:val="13"/>
                              </w:rPr>
                              <w:t>2</w:t>
                            </w:r>
                            <w:r w:rsidRPr="008619C4">
                              <w:t>/kg</w:t>
                            </w:r>
                            <w:r w:rsidRPr="008619C4">
                              <w:rPr>
                                <w:spacing w:val="-5"/>
                              </w:rPr>
                              <w:t xml:space="preserve"> </w:t>
                            </w:r>
                            <w:r w:rsidRPr="008619C4">
                              <w:rPr>
                                <w:spacing w:val="-2"/>
                              </w:rPr>
                              <w:t>bw/day</w:t>
                            </w:r>
                          </w:p>
                          <w:p w14:paraId="47D02F7F" w14:textId="71DC8687" w:rsidR="00151B4C" w:rsidRPr="008619C4" w:rsidRDefault="006C633B" w:rsidP="00151B4C">
                            <w:pPr>
                              <w:spacing w:before="229"/>
                              <w:ind w:left="103"/>
                              <w:rPr>
                                <w:b/>
                              </w:rPr>
                            </w:pPr>
                            <w:r>
                              <w:rPr>
                                <w:b/>
                              </w:rPr>
                              <w:t>Highest estimated average daily sunscreen exposure</w:t>
                            </w:r>
                            <w:r w:rsidR="00151B4C" w:rsidRPr="008619C4">
                              <w:rPr>
                                <w:b/>
                                <w:spacing w:val="-7"/>
                              </w:rPr>
                              <w:t xml:space="preserve"> </w:t>
                            </w:r>
                            <w:r w:rsidR="00151B4C" w:rsidRPr="008619C4">
                              <w:rPr>
                                <w:b/>
                              </w:rPr>
                              <w:t>for</w:t>
                            </w:r>
                            <w:r w:rsidR="00151B4C" w:rsidRPr="008619C4">
                              <w:rPr>
                                <w:b/>
                                <w:spacing w:val="-9"/>
                              </w:rPr>
                              <w:t xml:space="preserve"> </w:t>
                            </w:r>
                            <w:r w:rsidR="00151B4C" w:rsidRPr="008619C4">
                              <w:rPr>
                                <w:b/>
                              </w:rPr>
                              <w:t>Method</w:t>
                            </w:r>
                            <w:r w:rsidR="00151B4C" w:rsidRPr="008619C4">
                              <w:rPr>
                                <w:b/>
                                <w:spacing w:val="-7"/>
                              </w:rPr>
                              <w:t xml:space="preserve"> </w:t>
                            </w:r>
                            <w:r w:rsidR="00151B4C" w:rsidRPr="008619C4">
                              <w:rPr>
                                <w:b/>
                              </w:rPr>
                              <w:t>2</w:t>
                            </w:r>
                            <w:r w:rsidR="00151B4C" w:rsidRPr="008619C4">
                              <w:rPr>
                                <w:b/>
                                <w:spacing w:val="-8"/>
                              </w:rPr>
                              <w:t xml:space="preserve"> </w:t>
                            </w:r>
                            <w:r w:rsidR="00151B4C" w:rsidRPr="008619C4">
                              <w:rPr>
                                <w:b/>
                                <w:spacing w:val="-2"/>
                              </w:rPr>
                              <w:t>(µg/cm2)</w:t>
                            </w:r>
                          </w:p>
                          <w:p w14:paraId="18BAFD12" w14:textId="77777777" w:rsidR="00151B4C" w:rsidRDefault="00151B4C" w:rsidP="00151B4C">
                            <w:pPr>
                              <w:ind w:left="103"/>
                              <w:rPr>
                                <w:b/>
                              </w:rPr>
                            </w:pPr>
                            <w:r w:rsidRPr="008619C4">
                              <w:t>Scenario</w:t>
                            </w:r>
                            <w:r w:rsidRPr="008619C4">
                              <w:rPr>
                                <w:spacing w:val="-5"/>
                              </w:rPr>
                              <w:t xml:space="preserve"> </w:t>
                            </w:r>
                            <w:r w:rsidRPr="008619C4">
                              <w:t>3</w:t>
                            </w:r>
                            <w:r w:rsidRPr="008619C4">
                              <w:rPr>
                                <w:spacing w:val="-3"/>
                              </w:rPr>
                              <w:t xml:space="preserve"> </w:t>
                            </w:r>
                            <w:r w:rsidRPr="008619C4">
                              <w:t>+</w:t>
                            </w:r>
                            <w:r w:rsidRPr="008619C4">
                              <w:rPr>
                                <w:spacing w:val="-4"/>
                              </w:rPr>
                              <w:t xml:space="preserve"> </w:t>
                            </w:r>
                            <w:r w:rsidRPr="008619C4">
                              <w:t>Scenarios</w:t>
                            </w:r>
                            <w:r w:rsidRPr="008619C4">
                              <w:rPr>
                                <w:spacing w:val="-1"/>
                              </w:rPr>
                              <w:t xml:space="preserve"> </w:t>
                            </w:r>
                            <w:r w:rsidRPr="008619C4">
                              <w:t>5</w:t>
                            </w:r>
                            <w:r w:rsidRPr="008619C4">
                              <w:rPr>
                                <w:spacing w:val="-5"/>
                              </w:rPr>
                              <w:t xml:space="preserve"> </w:t>
                            </w:r>
                            <w:r w:rsidRPr="008619C4">
                              <w:t>=</w:t>
                            </w:r>
                            <w:r w:rsidRPr="008619C4">
                              <w:rPr>
                                <w:spacing w:val="-4"/>
                              </w:rPr>
                              <w:t xml:space="preserve"> </w:t>
                            </w:r>
                            <w:r w:rsidRPr="008619C4">
                              <w:t>303</w:t>
                            </w:r>
                            <w:r w:rsidRPr="008619C4">
                              <w:rPr>
                                <w:spacing w:val="-4"/>
                              </w:rPr>
                              <w:t xml:space="preserve"> </w:t>
                            </w:r>
                            <w:r w:rsidRPr="008619C4">
                              <w:t>+</w:t>
                            </w:r>
                            <w:r w:rsidRPr="008619C4">
                              <w:rPr>
                                <w:spacing w:val="-1"/>
                              </w:rPr>
                              <w:t xml:space="preserve"> </w:t>
                            </w:r>
                            <w:r w:rsidRPr="008619C4">
                              <w:t>33</w:t>
                            </w:r>
                            <w:r w:rsidRPr="008619C4">
                              <w:rPr>
                                <w:spacing w:val="-5"/>
                              </w:rPr>
                              <w:t xml:space="preserve"> </w:t>
                            </w:r>
                            <w:r w:rsidRPr="008619C4">
                              <w:t>=</w:t>
                            </w:r>
                            <w:r w:rsidRPr="008619C4">
                              <w:rPr>
                                <w:spacing w:val="-4"/>
                              </w:rPr>
                              <w:t xml:space="preserve"> </w:t>
                            </w:r>
                            <w:r w:rsidRPr="008619C4">
                              <w:rPr>
                                <w:b/>
                              </w:rPr>
                              <w:t>336</w:t>
                            </w:r>
                            <w:r w:rsidRPr="008619C4">
                              <w:rPr>
                                <w:b/>
                                <w:spacing w:val="-5"/>
                              </w:rPr>
                              <w:t xml:space="preserve"> </w:t>
                            </w:r>
                            <w:r w:rsidRPr="008619C4">
                              <w:rPr>
                                <w:b/>
                              </w:rPr>
                              <w:t>cm</w:t>
                            </w:r>
                            <w:r w:rsidRPr="008619C4">
                              <w:rPr>
                                <w:b/>
                                <w:vertAlign w:val="superscript"/>
                              </w:rPr>
                              <w:t>2</w:t>
                            </w:r>
                            <w:r w:rsidRPr="008619C4">
                              <w:rPr>
                                <w:b/>
                              </w:rPr>
                              <w:t>/kg</w:t>
                            </w:r>
                            <w:r w:rsidRPr="008619C4">
                              <w:rPr>
                                <w:b/>
                                <w:spacing w:val="-4"/>
                              </w:rPr>
                              <w:t xml:space="preserve"> </w:t>
                            </w:r>
                            <w:r w:rsidRPr="008619C4">
                              <w:rPr>
                                <w:b/>
                                <w:spacing w:val="-2"/>
                              </w:rPr>
                              <w:t>bw/day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D698A" id="Textbox 73" o:spid="_x0000_s1027" type="#_x0000_t202" style="position:absolute;margin-left:0;margin-top:6.25pt;width:439.45pt;height:200.9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" filled="f" strokeweight=".16967mm">
                <v:path arrowok="t"/>
                <v:textbox inset="0,0,0,0">
                  <w:txbxContent>
                    <w:p w14:paraId="1288D0FD" w14:textId="77777777" w:rsidR="00151B4C" w:rsidRDefault="00151B4C" w:rsidP="00151B4C">
                      <w:pPr>
                        <w:pStyle w:val="BodyText"/>
                      </w:pPr>
                    </w:p>
                    <w:p w14:paraId="25C62FA3" w14:textId="77777777" w:rsidR="00151B4C" w:rsidRPr="008619C4" w:rsidRDefault="00151B4C" w:rsidP="00151B4C">
                      <w:pPr>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1</w:t>
                      </w:r>
                      <w:r w:rsidRPr="008619C4">
                        <w:rPr>
                          <w:b/>
                          <w:spacing w:val="-7"/>
                        </w:rPr>
                        <w:t xml:space="preserve"> </w:t>
                      </w:r>
                      <w:r w:rsidRPr="008619C4">
                        <w:rPr>
                          <w:b/>
                          <w:spacing w:val="-5"/>
                        </w:rPr>
                        <w:t>(%)</w:t>
                      </w:r>
                    </w:p>
                    <w:p w14:paraId="3F1E3CC2" w14:textId="77777777" w:rsidR="00151B4C" w:rsidRPr="008619C4" w:rsidRDefault="00151B4C" w:rsidP="00151B4C">
                      <w:pPr>
                        <w:pStyle w:val="BodyText"/>
                        <w:ind w:left="103"/>
                      </w:pPr>
                      <w:r w:rsidRPr="008619C4">
                        <w:t>Scenario</w:t>
                      </w:r>
                      <w:r w:rsidRPr="008619C4">
                        <w:rPr>
                          <w:spacing w:val="-6"/>
                        </w:rPr>
                        <w:t xml:space="preserve"> </w:t>
                      </w:r>
                      <w:r w:rsidRPr="008619C4">
                        <w:t>3</w:t>
                      </w:r>
                      <w:r w:rsidRPr="008619C4">
                        <w:rPr>
                          <w:spacing w:val="-3"/>
                        </w:rPr>
                        <w:t xml:space="preserve"> </w:t>
                      </w:r>
                      <w:r w:rsidRPr="008619C4">
                        <w:t>=</w:t>
                      </w:r>
                      <w:r w:rsidRPr="008619C4">
                        <w:rPr>
                          <w:spacing w:val="-5"/>
                        </w:rPr>
                        <w:t xml:space="preserve"> </w:t>
                      </w:r>
                      <w:r w:rsidRPr="008619C4">
                        <w:t>607</w:t>
                      </w:r>
                      <w:r w:rsidRPr="008619C4">
                        <w:rPr>
                          <w:spacing w:val="-3"/>
                        </w:rPr>
                        <w:t xml:space="preserve"> </w:t>
                      </w:r>
                      <w:r w:rsidRPr="008619C4">
                        <w:t>mg/kg</w:t>
                      </w:r>
                      <w:r w:rsidRPr="008619C4">
                        <w:rPr>
                          <w:spacing w:val="-5"/>
                        </w:rPr>
                        <w:t xml:space="preserve"> </w:t>
                      </w:r>
                      <w:proofErr w:type="spellStart"/>
                      <w:r w:rsidRPr="008619C4">
                        <w:rPr>
                          <w:spacing w:val="-2"/>
                        </w:rPr>
                        <w:t>bw</w:t>
                      </w:r>
                      <w:proofErr w:type="spellEnd"/>
                      <w:r w:rsidRPr="008619C4">
                        <w:rPr>
                          <w:spacing w:val="-2"/>
                        </w:rPr>
                        <w:t>/day</w:t>
                      </w:r>
                    </w:p>
                    <w:p w14:paraId="060DAF54" w14:textId="77777777" w:rsidR="00151B4C" w:rsidRPr="008619C4" w:rsidRDefault="00151B4C" w:rsidP="00151B4C">
                      <w:pPr>
                        <w:pStyle w:val="BodyText"/>
                        <w:spacing w:before="1"/>
                        <w:ind w:left="103"/>
                      </w:pPr>
                      <w:r w:rsidRPr="008619C4">
                        <w:t>Scenario</w:t>
                      </w:r>
                      <w:r w:rsidRPr="008619C4">
                        <w:rPr>
                          <w:spacing w:val="-6"/>
                        </w:rPr>
                        <w:t xml:space="preserve"> </w:t>
                      </w:r>
                      <w:r w:rsidRPr="008619C4">
                        <w:t>5</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mg/kg</w:t>
                      </w:r>
                      <w:r w:rsidRPr="008619C4">
                        <w:rPr>
                          <w:spacing w:val="-3"/>
                        </w:rPr>
                        <w:t xml:space="preserve"> </w:t>
                      </w:r>
                      <w:proofErr w:type="spellStart"/>
                      <w:r w:rsidRPr="008619C4">
                        <w:rPr>
                          <w:spacing w:val="-2"/>
                        </w:rPr>
                        <w:t>bw</w:t>
                      </w:r>
                      <w:proofErr w:type="spellEnd"/>
                      <w:r w:rsidRPr="008619C4">
                        <w:rPr>
                          <w:spacing w:val="-2"/>
                        </w:rPr>
                        <w:t>/day</w:t>
                      </w:r>
                    </w:p>
                    <w:p w14:paraId="560BDC9E" w14:textId="77777777" w:rsidR="00151B4C" w:rsidRPr="008619C4" w:rsidRDefault="00151B4C" w:rsidP="00151B4C">
                      <w:pPr>
                        <w:pStyle w:val="BodyText"/>
                      </w:pPr>
                    </w:p>
                    <w:p w14:paraId="201B6E98" w14:textId="2A436FAB" w:rsidR="00151B4C" w:rsidRPr="008619C4" w:rsidRDefault="006C633B" w:rsidP="00151B4C">
                      <w:pPr>
                        <w:spacing w:before="1" w:line="229" w:lineRule="exact"/>
                        <w:ind w:left="103"/>
                        <w:rPr>
                          <w:b/>
                        </w:rPr>
                      </w:pPr>
                      <w:r>
                        <w:rPr>
                          <w:b/>
                        </w:rPr>
                        <w:t>Highest estimated average daily sunscreen exposure</w:t>
                      </w:r>
                      <w:r w:rsidR="00151B4C" w:rsidRPr="008619C4">
                        <w:rPr>
                          <w:b/>
                          <w:spacing w:val="-7"/>
                        </w:rPr>
                        <w:t xml:space="preserve"> </w:t>
                      </w:r>
                      <w:r w:rsidR="00151B4C" w:rsidRPr="008619C4">
                        <w:rPr>
                          <w:b/>
                        </w:rPr>
                        <w:t>Method</w:t>
                      </w:r>
                      <w:r w:rsidR="00151B4C" w:rsidRPr="008619C4">
                        <w:rPr>
                          <w:b/>
                          <w:spacing w:val="-8"/>
                        </w:rPr>
                        <w:t xml:space="preserve"> </w:t>
                      </w:r>
                      <w:r w:rsidR="00151B4C" w:rsidRPr="008619C4">
                        <w:rPr>
                          <w:b/>
                        </w:rPr>
                        <w:t>1</w:t>
                      </w:r>
                      <w:r w:rsidR="00151B4C" w:rsidRPr="008619C4">
                        <w:rPr>
                          <w:b/>
                          <w:spacing w:val="-9"/>
                        </w:rPr>
                        <w:t xml:space="preserve"> </w:t>
                      </w:r>
                      <w:r w:rsidR="00151B4C" w:rsidRPr="008619C4">
                        <w:rPr>
                          <w:b/>
                          <w:spacing w:val="-5"/>
                        </w:rPr>
                        <w:t>(%)</w:t>
                      </w:r>
                    </w:p>
                    <w:p w14:paraId="576E84D9" w14:textId="77777777" w:rsidR="00151B4C" w:rsidRPr="008619C4" w:rsidRDefault="00151B4C" w:rsidP="00151B4C">
                      <w:pPr>
                        <w:spacing w:line="229" w:lineRule="exact"/>
                        <w:ind w:left="103"/>
                        <w:rPr>
                          <w:b/>
                        </w:rPr>
                      </w:pPr>
                      <w:r w:rsidRPr="008619C4">
                        <w:t>Scenario</w:t>
                      </w:r>
                      <w:r w:rsidRPr="008619C4">
                        <w:rPr>
                          <w:spacing w:val="-5"/>
                        </w:rPr>
                        <w:t xml:space="preserve"> </w:t>
                      </w:r>
                      <w:r w:rsidRPr="008619C4">
                        <w:t>3</w:t>
                      </w:r>
                      <w:r w:rsidRPr="008619C4">
                        <w:rPr>
                          <w:spacing w:val="-3"/>
                        </w:rPr>
                        <w:t xml:space="preserve"> </w:t>
                      </w:r>
                      <w:r w:rsidRPr="008619C4">
                        <w:t>+</w:t>
                      </w:r>
                      <w:r w:rsidRPr="008619C4">
                        <w:rPr>
                          <w:spacing w:val="-3"/>
                        </w:rPr>
                        <w:t xml:space="preserve"> </w:t>
                      </w:r>
                      <w:r w:rsidRPr="008619C4">
                        <w:t>Scenario</w:t>
                      </w:r>
                      <w:r w:rsidRPr="008619C4">
                        <w:rPr>
                          <w:spacing w:val="-3"/>
                        </w:rPr>
                        <w:t xml:space="preserve"> </w:t>
                      </w:r>
                      <w:r w:rsidRPr="008619C4">
                        <w:t>5</w:t>
                      </w:r>
                      <w:r w:rsidRPr="008619C4">
                        <w:rPr>
                          <w:spacing w:val="-4"/>
                        </w:rPr>
                        <w:t xml:space="preserve"> </w:t>
                      </w:r>
                      <w:r w:rsidRPr="008619C4">
                        <w:t>=</w:t>
                      </w:r>
                      <w:r w:rsidRPr="008619C4">
                        <w:rPr>
                          <w:spacing w:val="-1"/>
                        </w:rPr>
                        <w:t xml:space="preserve"> </w:t>
                      </w:r>
                      <w:r w:rsidRPr="008619C4">
                        <w:t>607</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w:t>
                      </w:r>
                      <w:r w:rsidRPr="008619C4">
                        <w:rPr>
                          <w:spacing w:val="-4"/>
                        </w:rPr>
                        <w:t xml:space="preserve"> </w:t>
                      </w:r>
                      <w:r w:rsidRPr="008619C4">
                        <w:rPr>
                          <w:b/>
                        </w:rPr>
                        <w:t>673</w:t>
                      </w:r>
                      <w:r w:rsidRPr="008619C4">
                        <w:rPr>
                          <w:b/>
                          <w:spacing w:val="-4"/>
                        </w:rPr>
                        <w:t xml:space="preserve"> </w:t>
                      </w:r>
                      <w:r w:rsidRPr="008619C4">
                        <w:rPr>
                          <w:b/>
                        </w:rPr>
                        <w:t>mg/kg</w:t>
                      </w:r>
                      <w:r w:rsidRPr="008619C4">
                        <w:rPr>
                          <w:b/>
                          <w:spacing w:val="-4"/>
                        </w:rPr>
                        <w:t xml:space="preserve"> </w:t>
                      </w:r>
                      <w:proofErr w:type="spellStart"/>
                      <w:r w:rsidRPr="008619C4">
                        <w:rPr>
                          <w:b/>
                          <w:spacing w:val="-2"/>
                        </w:rPr>
                        <w:t>bw</w:t>
                      </w:r>
                      <w:proofErr w:type="spellEnd"/>
                      <w:r w:rsidRPr="008619C4">
                        <w:rPr>
                          <w:b/>
                          <w:spacing w:val="-2"/>
                        </w:rPr>
                        <w:t>/day</w:t>
                      </w:r>
                    </w:p>
                    <w:p w14:paraId="45EB6B8C" w14:textId="77777777" w:rsidR="00151B4C" w:rsidRPr="008619C4" w:rsidRDefault="00151B4C" w:rsidP="00151B4C">
                      <w:pPr>
                        <w:pStyle w:val="BodyText"/>
                        <w:rPr>
                          <w:b/>
                        </w:rPr>
                      </w:pPr>
                    </w:p>
                    <w:p w14:paraId="7389B738" w14:textId="77777777" w:rsidR="00151B4C" w:rsidRPr="008619C4" w:rsidRDefault="00151B4C" w:rsidP="00151B4C">
                      <w:pPr>
                        <w:spacing w:before="1"/>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2</w:t>
                      </w:r>
                      <w:r w:rsidRPr="008619C4">
                        <w:rPr>
                          <w:b/>
                          <w:spacing w:val="-7"/>
                        </w:rPr>
                        <w:t xml:space="preserve"> </w:t>
                      </w:r>
                      <w:r w:rsidRPr="008619C4">
                        <w:rPr>
                          <w:b/>
                          <w:spacing w:val="-2"/>
                        </w:rPr>
                        <w:t>(µg/cm2)</w:t>
                      </w:r>
                    </w:p>
                    <w:p w14:paraId="0546C5A0" w14:textId="77777777" w:rsidR="00151B4C" w:rsidRPr="008619C4" w:rsidRDefault="00151B4C" w:rsidP="00151B4C">
                      <w:pPr>
                        <w:pStyle w:val="BodyText"/>
                        <w:ind w:left="103"/>
                      </w:pPr>
                      <w:r w:rsidRPr="008619C4">
                        <w:t>Scenario</w:t>
                      </w:r>
                      <w:r w:rsidRPr="008619C4">
                        <w:rPr>
                          <w:spacing w:val="-6"/>
                        </w:rPr>
                        <w:t xml:space="preserve"> </w:t>
                      </w:r>
                      <w:r w:rsidRPr="008619C4">
                        <w:t>3</w:t>
                      </w:r>
                      <w:r w:rsidRPr="008619C4">
                        <w:rPr>
                          <w:spacing w:val="-4"/>
                        </w:rPr>
                        <w:t xml:space="preserve"> </w:t>
                      </w:r>
                      <w:r w:rsidRPr="008619C4">
                        <w:t>=</w:t>
                      </w:r>
                      <w:r w:rsidRPr="008619C4">
                        <w:rPr>
                          <w:spacing w:val="-5"/>
                        </w:rPr>
                        <w:t xml:space="preserve"> </w:t>
                      </w:r>
                      <w:r w:rsidRPr="008619C4">
                        <w:t>303</w:t>
                      </w:r>
                      <w:r w:rsidRPr="008619C4">
                        <w:rPr>
                          <w:spacing w:val="-4"/>
                        </w:rPr>
                        <w:t xml:space="preserve"> </w:t>
                      </w:r>
                      <w:r w:rsidRPr="008619C4">
                        <w:t>cm</w:t>
                      </w:r>
                      <w:r w:rsidRPr="008619C4">
                        <w:rPr>
                          <w:position w:val="6"/>
                          <w:sz w:val="13"/>
                        </w:rPr>
                        <w:t>2</w:t>
                      </w:r>
                      <w:r w:rsidRPr="008619C4">
                        <w:t>/kg</w:t>
                      </w:r>
                      <w:r w:rsidRPr="008619C4">
                        <w:rPr>
                          <w:spacing w:val="-4"/>
                        </w:rPr>
                        <w:t xml:space="preserve"> </w:t>
                      </w:r>
                      <w:proofErr w:type="spellStart"/>
                      <w:r w:rsidRPr="008619C4">
                        <w:rPr>
                          <w:spacing w:val="-2"/>
                        </w:rPr>
                        <w:t>bw</w:t>
                      </w:r>
                      <w:proofErr w:type="spellEnd"/>
                      <w:r w:rsidRPr="008619C4">
                        <w:rPr>
                          <w:spacing w:val="-2"/>
                        </w:rPr>
                        <w:t>/day</w:t>
                      </w:r>
                    </w:p>
                    <w:p w14:paraId="07183C5B" w14:textId="77777777" w:rsidR="00151B4C" w:rsidRPr="008619C4" w:rsidRDefault="00151B4C" w:rsidP="00151B4C">
                      <w:pPr>
                        <w:pStyle w:val="BodyText"/>
                        <w:ind w:left="103"/>
                      </w:pPr>
                      <w:r w:rsidRPr="008619C4">
                        <w:t>Scenario</w:t>
                      </w:r>
                      <w:r w:rsidRPr="008619C4">
                        <w:rPr>
                          <w:spacing w:val="-5"/>
                        </w:rPr>
                        <w:t xml:space="preserve"> </w:t>
                      </w:r>
                      <w:r w:rsidRPr="008619C4">
                        <w:t>5</w:t>
                      </w:r>
                      <w:r w:rsidRPr="008619C4">
                        <w:rPr>
                          <w:spacing w:val="-3"/>
                        </w:rPr>
                        <w:t xml:space="preserve"> </w:t>
                      </w:r>
                      <w:r w:rsidRPr="008619C4">
                        <w:t>=</w:t>
                      </w:r>
                      <w:r w:rsidRPr="008619C4">
                        <w:rPr>
                          <w:spacing w:val="-4"/>
                        </w:rPr>
                        <w:t xml:space="preserve"> </w:t>
                      </w:r>
                      <w:r w:rsidRPr="008619C4">
                        <w:t>33</w:t>
                      </w:r>
                      <w:r w:rsidRPr="008619C4">
                        <w:rPr>
                          <w:spacing w:val="-4"/>
                        </w:rPr>
                        <w:t xml:space="preserve"> </w:t>
                      </w:r>
                      <w:r w:rsidRPr="008619C4">
                        <w:t>cm</w:t>
                      </w:r>
                      <w:r w:rsidRPr="008619C4">
                        <w:rPr>
                          <w:position w:val="6"/>
                          <w:sz w:val="13"/>
                        </w:rPr>
                        <w:t>2</w:t>
                      </w:r>
                      <w:r w:rsidRPr="008619C4">
                        <w:t>/kg</w:t>
                      </w:r>
                      <w:r w:rsidRPr="008619C4">
                        <w:rPr>
                          <w:spacing w:val="-5"/>
                        </w:rPr>
                        <w:t xml:space="preserve"> </w:t>
                      </w:r>
                      <w:proofErr w:type="spellStart"/>
                      <w:r w:rsidRPr="008619C4">
                        <w:rPr>
                          <w:spacing w:val="-2"/>
                        </w:rPr>
                        <w:t>bw</w:t>
                      </w:r>
                      <w:proofErr w:type="spellEnd"/>
                      <w:r w:rsidRPr="008619C4">
                        <w:rPr>
                          <w:spacing w:val="-2"/>
                        </w:rPr>
                        <w:t>/day</w:t>
                      </w:r>
                    </w:p>
                    <w:p w14:paraId="47D02F7F" w14:textId="71DC8687" w:rsidR="00151B4C" w:rsidRPr="008619C4" w:rsidRDefault="006C633B" w:rsidP="00151B4C">
                      <w:pPr>
                        <w:spacing w:before="229"/>
                        <w:ind w:left="103"/>
                        <w:rPr>
                          <w:b/>
                        </w:rPr>
                      </w:pPr>
                      <w:r>
                        <w:rPr>
                          <w:b/>
                        </w:rPr>
                        <w:t>Highest estimated average daily sunscreen exposure</w:t>
                      </w:r>
                      <w:r w:rsidR="00151B4C" w:rsidRPr="008619C4">
                        <w:rPr>
                          <w:b/>
                          <w:spacing w:val="-7"/>
                        </w:rPr>
                        <w:t xml:space="preserve"> </w:t>
                      </w:r>
                      <w:r w:rsidR="00151B4C" w:rsidRPr="008619C4">
                        <w:rPr>
                          <w:b/>
                        </w:rPr>
                        <w:t>for</w:t>
                      </w:r>
                      <w:r w:rsidR="00151B4C" w:rsidRPr="008619C4">
                        <w:rPr>
                          <w:b/>
                          <w:spacing w:val="-9"/>
                        </w:rPr>
                        <w:t xml:space="preserve"> </w:t>
                      </w:r>
                      <w:r w:rsidR="00151B4C" w:rsidRPr="008619C4">
                        <w:rPr>
                          <w:b/>
                        </w:rPr>
                        <w:t>Method</w:t>
                      </w:r>
                      <w:r w:rsidR="00151B4C" w:rsidRPr="008619C4">
                        <w:rPr>
                          <w:b/>
                          <w:spacing w:val="-7"/>
                        </w:rPr>
                        <w:t xml:space="preserve"> </w:t>
                      </w:r>
                      <w:r w:rsidR="00151B4C" w:rsidRPr="008619C4">
                        <w:rPr>
                          <w:b/>
                        </w:rPr>
                        <w:t>2</w:t>
                      </w:r>
                      <w:r w:rsidR="00151B4C" w:rsidRPr="008619C4">
                        <w:rPr>
                          <w:b/>
                          <w:spacing w:val="-8"/>
                        </w:rPr>
                        <w:t xml:space="preserve"> </w:t>
                      </w:r>
                      <w:r w:rsidR="00151B4C" w:rsidRPr="008619C4">
                        <w:rPr>
                          <w:b/>
                          <w:spacing w:val="-2"/>
                        </w:rPr>
                        <w:t>(µg/cm2)</w:t>
                      </w:r>
                    </w:p>
                    <w:p w14:paraId="18BAFD12" w14:textId="77777777" w:rsidR="00151B4C" w:rsidRDefault="00151B4C" w:rsidP="00151B4C">
                      <w:pPr>
                        <w:ind w:left="103"/>
                        <w:rPr>
                          <w:b/>
                        </w:rPr>
                      </w:pPr>
                      <w:r w:rsidRPr="008619C4">
                        <w:t>Scenario</w:t>
                      </w:r>
                      <w:r w:rsidRPr="008619C4">
                        <w:rPr>
                          <w:spacing w:val="-5"/>
                        </w:rPr>
                        <w:t xml:space="preserve"> </w:t>
                      </w:r>
                      <w:r w:rsidRPr="008619C4">
                        <w:t>3</w:t>
                      </w:r>
                      <w:r w:rsidRPr="008619C4">
                        <w:rPr>
                          <w:spacing w:val="-3"/>
                        </w:rPr>
                        <w:t xml:space="preserve"> </w:t>
                      </w:r>
                      <w:r w:rsidRPr="008619C4">
                        <w:t>+</w:t>
                      </w:r>
                      <w:r w:rsidRPr="008619C4">
                        <w:rPr>
                          <w:spacing w:val="-4"/>
                        </w:rPr>
                        <w:t xml:space="preserve"> </w:t>
                      </w:r>
                      <w:r w:rsidRPr="008619C4">
                        <w:t>Scenarios</w:t>
                      </w:r>
                      <w:r w:rsidRPr="008619C4">
                        <w:rPr>
                          <w:spacing w:val="-1"/>
                        </w:rPr>
                        <w:t xml:space="preserve"> </w:t>
                      </w:r>
                      <w:r w:rsidRPr="008619C4">
                        <w:t>5</w:t>
                      </w:r>
                      <w:r w:rsidRPr="008619C4">
                        <w:rPr>
                          <w:spacing w:val="-5"/>
                        </w:rPr>
                        <w:t xml:space="preserve"> </w:t>
                      </w:r>
                      <w:r w:rsidRPr="008619C4">
                        <w:t>=</w:t>
                      </w:r>
                      <w:r w:rsidRPr="008619C4">
                        <w:rPr>
                          <w:spacing w:val="-4"/>
                        </w:rPr>
                        <w:t xml:space="preserve"> </w:t>
                      </w:r>
                      <w:r w:rsidRPr="008619C4">
                        <w:t>303</w:t>
                      </w:r>
                      <w:r w:rsidRPr="008619C4">
                        <w:rPr>
                          <w:spacing w:val="-4"/>
                        </w:rPr>
                        <w:t xml:space="preserve"> </w:t>
                      </w:r>
                      <w:r w:rsidRPr="008619C4">
                        <w:t>+</w:t>
                      </w:r>
                      <w:r w:rsidRPr="008619C4">
                        <w:rPr>
                          <w:spacing w:val="-1"/>
                        </w:rPr>
                        <w:t xml:space="preserve"> </w:t>
                      </w:r>
                      <w:r w:rsidRPr="008619C4">
                        <w:t>33</w:t>
                      </w:r>
                      <w:r w:rsidRPr="008619C4">
                        <w:rPr>
                          <w:spacing w:val="-5"/>
                        </w:rPr>
                        <w:t xml:space="preserve"> </w:t>
                      </w:r>
                      <w:r w:rsidRPr="008619C4">
                        <w:t>=</w:t>
                      </w:r>
                      <w:r w:rsidRPr="008619C4">
                        <w:rPr>
                          <w:spacing w:val="-4"/>
                        </w:rPr>
                        <w:t xml:space="preserve"> </w:t>
                      </w:r>
                      <w:r w:rsidRPr="008619C4">
                        <w:rPr>
                          <w:b/>
                        </w:rPr>
                        <w:t>336</w:t>
                      </w:r>
                      <w:r w:rsidRPr="008619C4">
                        <w:rPr>
                          <w:b/>
                          <w:spacing w:val="-5"/>
                        </w:rPr>
                        <w:t xml:space="preserve"> </w:t>
                      </w:r>
                      <w:r w:rsidRPr="008619C4">
                        <w:rPr>
                          <w:b/>
                        </w:rPr>
                        <w:t>cm</w:t>
                      </w:r>
                      <w:r w:rsidRPr="008619C4">
                        <w:rPr>
                          <w:b/>
                          <w:vertAlign w:val="superscript"/>
                        </w:rPr>
                        <w:t>2</w:t>
                      </w:r>
                      <w:r w:rsidRPr="008619C4">
                        <w:rPr>
                          <w:b/>
                        </w:rPr>
                        <w:t>/kg</w:t>
                      </w:r>
                      <w:r w:rsidRPr="008619C4">
                        <w:rPr>
                          <w:b/>
                          <w:spacing w:val="-4"/>
                        </w:rPr>
                        <w:t xml:space="preserve"> </w:t>
                      </w:r>
                      <w:proofErr w:type="spellStart"/>
                      <w:r w:rsidRPr="008619C4">
                        <w:rPr>
                          <w:b/>
                          <w:spacing w:val="-2"/>
                        </w:rPr>
                        <w:t>bw</w:t>
                      </w:r>
                      <w:proofErr w:type="spellEnd"/>
                      <w:r w:rsidRPr="008619C4">
                        <w:rPr>
                          <w:b/>
                          <w:spacing w:val="-2"/>
                        </w:rPr>
                        <w:t>/day</w:t>
                      </w:r>
                    </w:p>
                  </w:txbxContent>
                </v:textbox>
                <w10:wrap type="topAndBottom" anchorx="margin"/>
              </v:shape>
            </w:pict>
          </mc:Fallback>
        </mc:AlternateContent>
      </w:r>
      <w:r w:rsidR="00D97276" w:rsidRPr="00151B4C">
        <w:rPr>
          <w:rFonts w:eastAsia="Arial" w:cs="Arial"/>
          <w:noProof/>
          <w:lang w:eastAsia="en-AU"/>
        </w:rPr>
        <w:drawing>
          <wp:anchor distT="0" distB="0" distL="0" distR="0" simplePos="0" relativeHeight="251680768" behindDoc="1" locked="0" layoutInCell="1" allowOverlap="1" wp14:anchorId="641B504E" wp14:editId="4EEC99CA">
            <wp:simplePos x="0" y="0"/>
            <wp:positionH relativeFrom="margin">
              <wp:align>left</wp:align>
            </wp:positionH>
            <wp:positionV relativeFrom="paragraph">
              <wp:posOffset>3265856</wp:posOffset>
            </wp:positionV>
            <wp:extent cx="487679" cy="487680"/>
            <wp:effectExtent l="0" t="0" r="8255" b="7620"/>
            <wp:wrapTopAndBottom/>
            <wp:docPr id="19" name="Image 74" descr="Inform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Information "/>
                    <pic:cNvPicPr/>
                  </pic:nvPicPr>
                  <pic:blipFill>
                    <a:blip r:embed="rId46" cstate="print"/>
                    <a:stretch>
                      <a:fillRect/>
                    </a:stretch>
                  </pic:blipFill>
                  <pic:spPr>
                    <a:xfrm>
                      <a:off x="0" y="0"/>
                      <a:ext cx="487679" cy="487680"/>
                    </a:xfrm>
                    <a:prstGeom prst="rect">
                      <a:avLst/>
                    </a:prstGeom>
                  </pic:spPr>
                </pic:pic>
              </a:graphicData>
            </a:graphic>
          </wp:anchor>
        </w:drawing>
      </w:r>
      <w:r w:rsidR="00D97276" w:rsidRPr="00151B4C">
        <w:rPr>
          <w:noProof/>
          <w:lang w:eastAsia="en-AU"/>
        </w:rPr>
        <mc:AlternateContent>
          <mc:Choice Requires="wps">
            <w:drawing>
              <wp:anchor distT="0" distB="0" distL="0" distR="0" simplePos="0" relativeHeight="251681792" behindDoc="1" locked="0" layoutInCell="1" allowOverlap="1" wp14:anchorId="0ED295CB" wp14:editId="0BEC08F2">
                <wp:simplePos x="0" y="0"/>
                <wp:positionH relativeFrom="page">
                  <wp:posOffset>1605915</wp:posOffset>
                </wp:positionH>
                <wp:positionV relativeFrom="paragraph">
                  <wp:posOffset>2867660</wp:posOffset>
                </wp:positionV>
                <wp:extent cx="4930140" cy="1320165"/>
                <wp:effectExtent l="0" t="0" r="0" b="0"/>
                <wp:wrapTopAndBottom/>
                <wp:docPr id="1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20165"/>
                        </a:xfrm>
                        <a:prstGeom prst="rect">
                          <a:avLst/>
                        </a:prstGeom>
                        <a:solidFill>
                          <a:srgbClr val="EAEAEA"/>
                        </a:solidFill>
                      </wps:spPr>
                      <wps:txbx>
                        <w:txbxContent>
                          <w:p w14:paraId="75B6235A" w14:textId="7BD8A35F" w:rsidR="00151B4C" w:rsidRDefault="00151B4C" w:rsidP="00151B4C">
                            <w:pPr>
                              <w:pStyle w:val="BodyText"/>
                              <w:spacing w:before="170" w:line="259" w:lineRule="auto"/>
                              <w:ind w:left="170" w:right="191"/>
                              <w:rPr>
                                <w:color w:val="000000"/>
                              </w:rPr>
                            </w:pPr>
                            <w:r w:rsidRPr="008619C4">
                              <w:rPr>
                                <w:color w:val="000000"/>
                              </w:rPr>
                              <w:t>Because</w:t>
                            </w:r>
                            <w:r w:rsidRPr="008619C4">
                              <w:rPr>
                                <w:color w:val="000000"/>
                                <w:spacing w:val="-5"/>
                              </w:rPr>
                              <w:t xml:space="preserve"> </w:t>
                            </w:r>
                            <w:r w:rsidRPr="008619C4">
                              <w:rPr>
                                <w:color w:val="000000"/>
                              </w:rPr>
                              <w:t>the</w:t>
                            </w:r>
                            <w:r w:rsidRPr="008619C4">
                              <w:rPr>
                                <w:color w:val="000000"/>
                                <w:spacing w:val="-5"/>
                              </w:rPr>
                              <w:t xml:space="preserve"> </w:t>
                            </w:r>
                            <w:r w:rsidRPr="008619C4">
                              <w:rPr>
                                <w:color w:val="000000"/>
                              </w:rPr>
                              <w:t>ASEM</w:t>
                            </w:r>
                            <w:r w:rsidRPr="008619C4">
                              <w:rPr>
                                <w:color w:val="000000"/>
                                <w:spacing w:val="-6"/>
                              </w:rPr>
                              <w:t xml:space="preserve"> </w:t>
                            </w:r>
                            <w:r w:rsidRPr="008619C4">
                              <w:rPr>
                                <w:color w:val="000000"/>
                              </w:rPr>
                              <w:t>formula</w:t>
                            </w:r>
                            <w:r w:rsidRPr="008619C4">
                              <w:rPr>
                                <w:color w:val="000000"/>
                                <w:spacing w:val="-6"/>
                              </w:rPr>
                              <w:t xml:space="preserve"> </w:t>
                            </w:r>
                            <w:r w:rsidRPr="008619C4">
                              <w:rPr>
                                <w:color w:val="000000"/>
                              </w:rPr>
                              <w:t>calculates</w:t>
                            </w:r>
                            <w:r w:rsidRPr="008619C4">
                              <w:rPr>
                                <w:color w:val="000000"/>
                                <w:spacing w:val="-5"/>
                              </w:rPr>
                              <w:t xml:space="preserve"> </w:t>
                            </w:r>
                            <w:r w:rsidRPr="008619C4">
                              <w:rPr>
                                <w:color w:val="000000"/>
                              </w:rPr>
                              <w:t>the</w:t>
                            </w:r>
                            <w:r w:rsidRPr="008619C4">
                              <w:rPr>
                                <w:color w:val="000000"/>
                                <w:spacing w:val="-5"/>
                              </w:rPr>
                              <w:t xml:space="preserve"> </w:t>
                            </w:r>
                            <w:r w:rsidRPr="008619C4">
                              <w:rPr>
                                <w:color w:val="000000"/>
                              </w:rPr>
                              <w:t>highest</w:t>
                            </w:r>
                            <w:r w:rsidRPr="008619C4">
                              <w:rPr>
                                <w:color w:val="000000"/>
                                <w:spacing w:val="-5"/>
                              </w:rPr>
                              <w:t xml:space="preserve"> </w:t>
                            </w:r>
                            <w:r w:rsidRPr="008619C4">
                              <w:rPr>
                                <w:color w:val="000000"/>
                              </w:rPr>
                              <w:t>estimated</w:t>
                            </w:r>
                            <w:r w:rsidRPr="008619C4">
                              <w:rPr>
                                <w:color w:val="000000"/>
                                <w:spacing w:val="-5"/>
                              </w:rPr>
                              <w:t xml:space="preserve"> </w:t>
                            </w:r>
                            <w:r w:rsidRPr="008619C4">
                              <w:rPr>
                                <w:b/>
                                <w:color w:val="000000"/>
                              </w:rPr>
                              <w:t>sunscreen</w:t>
                            </w:r>
                            <w:r w:rsidRPr="008619C4">
                              <w:rPr>
                                <w:b/>
                                <w:color w:val="000000"/>
                                <w:spacing w:val="-4"/>
                              </w:rPr>
                              <w:t xml:space="preserve"> </w:t>
                            </w:r>
                            <w:r w:rsidRPr="008619C4">
                              <w:rPr>
                                <w:b/>
                                <w:color w:val="000000"/>
                              </w:rPr>
                              <w:t>exposure as</w:t>
                            </w:r>
                            <w:r w:rsidRPr="008619C4">
                              <w:rPr>
                                <w:b/>
                                <w:color w:val="000000"/>
                                <w:spacing w:val="-3"/>
                              </w:rPr>
                              <w:t xml:space="preserve"> </w:t>
                            </w:r>
                            <w:r w:rsidRPr="008619C4">
                              <w:rPr>
                                <w:b/>
                                <w:color w:val="000000"/>
                              </w:rPr>
                              <w:t>a</w:t>
                            </w:r>
                            <w:r w:rsidRPr="008619C4">
                              <w:rPr>
                                <w:b/>
                                <w:color w:val="000000"/>
                                <w:spacing w:val="-3"/>
                              </w:rPr>
                              <w:t xml:space="preserve"> </w:t>
                            </w:r>
                            <w:r w:rsidRPr="008619C4">
                              <w:rPr>
                                <w:b/>
                                <w:color w:val="000000"/>
                              </w:rPr>
                              <w:t>proportion</w:t>
                            </w:r>
                            <w:r w:rsidRPr="008619C4">
                              <w:rPr>
                                <w:b/>
                                <w:color w:val="000000"/>
                                <w:spacing w:val="-2"/>
                              </w:rPr>
                              <w:t xml:space="preserve"> </w:t>
                            </w:r>
                            <w:r w:rsidRPr="008619C4">
                              <w:rPr>
                                <w:b/>
                                <w:color w:val="000000"/>
                              </w:rPr>
                              <w:t>of</w:t>
                            </w:r>
                            <w:r w:rsidRPr="008619C4">
                              <w:rPr>
                                <w:b/>
                                <w:color w:val="000000"/>
                                <w:spacing w:val="-2"/>
                              </w:rPr>
                              <w:t xml:space="preserve"> </w:t>
                            </w:r>
                            <w:r w:rsidRPr="008619C4">
                              <w:rPr>
                                <w:b/>
                                <w:color w:val="000000"/>
                              </w:rPr>
                              <w:t>kg</w:t>
                            </w:r>
                            <w:r w:rsidRPr="008619C4">
                              <w:rPr>
                                <w:b/>
                                <w:color w:val="000000"/>
                                <w:spacing w:val="-2"/>
                              </w:rPr>
                              <w:t xml:space="preserve"> </w:t>
                            </w:r>
                            <w:r w:rsidRPr="008619C4">
                              <w:rPr>
                                <w:b/>
                                <w:color w:val="000000"/>
                              </w:rPr>
                              <w:t>body</w:t>
                            </w:r>
                            <w:r w:rsidRPr="008619C4">
                              <w:rPr>
                                <w:b/>
                                <w:color w:val="000000"/>
                                <w:spacing w:val="-3"/>
                              </w:rPr>
                              <w:t xml:space="preserve"> </w:t>
                            </w:r>
                            <w:r w:rsidRPr="008619C4">
                              <w:rPr>
                                <w:b/>
                                <w:color w:val="000000"/>
                              </w:rPr>
                              <w:t>weight</w:t>
                            </w:r>
                            <w:r w:rsidRPr="008619C4">
                              <w:rPr>
                                <w:b/>
                                <w:color w:val="000000"/>
                                <w:spacing w:val="-2"/>
                              </w:rPr>
                              <w:t xml:space="preserve"> </w:t>
                            </w:r>
                            <w:r w:rsidRPr="008619C4">
                              <w:rPr>
                                <w:b/>
                                <w:color w:val="000000"/>
                              </w:rPr>
                              <w:t>per</w:t>
                            </w:r>
                            <w:r w:rsidRPr="008619C4">
                              <w:rPr>
                                <w:b/>
                                <w:color w:val="000000"/>
                                <w:spacing w:val="-4"/>
                              </w:rPr>
                              <w:t xml:space="preserve"> </w:t>
                            </w:r>
                            <w:r w:rsidRPr="008619C4">
                              <w:rPr>
                                <w:b/>
                                <w:color w:val="000000"/>
                              </w:rPr>
                              <w:t>day</w:t>
                            </w:r>
                            <w:r w:rsidRPr="008619C4">
                              <w:rPr>
                                <w:color w:val="000000"/>
                              </w:rPr>
                              <w:t>,</w:t>
                            </w:r>
                            <w:r w:rsidRPr="008619C4">
                              <w:rPr>
                                <w:color w:val="000000"/>
                                <w:spacing w:val="-3"/>
                              </w:rPr>
                              <w:t xml:space="preserve"> </w:t>
                            </w:r>
                            <w:r w:rsidRPr="008619C4">
                              <w:rPr>
                                <w:color w:val="000000"/>
                              </w:rPr>
                              <w:t>risk</w:t>
                            </w:r>
                            <w:r w:rsidRPr="008619C4">
                              <w:rPr>
                                <w:color w:val="000000"/>
                                <w:spacing w:val="-2"/>
                              </w:rPr>
                              <w:t xml:space="preserve"> </w:t>
                            </w:r>
                            <w:r w:rsidRPr="008619C4">
                              <w:rPr>
                                <w:color w:val="000000"/>
                              </w:rPr>
                              <w:t>assessments</w:t>
                            </w:r>
                            <w:r w:rsidRPr="007F4EFD">
                              <w:rPr>
                                <w:color w:val="000000"/>
                              </w:rPr>
                              <w:t xml:space="preserve"> </w:t>
                            </w:r>
                            <w:r w:rsidRPr="008619C4">
                              <w:rPr>
                                <w:color w:val="000000"/>
                              </w:rPr>
                              <w:t>using</w:t>
                            </w:r>
                            <w:r w:rsidRPr="007F4EFD">
                              <w:rPr>
                                <w:color w:val="000000"/>
                              </w:rPr>
                              <w:t xml:space="preserve"> </w:t>
                            </w:r>
                            <w:r w:rsidRPr="008619C4">
                              <w:rPr>
                                <w:color w:val="000000"/>
                              </w:rPr>
                              <w:t>the</w:t>
                            </w:r>
                            <w:r w:rsidRPr="007F4EFD">
                              <w:rPr>
                                <w:color w:val="000000"/>
                              </w:rPr>
                              <w:t xml:space="preserve"> </w:t>
                            </w:r>
                            <w:hyperlink w:anchor="SED" w:history="1">
                              <w:r w:rsidRPr="007F4EFD">
                                <w:rPr>
                                  <w:color w:val="000000"/>
                                </w:rPr>
                                <w:t>SED</w:t>
                              </w:r>
                            </w:hyperlink>
                            <w:r w:rsidRPr="007F4EFD">
                              <w:rPr>
                                <w:color w:val="000000"/>
                              </w:rPr>
                              <w:t xml:space="preserve"> </w:t>
                            </w:r>
                            <w:r w:rsidRPr="008619C4">
                              <w:rPr>
                                <w:color w:val="000000"/>
                              </w:rPr>
                              <w:t xml:space="preserve">and </w:t>
                            </w:r>
                            <w:hyperlink w:anchor="Marginofsafety" w:history="1">
                              <w:r w:rsidRPr="007F4EFD">
                                <w:rPr>
                                  <w:color w:val="000000"/>
                                </w:rPr>
                                <w:t>MoS</w:t>
                              </w:r>
                            </w:hyperlink>
                            <w:r w:rsidRPr="007F4EFD">
                              <w:rPr>
                                <w:color w:val="000000"/>
                              </w:rPr>
                              <w:t xml:space="preserve"> </w:t>
                            </w:r>
                            <w:r w:rsidRPr="008619C4">
                              <w:rPr>
                                <w:color w:val="000000"/>
                              </w:rPr>
                              <w:t>calculations</w:t>
                            </w:r>
                            <w:r w:rsidRPr="007F4EFD">
                              <w:rPr>
                                <w:color w:val="000000"/>
                              </w:rPr>
                              <w:t xml:space="preserve"> </w:t>
                            </w:r>
                            <w:r w:rsidRPr="008619C4">
                              <w:rPr>
                                <w:color w:val="000000"/>
                              </w:rPr>
                              <w:t>can</w:t>
                            </w:r>
                            <w:r w:rsidRPr="007F4EFD">
                              <w:rPr>
                                <w:color w:val="000000"/>
                              </w:rPr>
                              <w:t xml:space="preserve"> </w:t>
                            </w:r>
                            <w:r w:rsidRPr="008619C4">
                              <w:rPr>
                                <w:color w:val="000000"/>
                              </w:rPr>
                              <w:t>be</w:t>
                            </w:r>
                            <w:r w:rsidRPr="007F4EFD">
                              <w:rPr>
                                <w:color w:val="000000"/>
                              </w:rPr>
                              <w:t xml:space="preserve"> </w:t>
                            </w:r>
                            <w:r w:rsidRPr="008619C4">
                              <w:rPr>
                                <w:color w:val="000000"/>
                              </w:rPr>
                              <w:t>conducted</w:t>
                            </w:r>
                            <w:r w:rsidRPr="007F4EFD">
                              <w:rPr>
                                <w:color w:val="000000"/>
                              </w:rPr>
                              <w:t xml:space="preserve"> </w:t>
                            </w:r>
                            <w:r w:rsidRPr="008619C4">
                              <w:rPr>
                                <w:color w:val="000000"/>
                              </w:rPr>
                              <w:t>using</w:t>
                            </w:r>
                            <w:r w:rsidRPr="007F4EFD">
                              <w:rPr>
                                <w:color w:val="000000"/>
                              </w:rPr>
                              <w:t xml:space="preserve"> </w:t>
                            </w:r>
                            <w:r w:rsidRPr="008619C4">
                              <w:rPr>
                                <w:color w:val="000000"/>
                              </w:rPr>
                              <w:t>this</w:t>
                            </w:r>
                            <w:r w:rsidRPr="007F4EFD">
                              <w:rPr>
                                <w:color w:val="000000"/>
                              </w:rPr>
                              <w:t xml:space="preserve"> </w:t>
                            </w:r>
                            <w:r w:rsidRPr="008619C4">
                              <w:rPr>
                                <w:color w:val="000000"/>
                              </w:rPr>
                              <w:t>value</w:t>
                            </w:r>
                            <w:r w:rsidRPr="007F4EFD">
                              <w:rPr>
                                <w:color w:val="000000"/>
                              </w:rPr>
                              <w:t xml:space="preserve"> </w:t>
                            </w:r>
                            <w:r w:rsidRPr="008619C4">
                              <w:rPr>
                                <w:color w:val="000000"/>
                              </w:rPr>
                              <w:t>to</w:t>
                            </w:r>
                            <w:r w:rsidRPr="007F4EFD">
                              <w:rPr>
                                <w:color w:val="000000"/>
                              </w:rPr>
                              <w:t xml:space="preserve"> </w:t>
                            </w:r>
                            <w:r w:rsidRPr="008619C4">
                              <w:rPr>
                                <w:color w:val="000000"/>
                              </w:rPr>
                              <w:t>account</w:t>
                            </w:r>
                            <w:r w:rsidRPr="007F4EFD">
                              <w:rPr>
                                <w:color w:val="000000"/>
                              </w:rPr>
                              <w:t xml:space="preserve"> </w:t>
                            </w:r>
                            <w:r w:rsidRPr="008619C4">
                              <w:rPr>
                                <w:color w:val="000000"/>
                              </w:rPr>
                              <w:t>for</w:t>
                            </w:r>
                            <w:r w:rsidRPr="007F4EFD">
                              <w:rPr>
                                <w:color w:val="000000"/>
                              </w:rPr>
                              <w:t xml:space="preserve"> </w:t>
                            </w:r>
                            <w:r w:rsidRPr="008619C4">
                              <w:rPr>
                                <w:color w:val="000000"/>
                              </w:rPr>
                              <w:t>any</w:t>
                            </w:r>
                            <w:r w:rsidRPr="007F4EFD">
                              <w:rPr>
                                <w:color w:val="000000"/>
                              </w:rPr>
                              <w:t xml:space="preserve"> </w:t>
                            </w:r>
                            <w:r w:rsidRPr="008619C4">
                              <w:rPr>
                                <w:color w:val="000000"/>
                              </w:rPr>
                              <w:t>body</w:t>
                            </w:r>
                            <w:r w:rsidRPr="007F4EFD">
                              <w:rPr>
                                <w:color w:val="000000"/>
                              </w:rPr>
                              <w:t xml:space="preserve"> </w:t>
                            </w:r>
                            <w:r w:rsidRPr="008619C4">
                              <w:rPr>
                                <w:color w:val="000000"/>
                              </w:rPr>
                              <w:t>weight (i.e. accounting for adults or children). This approach ensures that our risk assessment comprehensively cover the highest exposure for all Australians and ensure</w:t>
                            </w:r>
                            <w:r w:rsidRPr="007F4EFD">
                              <w:rPr>
                                <w:color w:val="000000"/>
                              </w:rPr>
                              <w:t xml:space="preserve"> </w:t>
                            </w:r>
                            <w:r w:rsidRPr="008619C4">
                              <w:rPr>
                                <w:color w:val="000000"/>
                              </w:rPr>
                              <w:t>ingredients</w:t>
                            </w:r>
                            <w:r w:rsidRPr="007F4EFD">
                              <w:rPr>
                                <w:color w:val="000000"/>
                              </w:rPr>
                              <w:t xml:space="preserve"> </w:t>
                            </w:r>
                            <w:r w:rsidRPr="008619C4">
                              <w:rPr>
                                <w:color w:val="000000"/>
                              </w:rPr>
                              <w:t>are</w:t>
                            </w:r>
                            <w:r w:rsidRPr="007F4EFD">
                              <w:rPr>
                                <w:color w:val="000000"/>
                              </w:rPr>
                              <w:t xml:space="preserve"> </w:t>
                            </w:r>
                            <w:r w:rsidRPr="008619C4">
                              <w:rPr>
                                <w:color w:val="000000"/>
                              </w:rPr>
                              <w:t>safe to</w:t>
                            </w:r>
                            <w:r w:rsidRPr="007F4EFD">
                              <w:rPr>
                                <w:color w:val="000000"/>
                              </w:rPr>
                              <w:t xml:space="preserve"> </w:t>
                            </w:r>
                            <w:r w:rsidRPr="008619C4">
                              <w:rPr>
                                <w:color w:val="000000"/>
                              </w:rPr>
                              <w:t>be</w:t>
                            </w:r>
                            <w:r w:rsidRPr="008619C4">
                              <w:rPr>
                                <w:color w:val="000000"/>
                                <w:spacing w:val="-2"/>
                              </w:rPr>
                              <w:t xml:space="preserve"> </w:t>
                            </w:r>
                            <w:r w:rsidRPr="008619C4">
                              <w:rPr>
                                <w:color w:val="000000"/>
                              </w:rPr>
                              <w:t>used by</w:t>
                            </w:r>
                            <w:r w:rsidRPr="008619C4">
                              <w:rPr>
                                <w:color w:val="000000"/>
                                <w:spacing w:val="-1"/>
                              </w:rPr>
                              <w:t xml:space="preserve"> </w:t>
                            </w:r>
                            <w:r w:rsidRPr="008619C4">
                              <w:rPr>
                                <w:color w:val="000000"/>
                              </w:rPr>
                              <w:t>everyone,</w:t>
                            </w:r>
                            <w:r w:rsidRPr="008619C4">
                              <w:rPr>
                                <w:color w:val="000000"/>
                                <w:spacing w:val="-2"/>
                              </w:rPr>
                              <w:t xml:space="preserve"> </w:t>
                            </w:r>
                            <w:r w:rsidRPr="008619C4">
                              <w:rPr>
                                <w:color w:val="000000"/>
                              </w:rPr>
                              <w:t>no</w:t>
                            </w:r>
                            <w:r w:rsidRPr="008619C4">
                              <w:rPr>
                                <w:color w:val="000000"/>
                                <w:spacing w:val="-2"/>
                              </w:rPr>
                              <w:t xml:space="preserve"> </w:t>
                            </w:r>
                            <w:r w:rsidRPr="008619C4">
                              <w:rPr>
                                <w:color w:val="000000"/>
                              </w:rPr>
                              <w:t>matter</w:t>
                            </w:r>
                            <w:r w:rsidRPr="008619C4">
                              <w:rPr>
                                <w:color w:val="000000"/>
                                <w:spacing w:val="-1"/>
                              </w:rPr>
                              <w:t xml:space="preserve"> </w:t>
                            </w:r>
                            <w:r w:rsidRPr="008619C4">
                              <w:rPr>
                                <w:color w:val="000000"/>
                              </w:rPr>
                              <w:t>their</w:t>
                            </w:r>
                            <w:r w:rsidRPr="008619C4">
                              <w:rPr>
                                <w:color w:val="000000"/>
                                <w:spacing w:val="-1"/>
                              </w:rPr>
                              <w:t xml:space="preserve"> </w:t>
                            </w:r>
                            <w:r w:rsidRPr="008619C4">
                              <w:rPr>
                                <w:color w:val="000000"/>
                              </w:rPr>
                              <w:t>age, weight, or outdoor activity.</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295CB" id="Textbox 75" o:spid="_x0000_s1028" type="#_x0000_t202" style="position:absolute;margin-left:126.45pt;margin-top:225.8pt;width:388.2pt;height:103.9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" fillcolor="#eaeaea" stroked="f">
                <v:textbox inset="0,0,0,0">
                  <w:txbxContent>
                    <w:p w14:paraId="75B6235A" w14:textId="7BD8A35F" w:rsidR="00151B4C" w:rsidRDefault="00151B4C" w:rsidP="00151B4C">
                      <w:pPr>
                        <w:pStyle w:val="BodyText"/>
                        <w:spacing w:before="170" w:line="259" w:lineRule="auto"/>
                        <w:ind w:left="170" w:right="191"/>
                        <w:rPr>
                          <w:color w:val="000000"/>
                        </w:rPr>
                      </w:pPr>
                      <w:r w:rsidRPr="008619C4">
                        <w:rPr>
                          <w:color w:val="000000"/>
                        </w:rPr>
                        <w:t>Because</w:t>
                      </w:r>
                      <w:r w:rsidRPr="008619C4">
                        <w:rPr>
                          <w:color w:val="000000"/>
                          <w:spacing w:val="-5"/>
                        </w:rPr>
                        <w:t xml:space="preserve"> </w:t>
                      </w:r>
                      <w:r w:rsidRPr="008619C4">
                        <w:rPr>
                          <w:color w:val="000000"/>
                        </w:rPr>
                        <w:t>the</w:t>
                      </w:r>
                      <w:r w:rsidRPr="008619C4">
                        <w:rPr>
                          <w:color w:val="000000"/>
                          <w:spacing w:val="-5"/>
                        </w:rPr>
                        <w:t xml:space="preserve"> </w:t>
                      </w:r>
                      <w:r w:rsidRPr="008619C4">
                        <w:rPr>
                          <w:color w:val="000000"/>
                        </w:rPr>
                        <w:t>ASEM</w:t>
                      </w:r>
                      <w:r w:rsidRPr="008619C4">
                        <w:rPr>
                          <w:color w:val="000000"/>
                          <w:spacing w:val="-6"/>
                        </w:rPr>
                        <w:t xml:space="preserve"> </w:t>
                      </w:r>
                      <w:r w:rsidRPr="008619C4">
                        <w:rPr>
                          <w:color w:val="000000"/>
                        </w:rPr>
                        <w:t>formula</w:t>
                      </w:r>
                      <w:r w:rsidRPr="008619C4">
                        <w:rPr>
                          <w:color w:val="000000"/>
                          <w:spacing w:val="-6"/>
                        </w:rPr>
                        <w:t xml:space="preserve"> </w:t>
                      </w:r>
                      <w:r w:rsidRPr="008619C4">
                        <w:rPr>
                          <w:color w:val="000000"/>
                        </w:rPr>
                        <w:t>calculates</w:t>
                      </w:r>
                      <w:r w:rsidRPr="008619C4">
                        <w:rPr>
                          <w:color w:val="000000"/>
                          <w:spacing w:val="-5"/>
                        </w:rPr>
                        <w:t xml:space="preserve"> </w:t>
                      </w:r>
                      <w:r w:rsidRPr="008619C4">
                        <w:rPr>
                          <w:color w:val="000000"/>
                        </w:rPr>
                        <w:t>the</w:t>
                      </w:r>
                      <w:r w:rsidRPr="008619C4">
                        <w:rPr>
                          <w:color w:val="000000"/>
                          <w:spacing w:val="-5"/>
                        </w:rPr>
                        <w:t xml:space="preserve"> </w:t>
                      </w:r>
                      <w:r w:rsidRPr="008619C4">
                        <w:rPr>
                          <w:color w:val="000000"/>
                        </w:rPr>
                        <w:t>highest</w:t>
                      </w:r>
                      <w:r w:rsidRPr="008619C4">
                        <w:rPr>
                          <w:color w:val="000000"/>
                          <w:spacing w:val="-5"/>
                        </w:rPr>
                        <w:t xml:space="preserve"> </w:t>
                      </w:r>
                      <w:r w:rsidRPr="008619C4">
                        <w:rPr>
                          <w:color w:val="000000"/>
                        </w:rPr>
                        <w:t>estimated</w:t>
                      </w:r>
                      <w:r w:rsidRPr="008619C4">
                        <w:rPr>
                          <w:color w:val="000000"/>
                          <w:spacing w:val="-5"/>
                        </w:rPr>
                        <w:t xml:space="preserve"> </w:t>
                      </w:r>
                      <w:r w:rsidRPr="008619C4">
                        <w:rPr>
                          <w:b/>
                          <w:color w:val="000000"/>
                        </w:rPr>
                        <w:t>sunscreen</w:t>
                      </w:r>
                      <w:r w:rsidRPr="008619C4">
                        <w:rPr>
                          <w:b/>
                          <w:color w:val="000000"/>
                          <w:spacing w:val="-4"/>
                        </w:rPr>
                        <w:t xml:space="preserve"> </w:t>
                      </w:r>
                      <w:r w:rsidRPr="008619C4">
                        <w:rPr>
                          <w:b/>
                          <w:color w:val="000000"/>
                        </w:rPr>
                        <w:t>exposure as</w:t>
                      </w:r>
                      <w:r w:rsidRPr="008619C4">
                        <w:rPr>
                          <w:b/>
                          <w:color w:val="000000"/>
                          <w:spacing w:val="-3"/>
                        </w:rPr>
                        <w:t xml:space="preserve"> </w:t>
                      </w:r>
                      <w:r w:rsidRPr="008619C4">
                        <w:rPr>
                          <w:b/>
                          <w:color w:val="000000"/>
                        </w:rPr>
                        <w:t>a</w:t>
                      </w:r>
                      <w:r w:rsidRPr="008619C4">
                        <w:rPr>
                          <w:b/>
                          <w:color w:val="000000"/>
                          <w:spacing w:val="-3"/>
                        </w:rPr>
                        <w:t xml:space="preserve"> </w:t>
                      </w:r>
                      <w:r w:rsidRPr="008619C4">
                        <w:rPr>
                          <w:b/>
                          <w:color w:val="000000"/>
                        </w:rPr>
                        <w:t>proportion</w:t>
                      </w:r>
                      <w:r w:rsidRPr="008619C4">
                        <w:rPr>
                          <w:b/>
                          <w:color w:val="000000"/>
                          <w:spacing w:val="-2"/>
                        </w:rPr>
                        <w:t xml:space="preserve"> </w:t>
                      </w:r>
                      <w:r w:rsidRPr="008619C4">
                        <w:rPr>
                          <w:b/>
                          <w:color w:val="000000"/>
                        </w:rPr>
                        <w:t>of</w:t>
                      </w:r>
                      <w:r w:rsidRPr="008619C4">
                        <w:rPr>
                          <w:b/>
                          <w:color w:val="000000"/>
                          <w:spacing w:val="-2"/>
                        </w:rPr>
                        <w:t xml:space="preserve"> </w:t>
                      </w:r>
                      <w:r w:rsidRPr="008619C4">
                        <w:rPr>
                          <w:b/>
                          <w:color w:val="000000"/>
                        </w:rPr>
                        <w:t>kg</w:t>
                      </w:r>
                      <w:r w:rsidRPr="008619C4">
                        <w:rPr>
                          <w:b/>
                          <w:color w:val="000000"/>
                          <w:spacing w:val="-2"/>
                        </w:rPr>
                        <w:t xml:space="preserve"> </w:t>
                      </w:r>
                      <w:r w:rsidRPr="008619C4">
                        <w:rPr>
                          <w:b/>
                          <w:color w:val="000000"/>
                        </w:rPr>
                        <w:t>body</w:t>
                      </w:r>
                      <w:r w:rsidRPr="008619C4">
                        <w:rPr>
                          <w:b/>
                          <w:color w:val="000000"/>
                          <w:spacing w:val="-3"/>
                        </w:rPr>
                        <w:t xml:space="preserve"> </w:t>
                      </w:r>
                      <w:r w:rsidRPr="008619C4">
                        <w:rPr>
                          <w:b/>
                          <w:color w:val="000000"/>
                        </w:rPr>
                        <w:t>weight</w:t>
                      </w:r>
                      <w:r w:rsidRPr="008619C4">
                        <w:rPr>
                          <w:b/>
                          <w:color w:val="000000"/>
                          <w:spacing w:val="-2"/>
                        </w:rPr>
                        <w:t xml:space="preserve"> </w:t>
                      </w:r>
                      <w:r w:rsidRPr="008619C4">
                        <w:rPr>
                          <w:b/>
                          <w:color w:val="000000"/>
                        </w:rPr>
                        <w:t>per</w:t>
                      </w:r>
                      <w:r w:rsidRPr="008619C4">
                        <w:rPr>
                          <w:b/>
                          <w:color w:val="000000"/>
                          <w:spacing w:val="-4"/>
                        </w:rPr>
                        <w:t xml:space="preserve"> </w:t>
                      </w:r>
                      <w:r w:rsidRPr="008619C4">
                        <w:rPr>
                          <w:b/>
                          <w:color w:val="000000"/>
                        </w:rPr>
                        <w:t>day</w:t>
                      </w:r>
                      <w:r w:rsidRPr="008619C4">
                        <w:rPr>
                          <w:color w:val="000000"/>
                        </w:rPr>
                        <w:t>,</w:t>
                      </w:r>
                      <w:r w:rsidRPr="008619C4">
                        <w:rPr>
                          <w:color w:val="000000"/>
                          <w:spacing w:val="-3"/>
                        </w:rPr>
                        <w:t xml:space="preserve"> </w:t>
                      </w:r>
                      <w:r w:rsidRPr="008619C4">
                        <w:rPr>
                          <w:color w:val="000000"/>
                        </w:rPr>
                        <w:t>risk</w:t>
                      </w:r>
                      <w:r w:rsidRPr="008619C4">
                        <w:rPr>
                          <w:color w:val="000000"/>
                          <w:spacing w:val="-2"/>
                        </w:rPr>
                        <w:t xml:space="preserve"> </w:t>
                      </w:r>
                      <w:r w:rsidRPr="008619C4">
                        <w:rPr>
                          <w:color w:val="000000"/>
                        </w:rPr>
                        <w:t>assessments</w:t>
                      </w:r>
                      <w:r w:rsidRPr="007F4EFD">
                        <w:rPr>
                          <w:color w:val="000000"/>
                        </w:rPr>
                        <w:t xml:space="preserve"> </w:t>
                      </w:r>
                      <w:r w:rsidRPr="008619C4">
                        <w:rPr>
                          <w:color w:val="000000"/>
                        </w:rPr>
                        <w:t>using</w:t>
                      </w:r>
                      <w:r w:rsidRPr="007F4EFD">
                        <w:rPr>
                          <w:color w:val="000000"/>
                        </w:rPr>
                        <w:t xml:space="preserve"> </w:t>
                      </w:r>
                      <w:r w:rsidRPr="008619C4">
                        <w:rPr>
                          <w:color w:val="000000"/>
                        </w:rPr>
                        <w:t>the</w:t>
                      </w:r>
                      <w:r w:rsidRPr="007F4EFD">
                        <w:rPr>
                          <w:color w:val="000000"/>
                        </w:rPr>
                        <w:t xml:space="preserve"> </w:t>
                      </w:r>
                      <w:hyperlink w:anchor="SED" w:history="1">
                        <w:r w:rsidRPr="007F4EFD">
                          <w:rPr>
                            <w:color w:val="000000"/>
                          </w:rPr>
                          <w:t>SED</w:t>
                        </w:r>
                      </w:hyperlink>
                      <w:r w:rsidRPr="007F4EFD">
                        <w:rPr>
                          <w:color w:val="000000"/>
                        </w:rPr>
                        <w:t xml:space="preserve"> </w:t>
                      </w:r>
                      <w:r w:rsidRPr="008619C4">
                        <w:rPr>
                          <w:color w:val="000000"/>
                        </w:rPr>
                        <w:t xml:space="preserve">and </w:t>
                      </w:r>
                      <w:hyperlink w:anchor="Marginofsafety" w:history="1">
                        <w:r w:rsidRPr="007F4EFD">
                          <w:rPr>
                            <w:color w:val="000000"/>
                          </w:rPr>
                          <w:t>MoS</w:t>
                        </w:r>
                      </w:hyperlink>
                      <w:r w:rsidRPr="007F4EFD">
                        <w:rPr>
                          <w:color w:val="000000"/>
                        </w:rPr>
                        <w:t xml:space="preserve"> </w:t>
                      </w:r>
                      <w:r w:rsidRPr="008619C4">
                        <w:rPr>
                          <w:color w:val="000000"/>
                        </w:rPr>
                        <w:t>calculations</w:t>
                      </w:r>
                      <w:r w:rsidRPr="007F4EFD">
                        <w:rPr>
                          <w:color w:val="000000"/>
                        </w:rPr>
                        <w:t xml:space="preserve"> </w:t>
                      </w:r>
                      <w:r w:rsidRPr="008619C4">
                        <w:rPr>
                          <w:color w:val="000000"/>
                        </w:rPr>
                        <w:t>can</w:t>
                      </w:r>
                      <w:r w:rsidRPr="007F4EFD">
                        <w:rPr>
                          <w:color w:val="000000"/>
                        </w:rPr>
                        <w:t xml:space="preserve"> </w:t>
                      </w:r>
                      <w:r w:rsidRPr="008619C4">
                        <w:rPr>
                          <w:color w:val="000000"/>
                        </w:rPr>
                        <w:t>be</w:t>
                      </w:r>
                      <w:r w:rsidRPr="007F4EFD">
                        <w:rPr>
                          <w:color w:val="000000"/>
                        </w:rPr>
                        <w:t xml:space="preserve"> </w:t>
                      </w:r>
                      <w:r w:rsidRPr="008619C4">
                        <w:rPr>
                          <w:color w:val="000000"/>
                        </w:rPr>
                        <w:t>conducted</w:t>
                      </w:r>
                      <w:r w:rsidRPr="007F4EFD">
                        <w:rPr>
                          <w:color w:val="000000"/>
                        </w:rPr>
                        <w:t xml:space="preserve"> </w:t>
                      </w:r>
                      <w:r w:rsidRPr="008619C4">
                        <w:rPr>
                          <w:color w:val="000000"/>
                        </w:rPr>
                        <w:t>using</w:t>
                      </w:r>
                      <w:r w:rsidRPr="007F4EFD">
                        <w:rPr>
                          <w:color w:val="000000"/>
                        </w:rPr>
                        <w:t xml:space="preserve"> </w:t>
                      </w:r>
                      <w:r w:rsidRPr="008619C4">
                        <w:rPr>
                          <w:color w:val="000000"/>
                        </w:rPr>
                        <w:t>this</w:t>
                      </w:r>
                      <w:r w:rsidRPr="007F4EFD">
                        <w:rPr>
                          <w:color w:val="000000"/>
                        </w:rPr>
                        <w:t xml:space="preserve"> </w:t>
                      </w:r>
                      <w:r w:rsidRPr="008619C4">
                        <w:rPr>
                          <w:color w:val="000000"/>
                        </w:rPr>
                        <w:t>value</w:t>
                      </w:r>
                      <w:r w:rsidRPr="007F4EFD">
                        <w:rPr>
                          <w:color w:val="000000"/>
                        </w:rPr>
                        <w:t xml:space="preserve"> </w:t>
                      </w:r>
                      <w:r w:rsidRPr="008619C4">
                        <w:rPr>
                          <w:color w:val="000000"/>
                        </w:rPr>
                        <w:t>to</w:t>
                      </w:r>
                      <w:r w:rsidRPr="007F4EFD">
                        <w:rPr>
                          <w:color w:val="000000"/>
                        </w:rPr>
                        <w:t xml:space="preserve"> </w:t>
                      </w:r>
                      <w:r w:rsidRPr="008619C4">
                        <w:rPr>
                          <w:color w:val="000000"/>
                        </w:rPr>
                        <w:t>account</w:t>
                      </w:r>
                      <w:r w:rsidRPr="007F4EFD">
                        <w:rPr>
                          <w:color w:val="000000"/>
                        </w:rPr>
                        <w:t xml:space="preserve"> </w:t>
                      </w:r>
                      <w:r w:rsidRPr="008619C4">
                        <w:rPr>
                          <w:color w:val="000000"/>
                        </w:rPr>
                        <w:t>for</w:t>
                      </w:r>
                      <w:r w:rsidRPr="007F4EFD">
                        <w:rPr>
                          <w:color w:val="000000"/>
                        </w:rPr>
                        <w:t xml:space="preserve"> </w:t>
                      </w:r>
                      <w:r w:rsidRPr="008619C4">
                        <w:rPr>
                          <w:color w:val="000000"/>
                        </w:rPr>
                        <w:t>any</w:t>
                      </w:r>
                      <w:r w:rsidRPr="007F4EFD">
                        <w:rPr>
                          <w:color w:val="000000"/>
                        </w:rPr>
                        <w:t xml:space="preserve"> </w:t>
                      </w:r>
                      <w:r w:rsidRPr="008619C4">
                        <w:rPr>
                          <w:color w:val="000000"/>
                        </w:rPr>
                        <w:t>body</w:t>
                      </w:r>
                      <w:r w:rsidRPr="007F4EFD">
                        <w:rPr>
                          <w:color w:val="000000"/>
                        </w:rPr>
                        <w:t xml:space="preserve"> </w:t>
                      </w:r>
                      <w:r w:rsidRPr="008619C4">
                        <w:rPr>
                          <w:color w:val="000000"/>
                        </w:rPr>
                        <w:t>weight (i.e. accounting for adults or children). This approach ensures that our risk assessment comprehensively cover the highest exposure for all Australians and ensure</w:t>
                      </w:r>
                      <w:r w:rsidRPr="007F4EFD">
                        <w:rPr>
                          <w:color w:val="000000"/>
                        </w:rPr>
                        <w:t xml:space="preserve"> </w:t>
                      </w:r>
                      <w:r w:rsidRPr="008619C4">
                        <w:rPr>
                          <w:color w:val="000000"/>
                        </w:rPr>
                        <w:t>ingredients</w:t>
                      </w:r>
                      <w:r w:rsidRPr="007F4EFD">
                        <w:rPr>
                          <w:color w:val="000000"/>
                        </w:rPr>
                        <w:t xml:space="preserve"> </w:t>
                      </w:r>
                      <w:r w:rsidRPr="008619C4">
                        <w:rPr>
                          <w:color w:val="000000"/>
                        </w:rPr>
                        <w:t>are</w:t>
                      </w:r>
                      <w:r w:rsidRPr="007F4EFD">
                        <w:rPr>
                          <w:color w:val="000000"/>
                        </w:rPr>
                        <w:t xml:space="preserve"> </w:t>
                      </w:r>
                      <w:r w:rsidRPr="008619C4">
                        <w:rPr>
                          <w:color w:val="000000"/>
                        </w:rPr>
                        <w:t>safe to</w:t>
                      </w:r>
                      <w:r w:rsidRPr="007F4EFD">
                        <w:rPr>
                          <w:color w:val="000000"/>
                        </w:rPr>
                        <w:t xml:space="preserve"> </w:t>
                      </w:r>
                      <w:r w:rsidRPr="008619C4">
                        <w:rPr>
                          <w:color w:val="000000"/>
                        </w:rPr>
                        <w:t>be</w:t>
                      </w:r>
                      <w:r w:rsidRPr="008619C4">
                        <w:rPr>
                          <w:color w:val="000000"/>
                          <w:spacing w:val="-2"/>
                        </w:rPr>
                        <w:t xml:space="preserve"> </w:t>
                      </w:r>
                      <w:r w:rsidRPr="008619C4">
                        <w:rPr>
                          <w:color w:val="000000"/>
                        </w:rPr>
                        <w:t>used by</w:t>
                      </w:r>
                      <w:r w:rsidRPr="008619C4">
                        <w:rPr>
                          <w:color w:val="000000"/>
                          <w:spacing w:val="-1"/>
                        </w:rPr>
                        <w:t xml:space="preserve"> </w:t>
                      </w:r>
                      <w:r w:rsidRPr="008619C4">
                        <w:rPr>
                          <w:color w:val="000000"/>
                        </w:rPr>
                        <w:t>everyone,</w:t>
                      </w:r>
                      <w:r w:rsidRPr="008619C4">
                        <w:rPr>
                          <w:color w:val="000000"/>
                          <w:spacing w:val="-2"/>
                        </w:rPr>
                        <w:t xml:space="preserve"> </w:t>
                      </w:r>
                      <w:r w:rsidRPr="008619C4">
                        <w:rPr>
                          <w:color w:val="000000"/>
                        </w:rPr>
                        <w:t>no</w:t>
                      </w:r>
                      <w:r w:rsidRPr="008619C4">
                        <w:rPr>
                          <w:color w:val="000000"/>
                          <w:spacing w:val="-2"/>
                        </w:rPr>
                        <w:t xml:space="preserve"> </w:t>
                      </w:r>
                      <w:r w:rsidRPr="008619C4">
                        <w:rPr>
                          <w:color w:val="000000"/>
                        </w:rPr>
                        <w:t>matter</w:t>
                      </w:r>
                      <w:r w:rsidRPr="008619C4">
                        <w:rPr>
                          <w:color w:val="000000"/>
                          <w:spacing w:val="-1"/>
                        </w:rPr>
                        <w:t xml:space="preserve"> </w:t>
                      </w:r>
                      <w:r w:rsidRPr="008619C4">
                        <w:rPr>
                          <w:color w:val="000000"/>
                        </w:rPr>
                        <w:t>their</w:t>
                      </w:r>
                      <w:r w:rsidRPr="008619C4">
                        <w:rPr>
                          <w:color w:val="000000"/>
                          <w:spacing w:val="-1"/>
                        </w:rPr>
                        <w:t xml:space="preserve"> </w:t>
                      </w:r>
                      <w:r w:rsidRPr="008619C4">
                        <w:rPr>
                          <w:color w:val="000000"/>
                        </w:rPr>
                        <w:t>age, weight, or outdoor activity.</w:t>
                      </w:r>
                    </w:p>
                  </w:txbxContent>
                </v:textbox>
                <w10:wrap type="topAndBottom" anchorx="page"/>
              </v:shape>
            </w:pict>
          </mc:Fallback>
        </mc:AlternateContent>
      </w:r>
    </w:p>
    <w:p w14:paraId="3BB3D393" w14:textId="4450DCB1" w:rsidR="003E0984" w:rsidRDefault="003E0984" w:rsidP="007B4E17">
      <w:pPr>
        <w:pStyle w:val="Heading3"/>
      </w:pPr>
      <w:bookmarkStart w:id="102" w:name="_Toc184730584"/>
      <w:r>
        <w:t xml:space="preserve">Option 2 – </w:t>
      </w:r>
      <w:r w:rsidR="0049295B" w:rsidRPr="00F615F7">
        <w:t xml:space="preserve">Scientific Committee on Consumer Safety </w:t>
      </w:r>
      <w:r w:rsidR="0049295B">
        <w:t>(</w:t>
      </w:r>
      <w:r>
        <w:t>SCCS</w:t>
      </w:r>
      <w:r w:rsidR="0049295B">
        <w:t>)</w:t>
      </w:r>
      <w:r>
        <w:t xml:space="preserve"> </w:t>
      </w:r>
      <w:r w:rsidRPr="007B4E17">
        <w:t>sunscreen</w:t>
      </w:r>
      <w:r>
        <w:t xml:space="preserve"> exposure model</w:t>
      </w:r>
      <w:bookmarkEnd w:id="102"/>
    </w:p>
    <w:p w14:paraId="3B735832" w14:textId="7ABC3A7E" w:rsidR="00401CCC" w:rsidRDefault="00657EEC" w:rsidP="00401CCC">
      <w:pPr>
        <w:pStyle w:val="BodyText"/>
        <w:spacing w:before="119" w:line="259" w:lineRule="auto"/>
        <w:ind w:right="195"/>
        <w:jc w:val="both"/>
      </w:pPr>
      <w:r w:rsidRPr="00F615F7">
        <w:t>This option considers formally adopting the SCCS sunscreen exposure model, as outlined in the SCCS guidance for testing cosmetic ingredients 12</w:t>
      </w:r>
      <w:r w:rsidRPr="00F615F7">
        <w:rPr>
          <w:position w:val="6"/>
          <w:sz w:val="13"/>
        </w:rPr>
        <w:t>th</w:t>
      </w:r>
      <w:r w:rsidRPr="00F615F7">
        <w:rPr>
          <w:spacing w:val="40"/>
          <w:position w:val="6"/>
          <w:sz w:val="13"/>
        </w:rPr>
        <w:t xml:space="preserve"> </w:t>
      </w:r>
      <w:r w:rsidRPr="00F615F7">
        <w:t>revision</w:t>
      </w:r>
      <w:r w:rsidRPr="00F615F7">
        <w:rPr>
          <w:spacing w:val="-4"/>
        </w:rPr>
        <w:t xml:space="preserve"> </w:t>
      </w:r>
      <w:r w:rsidRPr="00F615F7">
        <w:t>(SCCS</w:t>
      </w:r>
      <w:r w:rsidRPr="00F615F7">
        <w:rPr>
          <w:spacing w:val="-5"/>
        </w:rPr>
        <w:t xml:space="preserve"> </w:t>
      </w:r>
      <w:r w:rsidRPr="00F615F7">
        <w:t>2023).</w:t>
      </w:r>
      <w:r w:rsidRPr="00F615F7">
        <w:rPr>
          <w:spacing w:val="-4"/>
        </w:rPr>
        <w:t xml:space="preserve"> </w:t>
      </w:r>
      <w:r w:rsidR="00401CCC">
        <w:t xml:space="preserve">The SCCS is a Comparable Overseas Body that the TGA recognises and relies upon for abridged risk assessments. </w:t>
      </w:r>
    </w:p>
    <w:p w14:paraId="10D9FE58" w14:textId="13D679E3" w:rsidR="00657EEC" w:rsidRPr="00F615F7" w:rsidRDefault="00657EEC" w:rsidP="00657EEC">
      <w:pPr>
        <w:pStyle w:val="BodyText"/>
        <w:spacing w:before="119" w:line="259" w:lineRule="auto"/>
        <w:ind w:right="161"/>
      </w:pPr>
      <w:r w:rsidRPr="00F615F7">
        <w:t>This model</w:t>
      </w:r>
      <w:r w:rsidRPr="00F615F7">
        <w:rPr>
          <w:spacing w:val="-3"/>
        </w:rPr>
        <w:t xml:space="preserve"> </w:t>
      </w:r>
      <w:r w:rsidRPr="00F615F7">
        <w:t>is</w:t>
      </w:r>
      <w:r w:rsidRPr="00F615F7">
        <w:rPr>
          <w:spacing w:val="-3"/>
        </w:rPr>
        <w:t xml:space="preserve"> </w:t>
      </w:r>
      <w:r w:rsidRPr="00F615F7">
        <w:t>recognised</w:t>
      </w:r>
      <w:r w:rsidRPr="00F615F7">
        <w:rPr>
          <w:spacing w:val="-2"/>
        </w:rPr>
        <w:t xml:space="preserve"> </w:t>
      </w:r>
      <w:r w:rsidRPr="00F615F7">
        <w:t>in</w:t>
      </w:r>
      <w:r w:rsidRPr="00F615F7">
        <w:rPr>
          <w:spacing w:val="-2"/>
        </w:rPr>
        <w:t xml:space="preserve"> </w:t>
      </w:r>
      <w:r w:rsidR="00401CCC">
        <w:t>many</w:t>
      </w:r>
      <w:r w:rsidR="00401CCC" w:rsidRPr="00F615F7">
        <w:rPr>
          <w:spacing w:val="-2"/>
        </w:rPr>
        <w:t xml:space="preserve"> </w:t>
      </w:r>
      <w:r w:rsidRPr="00F615F7">
        <w:t>international</w:t>
      </w:r>
      <w:r w:rsidRPr="00F615F7">
        <w:rPr>
          <w:spacing w:val="-3"/>
        </w:rPr>
        <w:t xml:space="preserve"> </w:t>
      </w:r>
      <w:r w:rsidRPr="00F615F7">
        <w:t>regions</w:t>
      </w:r>
      <w:r w:rsidRPr="00F615F7">
        <w:rPr>
          <w:spacing w:val="-3"/>
        </w:rPr>
        <w:t xml:space="preserve"> </w:t>
      </w:r>
      <w:r w:rsidRPr="00F615F7">
        <w:t>where</w:t>
      </w:r>
      <w:r w:rsidRPr="00F615F7">
        <w:rPr>
          <w:spacing w:val="-4"/>
        </w:rPr>
        <w:t xml:space="preserve"> </w:t>
      </w:r>
      <w:r w:rsidRPr="00F615F7">
        <w:t>sunscreens</w:t>
      </w:r>
      <w:r w:rsidRPr="00F615F7">
        <w:rPr>
          <w:spacing w:val="-3"/>
        </w:rPr>
        <w:t xml:space="preserve"> </w:t>
      </w:r>
      <w:r w:rsidRPr="00F615F7">
        <w:t>are regulated as cosmetics such as Europe and has been used in previous TGA assessments and submitted by sunscreen ingredient applicants.</w:t>
      </w:r>
    </w:p>
    <w:p w14:paraId="15FF2A32" w14:textId="77777777" w:rsidR="00657EEC" w:rsidRPr="00F615F7" w:rsidRDefault="00657EEC" w:rsidP="00657EEC">
      <w:pPr>
        <w:pStyle w:val="BodyText"/>
        <w:spacing w:before="119" w:line="259" w:lineRule="auto"/>
        <w:ind w:right="161"/>
      </w:pPr>
      <w:r w:rsidRPr="00F615F7">
        <w:t>This</w:t>
      </w:r>
      <w:r w:rsidRPr="00F615F7">
        <w:rPr>
          <w:spacing w:val="-3"/>
        </w:rPr>
        <w:t xml:space="preserve"> </w:t>
      </w:r>
      <w:r w:rsidRPr="00F615F7">
        <w:t>option</w:t>
      </w:r>
      <w:r w:rsidRPr="00F615F7">
        <w:rPr>
          <w:spacing w:val="-3"/>
        </w:rPr>
        <w:t xml:space="preserve"> </w:t>
      </w:r>
      <w:r w:rsidRPr="00F615F7">
        <w:t>is being</w:t>
      </w:r>
      <w:r w:rsidRPr="00F615F7">
        <w:rPr>
          <w:spacing w:val="-3"/>
        </w:rPr>
        <w:t xml:space="preserve"> </w:t>
      </w:r>
      <w:r w:rsidRPr="00F615F7">
        <w:t>considered</w:t>
      </w:r>
      <w:r w:rsidRPr="00F615F7">
        <w:rPr>
          <w:spacing w:val="-3"/>
        </w:rPr>
        <w:t xml:space="preserve"> </w:t>
      </w:r>
      <w:r w:rsidRPr="00F615F7">
        <w:t>for</w:t>
      </w:r>
      <w:r w:rsidRPr="00F615F7">
        <w:rPr>
          <w:spacing w:val="-1"/>
        </w:rPr>
        <w:t xml:space="preserve"> </w:t>
      </w:r>
      <w:r w:rsidRPr="00F615F7">
        <w:t>its</w:t>
      </w:r>
      <w:r w:rsidRPr="00F615F7">
        <w:rPr>
          <w:spacing w:val="-3"/>
        </w:rPr>
        <w:t xml:space="preserve"> </w:t>
      </w:r>
      <w:r w:rsidRPr="00F615F7">
        <w:t>international</w:t>
      </w:r>
      <w:r w:rsidRPr="00F615F7">
        <w:rPr>
          <w:spacing w:val="-4"/>
        </w:rPr>
        <w:t xml:space="preserve"> </w:t>
      </w:r>
      <w:r w:rsidRPr="00F615F7">
        <w:t>application</w:t>
      </w:r>
      <w:r w:rsidRPr="00F615F7">
        <w:rPr>
          <w:spacing w:val="-3"/>
        </w:rPr>
        <w:t xml:space="preserve"> </w:t>
      </w:r>
      <w:r w:rsidRPr="00F615F7">
        <w:t>in</w:t>
      </w:r>
      <w:r w:rsidRPr="00F615F7">
        <w:rPr>
          <w:spacing w:val="-2"/>
        </w:rPr>
        <w:t xml:space="preserve"> </w:t>
      </w:r>
      <w:r w:rsidRPr="00F615F7">
        <w:t>Europe.</w:t>
      </w:r>
      <w:r w:rsidRPr="00F615F7">
        <w:rPr>
          <w:spacing w:val="-3"/>
        </w:rPr>
        <w:t xml:space="preserve"> </w:t>
      </w:r>
      <w:r w:rsidRPr="00F615F7">
        <w:t>However,</w:t>
      </w:r>
      <w:r w:rsidRPr="00F615F7">
        <w:rPr>
          <w:spacing w:val="-3"/>
        </w:rPr>
        <w:t xml:space="preserve"> </w:t>
      </w:r>
      <w:r w:rsidRPr="00F615F7">
        <w:t>the</w:t>
      </w:r>
      <w:r w:rsidRPr="00F615F7">
        <w:rPr>
          <w:spacing w:val="-3"/>
        </w:rPr>
        <w:t xml:space="preserve"> </w:t>
      </w:r>
      <w:r w:rsidRPr="00F615F7">
        <w:t>TGA</w:t>
      </w:r>
      <w:r w:rsidRPr="00F615F7">
        <w:rPr>
          <w:spacing w:val="-4"/>
        </w:rPr>
        <w:t xml:space="preserve"> </w:t>
      </w:r>
      <w:r w:rsidRPr="00F615F7">
        <w:t>seeks</w:t>
      </w:r>
      <w:r w:rsidRPr="00F615F7">
        <w:rPr>
          <w:spacing w:val="-3"/>
        </w:rPr>
        <w:t xml:space="preserve"> </w:t>
      </w:r>
      <w:r w:rsidRPr="00F615F7">
        <w:t>to ensure that any model adopted is reflective of Australian sunscreen use and provides a realistic and safe framework for evaluating sunscreen ingredients.</w:t>
      </w:r>
    </w:p>
    <w:p w14:paraId="57C6766D" w14:textId="00CDDF39" w:rsidR="00375112" w:rsidRDefault="00AD31CD" w:rsidP="00657EEC">
      <w:pPr>
        <w:pStyle w:val="BodyText"/>
        <w:spacing w:before="119" w:line="259" w:lineRule="auto"/>
        <w:ind w:right="195"/>
        <w:jc w:val="both"/>
      </w:pPr>
      <w:bookmarkStart w:id="103" w:name="_Hlk181177671"/>
      <w:r>
        <w:t>S</w:t>
      </w:r>
      <w:r w:rsidR="00657EEC" w:rsidRPr="00F615F7">
        <w:t>takeholders</w:t>
      </w:r>
      <w:r w:rsidR="00657EEC" w:rsidRPr="00F615F7">
        <w:rPr>
          <w:spacing w:val="-1"/>
        </w:rPr>
        <w:t xml:space="preserve"> </w:t>
      </w:r>
      <w:r>
        <w:rPr>
          <w:spacing w:val="-1"/>
        </w:rPr>
        <w:t xml:space="preserve">were invited as part of the public </w:t>
      </w:r>
      <w:hyperlink r:id="rId47" w:history="1">
        <w:r w:rsidR="00335252" w:rsidRPr="008F2C2B">
          <w:rPr>
            <w:rStyle w:val="Hyperlink"/>
          </w:rPr>
          <w:t>consultation</w:t>
        </w:r>
      </w:hyperlink>
      <w:r w:rsidR="00335252">
        <w:rPr>
          <w:rStyle w:val="Hyperlink"/>
        </w:rPr>
        <w:t xml:space="preserve"> </w:t>
      </w:r>
      <w:r w:rsidR="00657EEC" w:rsidRPr="00F615F7">
        <w:t>to provide</w:t>
      </w:r>
      <w:r w:rsidR="00657EEC" w:rsidRPr="00F615F7">
        <w:rPr>
          <w:spacing w:val="-2"/>
        </w:rPr>
        <w:t xml:space="preserve"> </w:t>
      </w:r>
      <w:r w:rsidR="00657EEC" w:rsidRPr="00F615F7">
        <w:t>their</w:t>
      </w:r>
      <w:r w:rsidR="00657EEC" w:rsidRPr="00F615F7">
        <w:rPr>
          <w:spacing w:val="-1"/>
        </w:rPr>
        <w:t xml:space="preserve"> </w:t>
      </w:r>
      <w:r w:rsidR="00657EEC" w:rsidRPr="00F615F7">
        <w:t>perspectives</w:t>
      </w:r>
      <w:r w:rsidR="00657EEC" w:rsidRPr="00F615F7">
        <w:rPr>
          <w:spacing w:val="-1"/>
        </w:rPr>
        <w:t xml:space="preserve"> </w:t>
      </w:r>
      <w:r w:rsidR="00657EEC" w:rsidRPr="00F615F7">
        <w:t>on the SCCS</w:t>
      </w:r>
      <w:r w:rsidR="00657EEC" w:rsidRPr="00F615F7">
        <w:rPr>
          <w:spacing w:val="-3"/>
        </w:rPr>
        <w:t xml:space="preserve"> </w:t>
      </w:r>
      <w:r w:rsidR="00657EEC" w:rsidRPr="00F615F7">
        <w:t>model’s</w:t>
      </w:r>
      <w:r w:rsidR="00657EEC" w:rsidRPr="00F615F7">
        <w:rPr>
          <w:spacing w:val="-1"/>
        </w:rPr>
        <w:t xml:space="preserve"> </w:t>
      </w:r>
      <w:r w:rsidR="00657EEC" w:rsidRPr="00F615F7">
        <w:t>suitability</w:t>
      </w:r>
      <w:r w:rsidR="00657EEC" w:rsidRPr="00F615F7">
        <w:rPr>
          <w:spacing w:val="-1"/>
        </w:rPr>
        <w:t xml:space="preserve"> </w:t>
      </w:r>
      <w:r w:rsidR="00657EEC" w:rsidRPr="00F615F7">
        <w:t>for</w:t>
      </w:r>
      <w:r w:rsidR="00657EEC" w:rsidRPr="00F615F7">
        <w:rPr>
          <w:spacing w:val="-1"/>
        </w:rPr>
        <w:t xml:space="preserve"> </w:t>
      </w:r>
      <w:r w:rsidR="00657EEC" w:rsidRPr="00F615F7">
        <w:t>the Australian context,</w:t>
      </w:r>
      <w:r w:rsidR="00657EEC" w:rsidRPr="00F615F7">
        <w:rPr>
          <w:spacing w:val="-2"/>
        </w:rPr>
        <w:t xml:space="preserve"> </w:t>
      </w:r>
      <w:r w:rsidR="00657EEC" w:rsidRPr="00F615F7">
        <w:t>including</w:t>
      </w:r>
      <w:r w:rsidR="00657EEC" w:rsidRPr="00F615F7">
        <w:rPr>
          <w:spacing w:val="-4"/>
        </w:rPr>
        <w:t xml:space="preserve"> </w:t>
      </w:r>
      <w:r w:rsidR="00657EEC" w:rsidRPr="00F615F7">
        <w:t>any</w:t>
      </w:r>
      <w:r w:rsidR="00657EEC" w:rsidRPr="00F615F7">
        <w:rPr>
          <w:spacing w:val="-3"/>
        </w:rPr>
        <w:t xml:space="preserve"> </w:t>
      </w:r>
      <w:r w:rsidR="00657EEC" w:rsidRPr="00F615F7">
        <w:t>proposed</w:t>
      </w:r>
      <w:r w:rsidR="00657EEC" w:rsidRPr="00F615F7">
        <w:rPr>
          <w:spacing w:val="-4"/>
        </w:rPr>
        <w:t xml:space="preserve"> </w:t>
      </w:r>
      <w:r w:rsidR="00657EEC" w:rsidRPr="00F615F7">
        <w:t>modifications</w:t>
      </w:r>
      <w:r w:rsidR="00657EEC" w:rsidRPr="00F615F7">
        <w:rPr>
          <w:spacing w:val="-3"/>
        </w:rPr>
        <w:t xml:space="preserve"> </w:t>
      </w:r>
      <w:r w:rsidR="00657EEC" w:rsidRPr="00F615F7">
        <w:t>to</w:t>
      </w:r>
      <w:r w:rsidR="00657EEC" w:rsidRPr="00F615F7">
        <w:rPr>
          <w:spacing w:val="-4"/>
        </w:rPr>
        <w:t xml:space="preserve"> </w:t>
      </w:r>
      <w:r w:rsidR="00657EEC" w:rsidRPr="00F615F7">
        <w:t>the</w:t>
      </w:r>
      <w:r w:rsidR="00657EEC" w:rsidRPr="00F615F7">
        <w:rPr>
          <w:spacing w:val="-4"/>
        </w:rPr>
        <w:t xml:space="preserve"> </w:t>
      </w:r>
      <w:r w:rsidR="00657EEC" w:rsidRPr="00F615F7">
        <w:t>model</w:t>
      </w:r>
      <w:r w:rsidR="00657EEC" w:rsidRPr="00F615F7">
        <w:rPr>
          <w:spacing w:val="-5"/>
        </w:rPr>
        <w:t xml:space="preserve"> </w:t>
      </w:r>
      <w:r w:rsidR="00657EEC" w:rsidRPr="00F615F7">
        <w:t>that</w:t>
      </w:r>
      <w:r w:rsidR="00657EEC" w:rsidRPr="00F615F7">
        <w:rPr>
          <w:spacing w:val="-4"/>
        </w:rPr>
        <w:t xml:space="preserve"> </w:t>
      </w:r>
      <w:r w:rsidR="00657EEC" w:rsidRPr="00F615F7">
        <w:t>would</w:t>
      </w:r>
      <w:r w:rsidR="00657EEC" w:rsidRPr="00F615F7">
        <w:rPr>
          <w:spacing w:val="-4"/>
        </w:rPr>
        <w:t xml:space="preserve"> </w:t>
      </w:r>
      <w:r w:rsidR="00657EEC" w:rsidRPr="00F615F7">
        <w:t>make</w:t>
      </w:r>
      <w:r w:rsidR="00657EEC" w:rsidRPr="00F615F7">
        <w:rPr>
          <w:spacing w:val="-4"/>
        </w:rPr>
        <w:t xml:space="preserve"> </w:t>
      </w:r>
      <w:r w:rsidR="00657EEC" w:rsidRPr="00F615F7">
        <w:t>it</w:t>
      </w:r>
      <w:r w:rsidR="00657EEC" w:rsidRPr="00F615F7">
        <w:rPr>
          <w:spacing w:val="-2"/>
        </w:rPr>
        <w:t xml:space="preserve"> </w:t>
      </w:r>
      <w:r w:rsidR="00657EEC" w:rsidRPr="00F615F7">
        <w:t>a</w:t>
      </w:r>
      <w:r w:rsidR="00657EEC" w:rsidRPr="00F615F7">
        <w:rPr>
          <w:spacing w:val="-4"/>
        </w:rPr>
        <w:t xml:space="preserve"> </w:t>
      </w:r>
      <w:r w:rsidR="00657EEC" w:rsidRPr="00F615F7">
        <w:t>better</w:t>
      </w:r>
      <w:r w:rsidR="00657EEC" w:rsidRPr="00F615F7">
        <w:rPr>
          <w:spacing w:val="-3"/>
        </w:rPr>
        <w:t xml:space="preserve"> </w:t>
      </w:r>
      <w:r w:rsidR="00657EEC" w:rsidRPr="00F615F7">
        <w:t>alternative</w:t>
      </w:r>
      <w:r w:rsidR="00657EEC" w:rsidRPr="00F615F7">
        <w:rPr>
          <w:spacing w:val="-2"/>
        </w:rPr>
        <w:t xml:space="preserve"> </w:t>
      </w:r>
      <w:r w:rsidR="00657EEC" w:rsidRPr="00F615F7">
        <w:t>than the other options.</w:t>
      </w:r>
      <w:bookmarkEnd w:id="103"/>
    </w:p>
    <w:p w14:paraId="10FF7B69" w14:textId="4DA9D224" w:rsidR="00151B4C" w:rsidRPr="008619C4" w:rsidRDefault="00151B4C" w:rsidP="00F47305">
      <w:pPr>
        <w:pStyle w:val="Heading4"/>
      </w:pPr>
      <w:bookmarkStart w:id="104" w:name="_Toc184730585"/>
      <w:r w:rsidRPr="008619C4">
        <w:t>How</w:t>
      </w:r>
      <w:r w:rsidRPr="008619C4">
        <w:rPr>
          <w:spacing w:val="-6"/>
        </w:rPr>
        <w:t xml:space="preserve"> </w:t>
      </w:r>
      <w:r w:rsidR="007B4E17">
        <w:t xml:space="preserve">the SCCS </w:t>
      </w:r>
      <w:r w:rsidR="007B4E17" w:rsidRPr="007B4E17">
        <w:t>sunscreen</w:t>
      </w:r>
      <w:r w:rsidR="007B4E17">
        <w:t xml:space="preserve"> exposure model</w:t>
      </w:r>
      <w:r w:rsidRPr="008619C4">
        <w:rPr>
          <w:spacing w:val="-5"/>
        </w:rPr>
        <w:t xml:space="preserve"> </w:t>
      </w:r>
      <w:r w:rsidRPr="008619C4">
        <w:rPr>
          <w:spacing w:val="-4"/>
        </w:rPr>
        <w:t>work</w:t>
      </w:r>
      <w:r w:rsidR="007B4E17">
        <w:rPr>
          <w:spacing w:val="-4"/>
        </w:rPr>
        <w:t>s</w:t>
      </w:r>
      <w:bookmarkEnd w:id="104"/>
    </w:p>
    <w:p w14:paraId="452A15C4" w14:textId="77777777" w:rsidR="00401CCC" w:rsidRDefault="00652613" w:rsidP="00652613">
      <w:pPr>
        <w:widowControl w:val="0"/>
        <w:autoSpaceDE w:val="0"/>
        <w:autoSpaceDN w:val="0"/>
        <w:spacing w:before="121" w:after="0"/>
        <w:ind w:right="147"/>
        <w:rPr>
          <w:rFonts w:eastAsia="Arial" w:cs="Arial"/>
          <w:lang w:val="en-US"/>
        </w:rPr>
      </w:pPr>
      <w:r w:rsidRPr="00E37D50">
        <w:rPr>
          <w:rFonts w:eastAsia="Arial" w:cs="Arial"/>
          <w:lang w:val="en-US"/>
        </w:rPr>
        <w:t>To determine the expected SED of a sunscreen ingredient in humans, exposure models generally consider</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daily</w:t>
      </w:r>
      <w:r w:rsidRPr="00E37D50">
        <w:rPr>
          <w:rFonts w:eastAsia="Arial" w:cs="Arial"/>
          <w:spacing w:val="-3"/>
          <w:lang w:val="en-US"/>
        </w:rPr>
        <w:t xml:space="preserve"> </w:t>
      </w:r>
      <w:r w:rsidRPr="00E37D50">
        <w:rPr>
          <w:rFonts w:eastAsia="Arial" w:cs="Arial"/>
          <w:lang w:val="en-US"/>
        </w:rPr>
        <w:t>amount</w:t>
      </w:r>
      <w:r w:rsidRPr="00E37D50">
        <w:rPr>
          <w:rFonts w:eastAsia="Arial" w:cs="Arial"/>
          <w:spacing w:val="-3"/>
          <w:lang w:val="en-US"/>
        </w:rPr>
        <w:t xml:space="preserve"> </w:t>
      </w:r>
      <w:r w:rsidRPr="00E37D50">
        <w:rPr>
          <w:rFonts w:eastAsia="Arial" w:cs="Arial"/>
          <w:lang w:val="en-US"/>
        </w:rPr>
        <w:t>of</w:t>
      </w:r>
      <w:r w:rsidRPr="00E37D50">
        <w:rPr>
          <w:rFonts w:eastAsia="Arial" w:cs="Arial"/>
          <w:spacing w:val="-3"/>
          <w:lang w:val="en-US"/>
        </w:rPr>
        <w:t xml:space="preserve"> </w:t>
      </w:r>
      <w:r w:rsidRPr="00E37D50">
        <w:rPr>
          <w:rFonts w:eastAsia="Arial" w:cs="Arial"/>
          <w:lang w:val="en-US"/>
        </w:rPr>
        <w:t>sunscreen</w:t>
      </w:r>
      <w:r w:rsidRPr="00E37D50">
        <w:rPr>
          <w:rFonts w:eastAsia="Arial" w:cs="Arial"/>
          <w:spacing w:val="-3"/>
          <w:lang w:val="en-US"/>
        </w:rPr>
        <w:t xml:space="preserve"> </w:t>
      </w:r>
      <w:r w:rsidRPr="00E37D50">
        <w:rPr>
          <w:rFonts w:eastAsia="Arial" w:cs="Arial"/>
          <w:lang w:val="en-US"/>
        </w:rPr>
        <w:t>applied</w:t>
      </w:r>
      <w:r w:rsidRPr="00E37D50">
        <w:rPr>
          <w:rFonts w:eastAsia="Arial" w:cs="Arial"/>
          <w:spacing w:val="-3"/>
          <w:lang w:val="en-US"/>
        </w:rPr>
        <w:t xml:space="preserve"> </w:t>
      </w:r>
      <w:r w:rsidRPr="00E37D50">
        <w:rPr>
          <w:rFonts w:eastAsia="Arial" w:cs="Arial"/>
          <w:lang w:val="en-US"/>
        </w:rPr>
        <w:t>per</w:t>
      </w:r>
      <w:r w:rsidRPr="00E37D50">
        <w:rPr>
          <w:rFonts w:eastAsia="Arial" w:cs="Arial"/>
          <w:spacing w:val="-3"/>
          <w:lang w:val="en-US"/>
        </w:rPr>
        <w:t xml:space="preserve"> </w:t>
      </w:r>
      <w:r w:rsidRPr="00E37D50">
        <w:rPr>
          <w:rFonts w:eastAsia="Arial" w:cs="Arial"/>
          <w:lang w:val="en-US"/>
        </w:rPr>
        <w:t>kg</w:t>
      </w:r>
      <w:r w:rsidRPr="00E37D50">
        <w:rPr>
          <w:rFonts w:eastAsia="Arial" w:cs="Arial"/>
          <w:spacing w:val="-3"/>
          <w:lang w:val="en-US"/>
        </w:rPr>
        <w:t xml:space="preserve"> </w:t>
      </w:r>
      <w:r w:rsidRPr="00E37D50">
        <w:rPr>
          <w:rFonts w:eastAsia="Arial" w:cs="Arial"/>
          <w:lang w:val="en-US"/>
        </w:rPr>
        <w:t>body</w:t>
      </w:r>
      <w:r w:rsidRPr="00E37D50">
        <w:rPr>
          <w:rFonts w:eastAsia="Arial" w:cs="Arial"/>
          <w:spacing w:val="-3"/>
          <w:lang w:val="en-US"/>
        </w:rPr>
        <w:t xml:space="preserve"> </w:t>
      </w:r>
      <w:r w:rsidRPr="00E37D50">
        <w:rPr>
          <w:rFonts w:eastAsia="Arial" w:cs="Arial"/>
          <w:lang w:val="en-US"/>
        </w:rPr>
        <w:t>weight,</w:t>
      </w:r>
      <w:r w:rsidRPr="00E37D50">
        <w:rPr>
          <w:rFonts w:eastAsia="Arial" w:cs="Arial"/>
          <w:spacing w:val="-2"/>
          <w:lang w:val="en-US"/>
        </w:rPr>
        <w:t xml:space="preserve"> </w:t>
      </w:r>
      <w:r w:rsidRPr="00E37D50">
        <w:rPr>
          <w:rFonts w:eastAsia="Arial" w:cs="Arial"/>
          <w:lang w:val="en-US"/>
        </w:rPr>
        <w:t>in</w:t>
      </w:r>
      <w:r w:rsidRPr="00E37D50">
        <w:rPr>
          <w:rFonts w:eastAsia="Arial" w:cs="Arial"/>
          <w:spacing w:val="-3"/>
          <w:lang w:val="en-US"/>
        </w:rPr>
        <w:t xml:space="preserve"> </w:t>
      </w:r>
      <w:r w:rsidRPr="00E37D50">
        <w:rPr>
          <w:rFonts w:eastAsia="Arial" w:cs="Arial"/>
          <w:lang w:val="en-US"/>
        </w:rPr>
        <w:t>combination</w:t>
      </w:r>
      <w:r w:rsidRPr="00E37D50">
        <w:rPr>
          <w:rFonts w:eastAsia="Arial" w:cs="Arial"/>
          <w:spacing w:val="-3"/>
          <w:lang w:val="en-US"/>
        </w:rPr>
        <w:t xml:space="preserve"> </w:t>
      </w:r>
      <w:r w:rsidRPr="00E37D50">
        <w:rPr>
          <w:rFonts w:eastAsia="Arial" w:cs="Arial"/>
          <w:lang w:val="en-US"/>
        </w:rPr>
        <w:t>with</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 xml:space="preserve">dermal absorption potential (in %) and concentration of the substance under consideration. </w:t>
      </w:r>
    </w:p>
    <w:p w14:paraId="2AD1A35B" w14:textId="77777777" w:rsidR="00401CCC" w:rsidRPr="008619C4" w:rsidRDefault="00401CCC" w:rsidP="00401CCC">
      <w:pPr>
        <w:pStyle w:val="BodyText"/>
        <w:spacing w:before="120" w:line="259" w:lineRule="auto"/>
      </w:pPr>
      <w:r w:rsidRPr="008619C4">
        <w:t>The SCCS uses two different estimated daily sunscreen exposure values to calculate</w:t>
      </w:r>
      <w:r>
        <w:t xml:space="preserve"> SED, and</w:t>
      </w:r>
      <w:r w:rsidRPr="008619C4">
        <w:t>, consequently, the</w:t>
      </w:r>
      <w:r>
        <w:t xml:space="preserve"> MoS.</w:t>
      </w:r>
      <w:r w:rsidRPr="008619C4">
        <w:t xml:space="preserve"> Different</w:t>
      </w:r>
      <w:r w:rsidRPr="008619C4">
        <w:rPr>
          <w:spacing w:val="-4"/>
        </w:rPr>
        <w:t xml:space="preserve"> </w:t>
      </w:r>
      <w:r w:rsidRPr="008619C4">
        <w:t>sunscreen</w:t>
      </w:r>
      <w:r w:rsidRPr="008619C4">
        <w:rPr>
          <w:spacing w:val="-4"/>
        </w:rPr>
        <w:t xml:space="preserve"> </w:t>
      </w:r>
      <w:r w:rsidRPr="008619C4">
        <w:t>exposure</w:t>
      </w:r>
      <w:r w:rsidRPr="008619C4">
        <w:rPr>
          <w:spacing w:val="-4"/>
        </w:rPr>
        <w:t xml:space="preserve"> </w:t>
      </w:r>
      <w:r w:rsidRPr="008619C4">
        <w:t>values</w:t>
      </w:r>
      <w:r w:rsidRPr="008619C4">
        <w:rPr>
          <w:spacing w:val="-2"/>
        </w:rPr>
        <w:t xml:space="preserve"> </w:t>
      </w:r>
      <w:r w:rsidRPr="008619C4">
        <w:t>and</w:t>
      </w:r>
      <w:r w:rsidRPr="008619C4">
        <w:rPr>
          <w:spacing w:val="-4"/>
        </w:rPr>
        <w:t xml:space="preserve"> </w:t>
      </w:r>
      <w:r w:rsidRPr="008619C4">
        <w:t>methods are</w:t>
      </w:r>
      <w:r w:rsidRPr="008619C4">
        <w:rPr>
          <w:spacing w:val="-4"/>
        </w:rPr>
        <w:t xml:space="preserve"> </w:t>
      </w:r>
      <w:r w:rsidRPr="008619C4">
        <w:t>used</w:t>
      </w:r>
      <w:r w:rsidRPr="008619C4">
        <w:rPr>
          <w:spacing w:val="-4"/>
        </w:rPr>
        <w:t xml:space="preserve"> </w:t>
      </w:r>
      <w:r w:rsidRPr="008619C4">
        <w:t>depending</w:t>
      </w:r>
      <w:r w:rsidRPr="008619C4">
        <w:rPr>
          <w:spacing w:val="-4"/>
        </w:rPr>
        <w:t xml:space="preserve"> </w:t>
      </w:r>
      <w:r w:rsidRPr="008619C4">
        <w:t>on</w:t>
      </w:r>
      <w:r w:rsidRPr="008619C4">
        <w:rPr>
          <w:spacing w:val="-2"/>
        </w:rPr>
        <w:t xml:space="preserve"> </w:t>
      </w:r>
      <w:r w:rsidRPr="008619C4">
        <w:t>the</w:t>
      </w:r>
      <w:r w:rsidRPr="008619C4">
        <w:rPr>
          <w:spacing w:val="-2"/>
        </w:rPr>
        <w:t xml:space="preserve"> </w:t>
      </w:r>
      <w:r w:rsidRPr="008619C4">
        <w:t>way</w:t>
      </w:r>
      <w:r w:rsidRPr="008619C4">
        <w:rPr>
          <w:spacing w:val="-3"/>
        </w:rPr>
        <w:t xml:space="preserve"> </w:t>
      </w:r>
      <w:r w:rsidRPr="008619C4">
        <w:t>the data for dermal absorption of a sunscreen ingredient is reported:</w:t>
      </w:r>
    </w:p>
    <w:p w14:paraId="4774A7C2" w14:textId="77777777" w:rsidR="00401CCC" w:rsidRPr="008619C4" w:rsidRDefault="00401CCC" w:rsidP="00401CCC">
      <w:pPr>
        <w:pStyle w:val="Heading5"/>
      </w:pPr>
      <w:r w:rsidRPr="008619C4">
        <w:t>Method</w:t>
      </w:r>
      <w:r w:rsidRPr="008619C4">
        <w:rPr>
          <w:spacing w:val="-10"/>
        </w:rPr>
        <w:t xml:space="preserve"> 1</w:t>
      </w:r>
    </w:p>
    <w:p w14:paraId="6154A52D" w14:textId="77777777" w:rsidR="00401CCC" w:rsidRPr="008619C4" w:rsidRDefault="00401CCC" w:rsidP="00401CCC">
      <w:pPr>
        <w:pStyle w:val="BodyText"/>
        <w:spacing w:before="137" w:line="259" w:lineRule="auto"/>
      </w:pPr>
      <w:r w:rsidRPr="008619C4">
        <w:t>If</w:t>
      </w:r>
      <w:r w:rsidRPr="008619C4">
        <w:rPr>
          <w:spacing w:val="-4"/>
        </w:rPr>
        <w:t xml:space="preserve"> </w:t>
      </w:r>
      <w:r w:rsidRPr="008619C4">
        <w:t>the</w:t>
      </w:r>
      <w:r w:rsidRPr="008619C4">
        <w:rPr>
          <w:spacing w:val="-2"/>
        </w:rPr>
        <w:t xml:space="preserve"> </w:t>
      </w:r>
      <w:r w:rsidRPr="008619C4">
        <w:t>dermal</w:t>
      </w:r>
      <w:r w:rsidRPr="008619C4">
        <w:rPr>
          <w:spacing w:val="-3"/>
        </w:rPr>
        <w:t xml:space="preserve"> </w:t>
      </w:r>
      <w:r w:rsidRPr="008619C4">
        <w:t>absorption</w:t>
      </w:r>
      <w:r w:rsidRPr="008619C4">
        <w:rPr>
          <w:spacing w:val="-4"/>
        </w:rPr>
        <w:t xml:space="preserve"> </w:t>
      </w:r>
      <w:r w:rsidRPr="008619C4">
        <w:t>is based</w:t>
      </w:r>
      <w:r w:rsidRPr="008619C4">
        <w:rPr>
          <w:spacing w:val="-2"/>
        </w:rPr>
        <w:t xml:space="preserve"> </w:t>
      </w:r>
      <w:r w:rsidRPr="008619C4">
        <w:t>on</w:t>
      </w:r>
      <w:r w:rsidRPr="008619C4">
        <w:rPr>
          <w:spacing w:val="-4"/>
        </w:rPr>
        <w:t xml:space="preserve"> </w:t>
      </w:r>
      <w:r w:rsidRPr="008619C4">
        <w:t>the</w:t>
      </w:r>
      <w:r w:rsidRPr="008619C4">
        <w:rPr>
          <w:spacing w:val="-4"/>
        </w:rPr>
        <w:t xml:space="preserve"> </w:t>
      </w:r>
      <w:r w:rsidRPr="008619C4">
        <w:t>percentage</w:t>
      </w:r>
      <w:r w:rsidRPr="008619C4">
        <w:rPr>
          <w:spacing w:val="-2"/>
        </w:rPr>
        <w:t xml:space="preserve"> </w:t>
      </w:r>
      <w:r w:rsidRPr="008619C4">
        <w:t>dermally</w:t>
      </w:r>
      <w:r w:rsidRPr="008619C4">
        <w:rPr>
          <w:spacing w:val="-3"/>
        </w:rPr>
        <w:t xml:space="preserve"> </w:t>
      </w:r>
      <w:r w:rsidRPr="008619C4">
        <w:t>absorbed</w:t>
      </w:r>
      <w:r w:rsidRPr="008619C4">
        <w:rPr>
          <w:spacing w:val="-4"/>
        </w:rPr>
        <w:t xml:space="preserve"> </w:t>
      </w:r>
      <w:r w:rsidRPr="008619C4">
        <w:t>(%),</w:t>
      </w:r>
      <w:r w:rsidRPr="008619C4">
        <w:rPr>
          <w:spacing w:val="-4"/>
        </w:rPr>
        <w:t xml:space="preserve"> </w:t>
      </w:r>
      <w:r w:rsidRPr="008619C4">
        <w:t>the</w:t>
      </w:r>
      <w:r w:rsidRPr="008619C4">
        <w:rPr>
          <w:spacing w:val="-1"/>
        </w:rPr>
        <w:t xml:space="preserve"> </w:t>
      </w:r>
      <w:r w:rsidRPr="008619C4">
        <w:t>SCCS</w:t>
      </w:r>
      <w:r w:rsidRPr="008619C4">
        <w:rPr>
          <w:spacing w:val="-5"/>
        </w:rPr>
        <w:t xml:space="preserve"> </w:t>
      </w:r>
      <w:r w:rsidRPr="008619C4">
        <w:t>recommends</w:t>
      </w:r>
      <w:r w:rsidRPr="008619C4">
        <w:rPr>
          <w:spacing w:val="-3"/>
        </w:rPr>
        <w:t xml:space="preserve"> </w:t>
      </w:r>
      <w:r w:rsidRPr="008619C4">
        <w:t xml:space="preserve">a default daily sunscreen usage of 18 g/day. The SCCS calculations of </w:t>
      </w:r>
      <w:r w:rsidRPr="008619C4">
        <w:rPr>
          <w:b/>
        </w:rPr>
        <w:t xml:space="preserve">18 g/day </w:t>
      </w:r>
      <w:r w:rsidRPr="008619C4">
        <w:t xml:space="preserve">are </w:t>
      </w:r>
      <w:r w:rsidRPr="008619C4">
        <w:rPr>
          <w:b/>
        </w:rPr>
        <w:t>not based on a 2 mg/cm</w:t>
      </w:r>
      <w:r w:rsidRPr="008619C4">
        <w:rPr>
          <w:b/>
          <w:vertAlign w:val="superscript"/>
        </w:rPr>
        <w:t>2</w:t>
      </w:r>
      <w:r w:rsidRPr="008619C4">
        <w:rPr>
          <w:b/>
          <w:spacing w:val="-3"/>
        </w:rPr>
        <w:t xml:space="preserve"> </w:t>
      </w:r>
      <w:r w:rsidRPr="008619C4">
        <w:rPr>
          <w:b/>
        </w:rPr>
        <w:t>application</w:t>
      </w:r>
      <w:r w:rsidRPr="008619C4">
        <w:rPr>
          <w:b/>
          <w:spacing w:val="-2"/>
        </w:rPr>
        <w:t xml:space="preserve"> </w:t>
      </w:r>
      <w:r w:rsidRPr="008619C4">
        <w:rPr>
          <w:b/>
        </w:rPr>
        <w:t>thickness</w:t>
      </w:r>
      <w:r w:rsidRPr="008619C4">
        <w:rPr>
          <w:b/>
          <w:spacing w:val="-3"/>
        </w:rPr>
        <w:t xml:space="preserve"> </w:t>
      </w:r>
      <w:r w:rsidRPr="008619C4">
        <w:t>required</w:t>
      </w:r>
      <w:r w:rsidRPr="008619C4">
        <w:rPr>
          <w:spacing w:val="-3"/>
        </w:rPr>
        <w:t xml:space="preserve"> </w:t>
      </w:r>
      <w:r w:rsidRPr="008619C4">
        <w:t>to</w:t>
      </w:r>
      <w:r w:rsidRPr="008619C4">
        <w:rPr>
          <w:spacing w:val="-3"/>
        </w:rPr>
        <w:t xml:space="preserve"> </w:t>
      </w:r>
      <w:r w:rsidRPr="008619C4">
        <w:t>achieve</w:t>
      </w:r>
      <w:r w:rsidRPr="008619C4">
        <w:rPr>
          <w:spacing w:val="-3"/>
        </w:rPr>
        <w:t xml:space="preserve"> </w:t>
      </w:r>
      <w:r w:rsidRPr="008619C4">
        <w:t>the</w:t>
      </w:r>
      <w:r w:rsidRPr="008619C4">
        <w:rPr>
          <w:spacing w:val="-3"/>
        </w:rPr>
        <w:t xml:space="preserve"> </w:t>
      </w:r>
      <w:r w:rsidRPr="008619C4">
        <w:t>claimed</w:t>
      </w:r>
      <w:r w:rsidRPr="008619C4">
        <w:rPr>
          <w:spacing w:val="-3"/>
        </w:rPr>
        <w:t xml:space="preserve"> </w:t>
      </w:r>
      <w:r w:rsidRPr="008619C4">
        <w:t>sunscreen</w:t>
      </w:r>
      <w:r w:rsidRPr="008619C4">
        <w:rPr>
          <w:spacing w:val="-1"/>
        </w:rPr>
        <w:t xml:space="preserve"> </w:t>
      </w:r>
      <w:r w:rsidRPr="008619C4">
        <w:t>SPF</w:t>
      </w:r>
      <w:r w:rsidRPr="008619C4">
        <w:rPr>
          <w:spacing w:val="-2"/>
        </w:rPr>
        <w:t xml:space="preserve"> </w:t>
      </w:r>
      <w:r w:rsidRPr="008619C4">
        <w:t>rating,</w:t>
      </w:r>
      <w:r w:rsidRPr="008619C4">
        <w:rPr>
          <w:spacing w:val="-3"/>
        </w:rPr>
        <w:t xml:space="preserve"> </w:t>
      </w:r>
      <w:r w:rsidRPr="008619C4">
        <w:t>but</w:t>
      </w:r>
      <w:r w:rsidRPr="008619C4">
        <w:rPr>
          <w:spacing w:val="-3"/>
        </w:rPr>
        <w:t xml:space="preserve"> </w:t>
      </w:r>
      <w:r w:rsidRPr="008619C4">
        <w:t>data</w:t>
      </w:r>
      <w:r w:rsidRPr="008619C4">
        <w:rPr>
          <w:spacing w:val="-1"/>
        </w:rPr>
        <w:t xml:space="preserve"> </w:t>
      </w:r>
      <w:r w:rsidRPr="008619C4">
        <w:t>about habits and practices derived from surveys and research from non-Australian countries.</w:t>
      </w:r>
    </w:p>
    <w:p w14:paraId="0751982D" w14:textId="77777777" w:rsidR="00401CCC" w:rsidRPr="008619C4" w:rsidRDefault="00401CCC" w:rsidP="00401CCC">
      <w:pPr>
        <w:pStyle w:val="Heading5"/>
      </w:pPr>
      <w:r w:rsidRPr="008619C4">
        <w:t>Method</w:t>
      </w:r>
      <w:r w:rsidRPr="008619C4">
        <w:rPr>
          <w:spacing w:val="-10"/>
        </w:rPr>
        <w:t xml:space="preserve"> 2</w:t>
      </w:r>
    </w:p>
    <w:p w14:paraId="2739B3CC" w14:textId="2EC78847" w:rsidR="00652613" w:rsidRDefault="00401CCC" w:rsidP="00B05E0E">
      <w:pPr>
        <w:pStyle w:val="BodyText"/>
        <w:spacing w:before="137" w:line="259" w:lineRule="auto"/>
        <w:ind w:right="161"/>
      </w:pPr>
      <w:r w:rsidRPr="008619C4">
        <w:t>If the dermal absorption is based on the absolute amount bioavailable (μg/cm²), the SCCS recommends</w:t>
      </w:r>
      <w:r w:rsidRPr="008619C4">
        <w:rPr>
          <w:spacing w:val="-2"/>
        </w:rPr>
        <w:t xml:space="preserve"> </w:t>
      </w:r>
      <w:r w:rsidRPr="008619C4">
        <w:t>the</w:t>
      </w:r>
      <w:r w:rsidRPr="008619C4">
        <w:rPr>
          <w:spacing w:val="-3"/>
        </w:rPr>
        <w:t xml:space="preserve"> </w:t>
      </w:r>
      <w:r w:rsidRPr="008619C4">
        <w:t>skin</w:t>
      </w:r>
      <w:r w:rsidRPr="008619C4">
        <w:rPr>
          <w:spacing w:val="-3"/>
        </w:rPr>
        <w:t xml:space="preserve"> </w:t>
      </w:r>
      <w:r w:rsidRPr="008619C4">
        <w:t>surface</w:t>
      </w:r>
      <w:r w:rsidRPr="008619C4">
        <w:rPr>
          <w:spacing w:val="-3"/>
        </w:rPr>
        <w:t xml:space="preserve"> </w:t>
      </w:r>
      <w:r w:rsidRPr="008619C4">
        <w:t>area</w:t>
      </w:r>
      <w:r w:rsidRPr="008619C4">
        <w:rPr>
          <w:spacing w:val="-3"/>
        </w:rPr>
        <w:t xml:space="preserve"> </w:t>
      </w:r>
      <w:r w:rsidRPr="008619C4">
        <w:t>(SSA)</w:t>
      </w:r>
      <w:r w:rsidRPr="008619C4">
        <w:rPr>
          <w:spacing w:val="-2"/>
        </w:rPr>
        <w:t xml:space="preserve"> </w:t>
      </w:r>
      <w:r w:rsidRPr="008619C4">
        <w:t>expected</w:t>
      </w:r>
      <w:r w:rsidRPr="008619C4">
        <w:rPr>
          <w:spacing w:val="-3"/>
        </w:rPr>
        <w:t xml:space="preserve"> </w:t>
      </w:r>
      <w:r w:rsidRPr="008619C4">
        <w:t>to be</w:t>
      </w:r>
      <w:r w:rsidRPr="008619C4">
        <w:rPr>
          <w:spacing w:val="-3"/>
        </w:rPr>
        <w:t xml:space="preserve"> </w:t>
      </w:r>
      <w:r w:rsidRPr="008619C4">
        <w:t>applied</w:t>
      </w:r>
      <w:r w:rsidRPr="008619C4">
        <w:rPr>
          <w:spacing w:val="-3"/>
        </w:rPr>
        <w:t xml:space="preserve"> </w:t>
      </w:r>
      <w:r w:rsidRPr="008619C4">
        <w:t>with</w:t>
      </w:r>
      <w:r w:rsidRPr="008619C4">
        <w:rPr>
          <w:spacing w:val="-3"/>
        </w:rPr>
        <w:t xml:space="preserve"> </w:t>
      </w:r>
      <w:r w:rsidRPr="008619C4">
        <w:t>sunscreen</w:t>
      </w:r>
      <w:r w:rsidRPr="008619C4">
        <w:rPr>
          <w:spacing w:val="-3"/>
        </w:rPr>
        <w:t xml:space="preserve"> </w:t>
      </w:r>
      <w:r w:rsidRPr="008619C4">
        <w:t>is</w:t>
      </w:r>
      <w:r w:rsidRPr="008619C4">
        <w:rPr>
          <w:spacing w:val="-2"/>
        </w:rPr>
        <w:t xml:space="preserve"> </w:t>
      </w:r>
      <w:r w:rsidRPr="008619C4">
        <w:rPr>
          <w:b/>
        </w:rPr>
        <w:t>17,500</w:t>
      </w:r>
      <w:r w:rsidRPr="008619C4">
        <w:rPr>
          <w:b/>
          <w:spacing w:val="-3"/>
        </w:rPr>
        <w:t xml:space="preserve"> </w:t>
      </w:r>
      <w:r w:rsidRPr="008619C4">
        <w:rPr>
          <w:b/>
        </w:rPr>
        <w:t>cm</w:t>
      </w:r>
      <w:r w:rsidRPr="008619C4">
        <w:rPr>
          <w:b/>
          <w:vertAlign w:val="superscript"/>
        </w:rPr>
        <w:t>2</w:t>
      </w:r>
      <w:r w:rsidRPr="008619C4">
        <w:rPr>
          <w:b/>
          <w:spacing w:val="-2"/>
        </w:rPr>
        <w:t xml:space="preserve"> </w:t>
      </w:r>
      <w:r w:rsidRPr="008619C4">
        <w:t>(1.75 m</w:t>
      </w:r>
      <w:r w:rsidRPr="008619C4">
        <w:rPr>
          <w:position w:val="6"/>
          <w:sz w:val="13"/>
        </w:rPr>
        <w:t>2</w:t>
      </w:r>
      <w:r w:rsidRPr="008619C4">
        <w:t xml:space="preserve">) and frequency of application is </w:t>
      </w:r>
      <w:r w:rsidRPr="008619C4">
        <w:rPr>
          <w:b/>
        </w:rPr>
        <w:t>2 applications/day</w:t>
      </w:r>
      <w:r w:rsidRPr="008619C4">
        <w:t>. This is equivalent to SSA of 3.5 m</w:t>
      </w:r>
      <w:r w:rsidRPr="008619C4">
        <w:rPr>
          <w:position w:val="6"/>
          <w:sz w:val="13"/>
        </w:rPr>
        <w:t>2</w:t>
      </w:r>
      <w:r w:rsidRPr="008619C4">
        <w:t>/day.</w:t>
      </w:r>
      <w:r w:rsidR="00B05E0E">
        <w:t xml:space="preserve"> </w:t>
      </w:r>
      <w:r w:rsidR="00652613" w:rsidRPr="00E37D50">
        <w:t>This is shown in the SCCS equations for calculation of SED (SCCS 2023), as below:</w:t>
      </w:r>
    </w:p>
    <w:p w14:paraId="58F84361" w14:textId="77777777" w:rsidR="00652613" w:rsidRPr="00E37D50" w:rsidRDefault="00652613" w:rsidP="00652613">
      <w:pPr>
        <w:keepNext/>
        <w:keepLines/>
        <w:spacing w:before="122" w:line="240" w:lineRule="atLeast"/>
        <w:ind w:left="1"/>
        <w:outlineLvl w:val="5"/>
        <w:rPr>
          <w:rFonts w:eastAsia="Times New Roman" w:cs="Times New Roman"/>
          <w:bCs/>
          <w:color w:val="001871"/>
          <w:sz w:val="24"/>
          <w:szCs w:val="21"/>
        </w:rPr>
      </w:pPr>
      <w:r w:rsidRPr="00E37D50">
        <w:rPr>
          <w:rFonts w:eastAsia="Times New Roman" w:cs="Times New Roman"/>
          <w:bCs/>
          <w:color w:val="001871"/>
          <w:sz w:val="24"/>
          <w:szCs w:val="21"/>
        </w:rPr>
        <w:t>Method 1</w:t>
      </w:r>
    </w:p>
    <w:tbl>
      <w:tblPr>
        <w:tblStyle w:val="TableGrid"/>
        <w:tblW w:w="0" w:type="auto"/>
        <w:tblInd w:w="2122" w:type="dxa"/>
        <w:tblLook w:val="04A0" w:firstRow="1" w:lastRow="0" w:firstColumn="1" w:lastColumn="0" w:noHBand="0" w:noVBand="1"/>
      </w:tblPr>
      <w:tblGrid>
        <w:gridCol w:w="4536"/>
      </w:tblGrid>
      <w:tr w:rsidR="00652613" w:rsidRPr="00E37D50" w14:paraId="262F61E8" w14:textId="77777777" w:rsidTr="00FA1744">
        <w:tc>
          <w:tcPr>
            <w:tcW w:w="4536" w:type="dxa"/>
          </w:tcPr>
          <w:p w14:paraId="473DBAAD" w14:textId="77777777" w:rsidR="00652613" w:rsidRPr="00DB5FA8" w:rsidRDefault="00652613" w:rsidP="00FA1744">
            <w:pPr>
              <w:pStyle w:val="Caption"/>
              <w:spacing w:after="0"/>
              <w:jc w:val="center"/>
              <w:rPr>
                <w:rFonts w:cs="Arial"/>
                <w:b/>
                <w:bCs/>
                <w:color w:val="auto"/>
                <w:sz w:val="20"/>
                <w:szCs w:val="20"/>
              </w:rPr>
            </w:pPr>
            <m:oMathPara>
              <m:oMath>
                <m:r>
                  <w:rPr>
                    <w:rFonts w:ascii="Cambria Math" w:hAnsi="Cambria Math" w:cs="Cambria Math"/>
                    <w:color w:val="auto"/>
                    <w:sz w:val="20"/>
                    <w:szCs w:val="20"/>
                  </w:rPr>
                  <m:t>SED=</m:t>
                </m:r>
                <m:sSub>
                  <m:sSubPr>
                    <m:ctrlPr>
                      <w:rPr>
                        <w:rFonts w:ascii="Cambria Math" w:hAnsi="Cambria Math" w:cs="Cambria Math"/>
                        <w:color w:val="auto"/>
                        <w:sz w:val="20"/>
                        <w:szCs w:val="20"/>
                      </w:rPr>
                    </m:ctrlPr>
                  </m:sSubPr>
                  <m:e>
                    <m:r>
                      <w:rPr>
                        <w:rFonts w:ascii="Cambria Math" w:hAnsi="Cambria Math" w:cs="Cambria Math"/>
                        <w:color w:val="auto"/>
                        <w:sz w:val="20"/>
                        <w:szCs w:val="20"/>
                      </w:rPr>
                      <m:t>E</m:t>
                    </m:r>
                  </m:e>
                  <m:sub>
                    <m:r>
                      <w:rPr>
                        <w:rFonts w:ascii="Cambria Math" w:hAnsi="Cambria Math" w:cs="Cambria Math"/>
                        <w:color w:val="auto"/>
                        <w:sz w:val="20"/>
                        <w:szCs w:val="20"/>
                      </w:rPr>
                      <m:t>product</m:t>
                    </m:r>
                  </m:sub>
                </m:sSub>
                <m:r>
                  <w:rPr>
                    <w:rFonts w:ascii="Cambria Math" w:hAnsi="Cambria Math" w:cs="Cambria Math"/>
                    <w:color w:val="auto"/>
                    <w:sz w:val="20"/>
                    <w:szCs w:val="20"/>
                  </w:rPr>
                  <m:t>×</m:t>
                </m:r>
                <m:f>
                  <m:fPr>
                    <m:ctrlPr>
                      <w:rPr>
                        <w:rFonts w:ascii="Cambria Math" w:hAnsi="Cambria Math" w:cs="Arial"/>
                        <w:color w:val="auto"/>
                        <w:sz w:val="20"/>
                        <w:szCs w:val="20"/>
                      </w:rPr>
                    </m:ctrlPr>
                  </m:fPr>
                  <m:num>
                    <m:r>
                      <w:rPr>
                        <w:rFonts w:ascii="Cambria Math" w:hAnsi="Cambria Math" w:cs="Cambria Math"/>
                        <w:color w:val="auto"/>
                        <w:sz w:val="20"/>
                        <w:szCs w:val="20"/>
                      </w:rPr>
                      <m:t>C</m:t>
                    </m:r>
                  </m:num>
                  <m:den>
                    <m:r>
                      <w:rPr>
                        <w:rFonts w:ascii="Cambria Math" w:hAnsi="Cambria Math" w:cs="Cambria Math"/>
                        <w:color w:val="auto"/>
                        <w:sz w:val="20"/>
                        <w:szCs w:val="20"/>
                      </w:rPr>
                      <m:t>100</m:t>
                    </m:r>
                  </m:den>
                </m:f>
                <m: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w:rPr>
                            <w:rFonts w:ascii="Cambria Math" w:hAnsi="Cambria Math" w:cs="Arial"/>
                            <w:color w:val="auto"/>
                            <w:sz w:val="20"/>
                            <w:szCs w:val="20"/>
                          </w:rPr>
                          <m:t>DA</m:t>
                        </m:r>
                      </m:e>
                      <m:sub>
                        <m:r>
                          <w:rPr>
                            <w:rFonts w:ascii="Cambria Math" w:hAnsi="Cambria Math" w:cs="Arial"/>
                            <w:color w:val="auto"/>
                            <w:sz w:val="20"/>
                            <w:szCs w:val="20"/>
                          </w:rPr>
                          <m:t>p</m:t>
                        </m:r>
                      </m:sub>
                    </m:sSub>
                  </m:num>
                  <m:den>
                    <m:r>
                      <w:rPr>
                        <w:rFonts w:ascii="Cambria Math" w:hAnsi="Cambria Math" w:cs="Arial"/>
                        <w:color w:val="auto"/>
                        <w:sz w:val="20"/>
                        <w:szCs w:val="20"/>
                      </w:rPr>
                      <m:t>100</m:t>
                    </m:r>
                  </m:den>
                </m:f>
              </m:oMath>
            </m:oMathPara>
          </w:p>
        </w:tc>
      </w:tr>
    </w:tbl>
    <w:p w14:paraId="02CBB9B5" w14:textId="062A13B2" w:rsidR="00652613" w:rsidRPr="00E37D50" w:rsidRDefault="00652613" w:rsidP="00652613">
      <w:pPr>
        <w:widowControl w:val="0"/>
        <w:autoSpaceDE w:val="0"/>
        <w:autoSpaceDN w:val="0"/>
        <w:spacing w:before="117" w:after="0"/>
        <w:ind w:left="720" w:right="161"/>
        <w:rPr>
          <w:rFonts w:eastAsia="Arial" w:cs="Arial"/>
          <w:lang w:val="en-US"/>
        </w:rPr>
      </w:pPr>
      <w:r w:rsidRPr="00E37D50">
        <w:rPr>
          <w:rFonts w:eastAsia="Arial" w:cs="Arial"/>
          <w:lang w:val="en-US"/>
        </w:rPr>
        <w:t>Where:</w:t>
      </w:r>
      <w:r w:rsidR="00A65C19">
        <w:rPr>
          <w:rFonts w:eastAsia="Arial" w:cs="Arial"/>
          <w:lang w:val="en-US"/>
        </w:rPr>
        <w:br/>
      </w:r>
    </w:p>
    <w:p w14:paraId="5C9FFF9D" w14:textId="77777777" w:rsidR="00652613" w:rsidRPr="00E37D50" w:rsidRDefault="00652613" w:rsidP="00652613">
      <w:pPr>
        <w:widowControl w:val="0"/>
        <w:autoSpaceDE w:val="0"/>
        <w:autoSpaceDN w:val="0"/>
        <w:spacing w:before="117" w:after="0"/>
        <w:ind w:left="720" w:right="161"/>
        <w:rPr>
          <w:rFonts w:eastAsia="Arial" w:cs="Arial"/>
          <w:lang w:val="en-US"/>
        </w:rPr>
      </w:pPr>
      <w:r w:rsidRPr="00E37D50">
        <w:rPr>
          <w:rFonts w:eastAsia="Arial" w:cs="Arial"/>
          <w:lang w:val="en-US"/>
        </w:rPr>
        <w:t>SED (mg/kg bw/d)</w:t>
      </w:r>
      <w:r w:rsidRPr="00E37D50">
        <w:rPr>
          <w:rFonts w:eastAsia="Arial" w:cs="Arial"/>
          <w:lang w:val="en-US"/>
        </w:rPr>
        <w:tab/>
        <w:t>Systemic Exposure Dose</w:t>
      </w:r>
    </w:p>
    <w:p w14:paraId="011DFFFC" w14:textId="77777777" w:rsidR="00652613" w:rsidRPr="00E37D50" w:rsidRDefault="00652613" w:rsidP="00652613">
      <w:pPr>
        <w:widowControl w:val="0"/>
        <w:autoSpaceDE w:val="0"/>
        <w:autoSpaceDN w:val="0"/>
        <w:spacing w:before="117" w:after="0"/>
        <w:ind w:left="2880" w:right="161" w:hanging="2160"/>
        <w:rPr>
          <w:rFonts w:eastAsia="Arial" w:cs="Arial"/>
          <w:lang w:val="en-US"/>
        </w:rPr>
      </w:pPr>
      <w:r w:rsidRPr="00E37D50">
        <w:rPr>
          <w:rFonts w:eastAsia="Arial" w:cs="Arial"/>
          <w:lang w:val="en-US"/>
        </w:rPr>
        <w:t>E</w:t>
      </w:r>
      <w:r w:rsidRPr="00E37D50">
        <w:rPr>
          <w:rFonts w:eastAsia="Arial" w:cs="Arial"/>
          <w:vertAlign w:val="subscript"/>
          <w:lang w:val="en-US"/>
        </w:rPr>
        <w:t>product</w:t>
      </w:r>
      <w:r w:rsidRPr="00E37D50">
        <w:rPr>
          <w:rFonts w:eastAsia="Arial" w:cs="Arial"/>
          <w:lang w:val="en-US"/>
        </w:rPr>
        <w:t xml:space="preserve"> (mg/kg bw/day)</w:t>
      </w:r>
      <w:r w:rsidRPr="00E37D50">
        <w:rPr>
          <w:rFonts w:eastAsia="Arial" w:cs="Arial"/>
          <w:lang w:val="en-US"/>
        </w:rPr>
        <w:tab/>
        <w:t xml:space="preserve">Estimated daily exposure to a sunscreen product per kg body weight, based upon the amount applied and the frequency of application (Note: for calculated relative daily exposure levels for sunscreen lotion, an amount of </w:t>
      </w:r>
      <w:r w:rsidRPr="00E37D50">
        <w:rPr>
          <w:rFonts w:eastAsia="Arial" w:cs="Arial"/>
          <w:b/>
          <w:bCs/>
          <w:lang w:val="en-US"/>
        </w:rPr>
        <w:t xml:space="preserve">18 g/day </w:t>
      </w:r>
      <w:r w:rsidRPr="00E37D50">
        <w:rPr>
          <w:rFonts w:eastAsia="Arial" w:cs="Arial"/>
          <w:lang w:val="en-US"/>
        </w:rPr>
        <w:t xml:space="preserve">is used by SCCS and default body weight used is </w:t>
      </w:r>
      <w:r w:rsidRPr="00E37D50">
        <w:rPr>
          <w:rFonts w:eastAsia="Arial" w:cs="Arial"/>
          <w:b/>
          <w:bCs/>
          <w:lang w:val="en-US"/>
        </w:rPr>
        <w:t>60 kg</w:t>
      </w:r>
      <w:r w:rsidRPr="00E37D50">
        <w:rPr>
          <w:rFonts w:eastAsia="Arial" w:cs="Arial"/>
          <w:lang w:val="en-US"/>
        </w:rPr>
        <w:t>).</w:t>
      </w:r>
    </w:p>
    <w:p w14:paraId="76F217C6" w14:textId="77777777" w:rsidR="00652613" w:rsidRPr="00E37D50" w:rsidRDefault="00652613" w:rsidP="00652613">
      <w:pPr>
        <w:widowControl w:val="0"/>
        <w:autoSpaceDE w:val="0"/>
        <w:autoSpaceDN w:val="0"/>
        <w:spacing w:before="117" w:after="0"/>
        <w:ind w:left="2880" w:right="161" w:hanging="2160"/>
        <w:rPr>
          <w:rFonts w:eastAsia="Arial" w:cs="Arial"/>
          <w:lang w:val="en-US"/>
        </w:rPr>
      </w:pPr>
      <w:r w:rsidRPr="00E37D50">
        <w:rPr>
          <w:rFonts w:eastAsia="Arial" w:cs="Arial"/>
          <w:lang w:val="en-US"/>
        </w:rPr>
        <w:t>C (%)</w:t>
      </w:r>
      <w:r w:rsidRPr="00E37D50">
        <w:rPr>
          <w:rFonts w:eastAsia="Arial" w:cs="Arial"/>
          <w:lang w:val="en-US"/>
        </w:rPr>
        <w:tab/>
        <w:t>Concentration of the substance under study in the finished sunscreen product on the application site.</w:t>
      </w:r>
    </w:p>
    <w:p w14:paraId="4086EDBC" w14:textId="77777777" w:rsidR="00652613" w:rsidRPr="00E37D50" w:rsidRDefault="00652613" w:rsidP="00652613">
      <w:pPr>
        <w:widowControl w:val="0"/>
        <w:autoSpaceDE w:val="0"/>
        <w:autoSpaceDN w:val="0"/>
        <w:spacing w:before="117" w:after="0"/>
        <w:ind w:left="2880" w:right="161" w:hanging="2160"/>
        <w:rPr>
          <w:rFonts w:eastAsia="Arial" w:cs="Arial"/>
          <w:lang w:val="en-US"/>
        </w:rPr>
      </w:pPr>
      <w:r w:rsidRPr="00E37D50">
        <w:rPr>
          <w:rFonts w:eastAsia="Arial" w:cs="Arial"/>
          <w:lang w:val="en-US"/>
        </w:rPr>
        <w:t>DA</w:t>
      </w:r>
      <w:r w:rsidRPr="00E37D50">
        <w:rPr>
          <w:rFonts w:eastAsia="Arial" w:cs="Arial"/>
          <w:vertAlign w:val="subscript"/>
          <w:lang w:val="en-US"/>
        </w:rPr>
        <w:t>p</w:t>
      </w:r>
      <w:r w:rsidRPr="00E37D50">
        <w:rPr>
          <w:rFonts w:eastAsia="Arial" w:cs="Arial"/>
          <w:lang w:val="en-US"/>
        </w:rPr>
        <w:t xml:space="preserve"> (%)</w:t>
      </w:r>
      <w:r w:rsidRPr="00E37D50">
        <w:rPr>
          <w:rFonts w:eastAsia="Arial" w:cs="Arial"/>
          <w:lang w:val="en-US"/>
        </w:rPr>
        <w:tab/>
        <w:t xml:space="preserve">Dermal Absorption expressed as a percentage of the test done assumed to be applied in real-life conditions. </w:t>
      </w:r>
    </w:p>
    <w:p w14:paraId="135B0C68" w14:textId="77777777" w:rsidR="00652613" w:rsidRPr="00E37D50" w:rsidRDefault="00652613" w:rsidP="00652613">
      <w:pPr>
        <w:widowControl w:val="0"/>
        <w:autoSpaceDE w:val="0"/>
        <w:autoSpaceDN w:val="0"/>
        <w:spacing w:before="120" w:after="0" w:line="240" w:lineRule="auto"/>
        <w:rPr>
          <w:rFonts w:eastAsia="Arial" w:cs="Arial"/>
          <w:lang w:val="en-US"/>
        </w:rPr>
      </w:pPr>
      <w:r w:rsidRPr="00E37D50">
        <w:rPr>
          <w:rFonts w:eastAsia="Arial" w:cs="Arial"/>
          <w:spacing w:val="-4"/>
          <w:lang w:val="en-US"/>
        </w:rPr>
        <w:t xml:space="preserve">When dermal absorption potential is expressed in </w:t>
      </w:r>
      <w:r w:rsidRPr="00E37D50">
        <w:rPr>
          <w:rFonts w:eastAsia="Arial" w:cs="Arial"/>
          <w:lang w:val="en-US"/>
        </w:rPr>
        <w:t>μg/cm</w:t>
      </w:r>
      <w:r w:rsidRPr="00E37D50">
        <w:rPr>
          <w:rFonts w:eastAsia="Arial" w:cs="Arial"/>
          <w:vertAlign w:val="superscript"/>
          <w:lang w:val="en-US"/>
        </w:rPr>
        <w:t>2</w:t>
      </w:r>
      <w:r w:rsidRPr="00E37D50">
        <w:rPr>
          <w:rFonts w:eastAsia="Arial" w:cs="Arial"/>
          <w:lang w:val="en-US"/>
        </w:rPr>
        <w:t xml:space="preserve"> (not as a %) the estimated daily exposure to a sunscreen is evaluated based on the skin surface area sunscreen is applied to per kg body weight. This is then used in combination with the dermal absorption potential of the substance under consideration to determine the SED as shown in the calculation method 2 equa</w:t>
      </w:r>
      <w:r>
        <w:rPr>
          <w:rFonts w:eastAsia="Arial" w:cs="Arial"/>
          <w:lang w:val="en-US"/>
        </w:rPr>
        <w:t>t</w:t>
      </w:r>
      <w:r w:rsidRPr="00E37D50">
        <w:rPr>
          <w:rFonts w:eastAsia="Arial" w:cs="Arial"/>
          <w:lang w:val="en-US"/>
        </w:rPr>
        <w:t>ion</w:t>
      </w:r>
      <w:r>
        <w:rPr>
          <w:rFonts w:eastAsia="Arial" w:cs="Arial"/>
          <w:lang w:val="en-US"/>
        </w:rPr>
        <w:t xml:space="preserve"> below.</w:t>
      </w:r>
    </w:p>
    <w:p w14:paraId="26F7B3B8" w14:textId="77777777" w:rsidR="00652613" w:rsidRPr="00E37D50" w:rsidRDefault="00652613" w:rsidP="00652613">
      <w:pPr>
        <w:keepNext/>
        <w:keepLines/>
        <w:spacing w:before="122" w:line="240" w:lineRule="atLeast"/>
        <w:ind w:left="1"/>
        <w:outlineLvl w:val="5"/>
        <w:rPr>
          <w:rFonts w:eastAsia="Times New Roman" w:cs="Times New Roman"/>
          <w:bCs/>
          <w:color w:val="001871"/>
          <w:sz w:val="24"/>
          <w:szCs w:val="21"/>
        </w:rPr>
      </w:pPr>
      <w:r w:rsidRPr="00E37D50">
        <w:rPr>
          <w:rFonts w:eastAsia="Times New Roman" w:cs="Times New Roman"/>
          <w:bCs/>
          <w:color w:val="001871"/>
          <w:sz w:val="24"/>
          <w:szCs w:val="21"/>
        </w:rPr>
        <w:t>Method 2</w:t>
      </w:r>
    </w:p>
    <w:tbl>
      <w:tblPr>
        <w:tblStyle w:val="TableGrid"/>
        <w:tblW w:w="0" w:type="auto"/>
        <w:tblInd w:w="2122" w:type="dxa"/>
        <w:tblLook w:val="04A0" w:firstRow="1" w:lastRow="0" w:firstColumn="1" w:lastColumn="0" w:noHBand="0" w:noVBand="1"/>
      </w:tblPr>
      <w:tblGrid>
        <w:gridCol w:w="4961"/>
      </w:tblGrid>
      <w:tr w:rsidR="00652613" w:rsidRPr="00E37D50" w14:paraId="7C9ADC97" w14:textId="77777777" w:rsidTr="00FA1744">
        <w:tc>
          <w:tcPr>
            <w:tcW w:w="4961" w:type="dxa"/>
          </w:tcPr>
          <w:p w14:paraId="07B66DB1" w14:textId="77777777" w:rsidR="00652613" w:rsidRPr="00DB5FA8" w:rsidRDefault="00652613" w:rsidP="00FA1744">
            <w:pPr>
              <w:pStyle w:val="Caption"/>
              <w:spacing w:after="0"/>
              <w:jc w:val="center"/>
              <w:rPr>
                <w:rFonts w:cs="Arial"/>
                <w:b/>
                <w:bCs/>
                <w:color w:val="auto"/>
                <w:sz w:val="20"/>
                <w:szCs w:val="20"/>
              </w:rPr>
            </w:pPr>
            <m:oMathPara>
              <m:oMath>
                <m:r>
                  <w:rPr>
                    <w:rFonts w:ascii="Cambria Math" w:hAnsi="Cambria Math" w:cs="Cambria Math"/>
                    <w:color w:val="auto"/>
                    <w:sz w:val="20"/>
                    <w:szCs w:val="20"/>
                  </w:rPr>
                  <m:t>SED=</m:t>
                </m:r>
                <m:f>
                  <m:fPr>
                    <m:ctrlPr>
                      <w:rPr>
                        <w:rFonts w:ascii="Cambria Math" w:hAnsi="Cambria Math" w:cs="Arial"/>
                        <w:color w:val="auto"/>
                        <w:sz w:val="20"/>
                        <w:szCs w:val="20"/>
                      </w:rPr>
                    </m:ctrlPr>
                  </m:fPr>
                  <m:num>
                    <m:sSub>
                      <m:sSubPr>
                        <m:ctrlPr>
                          <w:rPr>
                            <w:rFonts w:ascii="Cambria Math" w:hAnsi="Cambria Math" w:cs="Cambria Math"/>
                            <w:i w:val="0"/>
                            <w:iCs w:val="0"/>
                            <w:color w:val="auto"/>
                            <w:sz w:val="20"/>
                            <w:szCs w:val="20"/>
                          </w:rPr>
                        </m:ctrlPr>
                      </m:sSubPr>
                      <m:e>
                        <m:r>
                          <w:rPr>
                            <w:rFonts w:ascii="Cambria Math" w:hAnsi="Cambria Math" w:cs="Cambria Math"/>
                            <w:color w:val="auto"/>
                            <w:sz w:val="20"/>
                            <w:szCs w:val="20"/>
                          </w:rPr>
                          <m:t>DA</m:t>
                        </m:r>
                      </m:e>
                      <m:sub>
                        <m:r>
                          <w:rPr>
                            <w:rFonts w:ascii="Cambria Math" w:hAnsi="Cambria Math" w:cs="Cambria Math"/>
                            <w:color w:val="auto"/>
                            <w:sz w:val="20"/>
                            <w:szCs w:val="20"/>
                          </w:rPr>
                          <m:t>a</m:t>
                        </m:r>
                      </m:sub>
                    </m:sSub>
                    <m:r>
                      <w:rPr>
                        <w:rFonts w:ascii="Cambria Math" w:hAnsi="Cambria Math" w:cs="Cambria Math"/>
                        <w:color w:val="auto"/>
                        <w:sz w:val="20"/>
                        <w:szCs w:val="20"/>
                      </w:rPr>
                      <m:t>×</m:t>
                    </m:r>
                    <m:sSup>
                      <m:sSupPr>
                        <m:ctrlPr>
                          <w:rPr>
                            <w:rFonts w:ascii="Cambria Math" w:hAnsi="Cambria Math" w:cs="Cambria Math"/>
                            <w:i w:val="0"/>
                            <w:iCs w:val="0"/>
                            <w:color w:val="auto"/>
                            <w:sz w:val="20"/>
                            <w:szCs w:val="20"/>
                          </w:rPr>
                        </m:ctrlPr>
                      </m:sSupPr>
                      <m:e>
                        <m:r>
                          <w:rPr>
                            <w:rFonts w:ascii="Cambria Math" w:hAnsi="Cambria Math" w:cs="Cambria Math"/>
                            <w:color w:val="auto"/>
                            <w:sz w:val="20"/>
                            <w:szCs w:val="20"/>
                          </w:rPr>
                          <m:t>10</m:t>
                        </m:r>
                      </m:e>
                      <m:sup>
                        <m:r>
                          <w:rPr>
                            <w:rFonts w:ascii="Cambria Math" w:hAnsi="Cambria Math" w:cs="Cambria Math"/>
                            <w:color w:val="auto"/>
                            <w:sz w:val="20"/>
                            <w:szCs w:val="20"/>
                          </w:rPr>
                          <m:t>-3</m:t>
                        </m:r>
                      </m:sup>
                    </m:sSup>
                    <m:r>
                      <w:rPr>
                        <w:rFonts w:ascii="Cambria Math" w:hAnsi="Cambria Math" w:cs="Cambria Math"/>
                        <w:color w:val="auto"/>
                        <w:sz w:val="20"/>
                        <w:szCs w:val="20"/>
                      </w:rPr>
                      <m:t xml:space="preserve">×SSA× </m:t>
                    </m:r>
                    <m:sSub>
                      <m:sSubPr>
                        <m:ctrlPr>
                          <w:rPr>
                            <w:rFonts w:ascii="Cambria Math" w:hAnsi="Cambria Math" w:cs="Cambria Math"/>
                            <w:i w:val="0"/>
                            <w:iCs w:val="0"/>
                            <w:color w:val="auto"/>
                            <w:sz w:val="20"/>
                            <w:szCs w:val="20"/>
                          </w:rPr>
                        </m:ctrlPr>
                      </m:sSubPr>
                      <m:e>
                        <m:r>
                          <w:rPr>
                            <w:rFonts w:ascii="Cambria Math" w:hAnsi="Cambria Math" w:cs="Cambria Math"/>
                            <w:color w:val="auto"/>
                            <w:sz w:val="20"/>
                            <w:szCs w:val="20"/>
                          </w:rPr>
                          <m:t>f</m:t>
                        </m:r>
                      </m:e>
                      <m:sub>
                        <m:r>
                          <w:rPr>
                            <w:rFonts w:ascii="Cambria Math" w:hAnsi="Cambria Math" w:cs="Cambria Math"/>
                            <w:color w:val="auto"/>
                            <w:sz w:val="20"/>
                            <w:szCs w:val="20"/>
                          </w:rPr>
                          <m:t>appl</m:t>
                        </m:r>
                      </m:sub>
                    </m:sSub>
                  </m:num>
                  <m:den>
                    <m:r>
                      <w:rPr>
                        <w:rFonts w:ascii="Cambria Math" w:hAnsi="Cambria Math" w:cs="Cambria Math"/>
                        <w:color w:val="auto"/>
                        <w:sz w:val="20"/>
                        <w:szCs w:val="20"/>
                      </w:rPr>
                      <m:t>bw</m:t>
                    </m:r>
                  </m:den>
                </m:f>
              </m:oMath>
            </m:oMathPara>
          </w:p>
        </w:tc>
      </w:tr>
    </w:tbl>
    <w:p w14:paraId="5C0D7D06" w14:textId="77777777" w:rsidR="00652613" w:rsidRPr="00E37D50" w:rsidRDefault="00652613" w:rsidP="00652613">
      <w:pPr>
        <w:tabs>
          <w:tab w:val="left" w:pos="1350"/>
        </w:tabs>
        <w:ind w:left="720"/>
      </w:pPr>
      <w:r w:rsidRPr="00E37D50">
        <w:t>Where:</w:t>
      </w:r>
    </w:p>
    <w:p w14:paraId="0C8225E0" w14:textId="77777777" w:rsidR="00652613" w:rsidRPr="00E37D50" w:rsidRDefault="00652613" w:rsidP="00652613">
      <w:pPr>
        <w:tabs>
          <w:tab w:val="left" w:pos="1350"/>
        </w:tabs>
      </w:pPr>
      <w:r w:rsidRPr="00E37D50">
        <w:tab/>
        <w:t>SED (mg/kg bw/d)</w:t>
      </w:r>
      <w:r w:rsidRPr="00E37D50">
        <w:tab/>
        <w:t>Systemic Exposure Dose</w:t>
      </w:r>
    </w:p>
    <w:p w14:paraId="77F3BBEB" w14:textId="77777777" w:rsidR="00652613" w:rsidRPr="00E37D50" w:rsidRDefault="00652613" w:rsidP="00652613">
      <w:pPr>
        <w:tabs>
          <w:tab w:val="left" w:pos="1350"/>
        </w:tabs>
        <w:ind w:left="3600" w:hanging="3600"/>
      </w:pPr>
      <w:r w:rsidRPr="00E37D50">
        <w:tab/>
        <w:t>DA</w:t>
      </w:r>
      <w:r w:rsidRPr="00E37D50">
        <w:rPr>
          <w:vertAlign w:val="subscript"/>
        </w:rPr>
        <w:t>a</w:t>
      </w:r>
      <w:r w:rsidRPr="00E37D50">
        <w:t xml:space="preserve"> (μg/cm</w:t>
      </w:r>
      <w:r w:rsidRPr="00E37D50">
        <w:rPr>
          <w:vertAlign w:val="superscript"/>
        </w:rPr>
        <w:t>2</w:t>
      </w:r>
      <w:r w:rsidRPr="00E37D50">
        <w:t>)</w:t>
      </w:r>
      <w:r w:rsidRPr="00E37D50">
        <w:tab/>
        <w:t>Dermal Absorption as an absolute amount absorbed (bioavailable) per surface area applied, resulting from an assay under in-use mimicking conditions.</w:t>
      </w:r>
    </w:p>
    <w:p w14:paraId="5C7D1364" w14:textId="77777777" w:rsidR="00652613" w:rsidRPr="00E37D50" w:rsidRDefault="00652613" w:rsidP="00652613">
      <w:pPr>
        <w:tabs>
          <w:tab w:val="left" w:pos="1350"/>
        </w:tabs>
        <w:ind w:left="3600" w:hanging="3600"/>
      </w:pPr>
      <w:r w:rsidRPr="00E37D50">
        <w:tab/>
        <w:t>SSA (cm</w:t>
      </w:r>
      <w:r w:rsidRPr="00E37D50">
        <w:rPr>
          <w:vertAlign w:val="superscript"/>
        </w:rPr>
        <w:t>2</w:t>
      </w:r>
      <w:r w:rsidRPr="00E37D50">
        <w:t>)</w:t>
      </w:r>
      <w:r w:rsidRPr="00E37D50">
        <w:tab/>
        <w:t xml:space="preserve">Skin Surface Area expected to be treated with the finished product (According to Table 4 in SCCS Guidance, the default SSA value used by the SCCS for sunscreen lotion is </w:t>
      </w:r>
      <w:r w:rsidRPr="00E37D50">
        <w:rPr>
          <w:b/>
          <w:bCs/>
        </w:rPr>
        <w:t>17,500 cm</w:t>
      </w:r>
      <w:r w:rsidRPr="00E37D50">
        <w:rPr>
          <w:b/>
          <w:bCs/>
          <w:vertAlign w:val="superscript"/>
        </w:rPr>
        <w:t>2</w:t>
      </w:r>
      <w:r w:rsidRPr="00E37D50">
        <w:t>).</w:t>
      </w:r>
    </w:p>
    <w:p w14:paraId="455DC842" w14:textId="77777777" w:rsidR="00652613" w:rsidRPr="00E37D50" w:rsidRDefault="00652613" w:rsidP="00652613">
      <w:pPr>
        <w:tabs>
          <w:tab w:val="left" w:pos="1350"/>
        </w:tabs>
        <w:ind w:left="3600" w:hanging="3600"/>
      </w:pPr>
      <w:r w:rsidRPr="00E37D50">
        <w:tab/>
        <w:t>F</w:t>
      </w:r>
      <w:r w:rsidRPr="00E37D50">
        <w:rPr>
          <w:vertAlign w:val="subscript"/>
        </w:rPr>
        <w:t>appl</w:t>
      </w:r>
      <w:r w:rsidRPr="00E37D50">
        <w:t xml:space="preserve"> (day</w:t>
      </w:r>
      <w:r w:rsidRPr="00E37D50">
        <w:rPr>
          <w:vertAlign w:val="superscript"/>
        </w:rPr>
        <w:t>-1</w:t>
      </w:r>
      <w:r w:rsidRPr="00E37D50">
        <w:t>)</w:t>
      </w:r>
      <w:r w:rsidRPr="00E37D50">
        <w:tab/>
        <w:t xml:space="preserve">Frequency of application of the finished product (According to Table 4 in SCCS Guidance, the default frequency for sunscreen lotion used by the SCCS is </w:t>
      </w:r>
      <w:r w:rsidRPr="00E37D50">
        <w:rPr>
          <w:b/>
          <w:bCs/>
        </w:rPr>
        <w:t>2 applications per day</w:t>
      </w:r>
      <w:r w:rsidRPr="00E37D50">
        <w:t>).</w:t>
      </w:r>
    </w:p>
    <w:p w14:paraId="39D85927" w14:textId="77777777" w:rsidR="00652613" w:rsidRPr="00E37D50" w:rsidRDefault="00652613" w:rsidP="00652613">
      <w:pPr>
        <w:tabs>
          <w:tab w:val="left" w:pos="1350"/>
        </w:tabs>
        <w:ind w:left="3600" w:hanging="3600"/>
      </w:pPr>
      <w:r w:rsidRPr="00E37D50">
        <w:tab/>
        <w:t>Bw (kg bw)</w:t>
      </w:r>
      <w:r w:rsidRPr="00E37D50">
        <w:tab/>
        <w:t xml:space="preserve">Human body weight (the default value used by SCCS is </w:t>
      </w:r>
      <w:r w:rsidRPr="00E37D50">
        <w:rPr>
          <w:b/>
          <w:bCs/>
        </w:rPr>
        <w:t>60 kg</w:t>
      </w:r>
      <w:r w:rsidRPr="00E37D50">
        <w:t>)</w:t>
      </w:r>
    </w:p>
    <w:p w14:paraId="3BE10A74" w14:textId="77777777" w:rsidR="00652613" w:rsidRDefault="00652613" w:rsidP="00652613">
      <w:pPr>
        <w:pStyle w:val="BodyText"/>
        <w:spacing w:before="120" w:line="259" w:lineRule="auto"/>
        <w:ind w:right="172" w:firstLine="1"/>
      </w:pPr>
    </w:p>
    <w:p w14:paraId="22995DC2" w14:textId="4FFB8C37" w:rsidR="00401CCC" w:rsidRDefault="00401CCC" w:rsidP="00401CCC">
      <w:pPr>
        <w:pStyle w:val="BodyText"/>
        <w:spacing w:before="119"/>
        <w:rPr>
          <w:spacing w:val="-2"/>
        </w:rPr>
      </w:pPr>
      <w:r w:rsidRPr="008619C4">
        <w:t>The</w:t>
      </w:r>
      <w:r w:rsidRPr="008619C4">
        <w:rPr>
          <w:spacing w:val="-9"/>
        </w:rPr>
        <w:t xml:space="preserve"> </w:t>
      </w:r>
      <w:r w:rsidRPr="008619C4">
        <w:t>SCCS</w:t>
      </w:r>
      <w:r w:rsidRPr="008619C4">
        <w:rPr>
          <w:spacing w:val="-6"/>
        </w:rPr>
        <w:t xml:space="preserve"> </w:t>
      </w:r>
      <w:r w:rsidRPr="008619C4">
        <w:t>estimated</w:t>
      </w:r>
      <w:r w:rsidRPr="008619C4">
        <w:rPr>
          <w:spacing w:val="-8"/>
        </w:rPr>
        <w:t xml:space="preserve"> </w:t>
      </w:r>
      <w:r w:rsidRPr="008619C4">
        <w:t>daily</w:t>
      </w:r>
      <w:r w:rsidRPr="008619C4">
        <w:rPr>
          <w:spacing w:val="-7"/>
        </w:rPr>
        <w:t xml:space="preserve"> </w:t>
      </w:r>
      <w:r w:rsidRPr="008619C4">
        <w:t>sunscreen</w:t>
      </w:r>
      <w:r w:rsidRPr="008619C4">
        <w:rPr>
          <w:spacing w:val="-8"/>
        </w:rPr>
        <w:t xml:space="preserve"> </w:t>
      </w:r>
      <w:r w:rsidRPr="008619C4">
        <w:t>exposures</w:t>
      </w:r>
      <w:r w:rsidRPr="008619C4">
        <w:rPr>
          <w:spacing w:val="-7"/>
        </w:rPr>
        <w:t xml:space="preserve"> </w:t>
      </w:r>
      <w:r w:rsidRPr="008619C4">
        <w:t>are</w:t>
      </w:r>
      <w:r w:rsidRPr="008619C4">
        <w:rPr>
          <w:spacing w:val="-8"/>
        </w:rPr>
        <w:t xml:space="preserve"> </w:t>
      </w:r>
      <w:r w:rsidRPr="008619C4">
        <w:t>summarised</w:t>
      </w:r>
      <w:r w:rsidRPr="008619C4">
        <w:rPr>
          <w:spacing w:val="-7"/>
        </w:rPr>
        <w:t xml:space="preserve"> </w:t>
      </w:r>
      <w:r>
        <w:rPr>
          <w:spacing w:val="-2"/>
        </w:rPr>
        <w:t>in Table 9</w:t>
      </w:r>
    </w:p>
    <w:p w14:paraId="71FA64EF" w14:textId="34688858" w:rsidR="00151B4C" w:rsidRPr="008619C4" w:rsidRDefault="00D97276" w:rsidP="00290E87">
      <w:pPr>
        <w:pStyle w:val="Tabletitle"/>
      </w:pPr>
      <w:bookmarkStart w:id="105" w:name="Table9"/>
      <w:r>
        <w:t xml:space="preserve">Table </w:t>
      </w:r>
      <w:r w:rsidR="0082336B">
        <w:t>9</w:t>
      </w:r>
      <w:bookmarkEnd w:id="105"/>
      <w:r>
        <w:t xml:space="preserve">: </w:t>
      </w:r>
      <w:r w:rsidR="0082336B">
        <w:rPr>
          <w:lang w:val="en-US"/>
        </w:rPr>
        <w:t xml:space="preserve">SCCS methods of expressing </w:t>
      </w:r>
      <w:r w:rsidR="0082336B" w:rsidRPr="00151B4C">
        <w:rPr>
          <w:rFonts w:eastAsia="Arial" w:cs="Arial"/>
          <w:lang w:val="en-US"/>
        </w:rPr>
        <w:t>estimated</w:t>
      </w:r>
      <w:r w:rsidR="0082336B" w:rsidRPr="00151B4C">
        <w:rPr>
          <w:rFonts w:eastAsia="Arial" w:cs="Arial"/>
          <w:spacing w:val="-6"/>
          <w:lang w:val="en-US"/>
        </w:rPr>
        <w:t xml:space="preserve"> </w:t>
      </w:r>
      <w:r w:rsidR="0082336B" w:rsidRPr="00151B4C">
        <w:rPr>
          <w:rFonts w:eastAsia="Arial" w:cs="Arial"/>
          <w:lang w:val="en-US"/>
        </w:rPr>
        <w:t>daily</w:t>
      </w:r>
      <w:r w:rsidR="0082336B" w:rsidRPr="00151B4C">
        <w:rPr>
          <w:rFonts w:eastAsia="Arial" w:cs="Arial"/>
          <w:spacing w:val="-5"/>
          <w:lang w:val="en-US"/>
        </w:rPr>
        <w:t xml:space="preserve"> </w:t>
      </w:r>
      <w:r w:rsidR="0082336B" w:rsidRPr="00151B4C">
        <w:rPr>
          <w:rFonts w:eastAsia="Arial" w:cs="Arial"/>
          <w:lang w:val="en-US"/>
        </w:rPr>
        <w:t>sunscreen</w:t>
      </w:r>
      <w:r w:rsidR="0082336B" w:rsidRPr="00151B4C">
        <w:rPr>
          <w:rFonts w:eastAsia="Arial" w:cs="Arial"/>
          <w:spacing w:val="-6"/>
          <w:lang w:val="en-US"/>
        </w:rPr>
        <w:t xml:space="preserve"> </w:t>
      </w:r>
      <w:r w:rsidR="0082336B" w:rsidRPr="00151B4C">
        <w:rPr>
          <w:rFonts w:eastAsia="Arial" w:cs="Arial"/>
          <w:lang w:val="en-US"/>
        </w:rPr>
        <w:t>exposure</w:t>
      </w:r>
    </w:p>
    <w:tbl>
      <w:tblPr>
        <w:tblW w:w="9058"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594"/>
        <w:gridCol w:w="3232"/>
        <w:gridCol w:w="3232"/>
      </w:tblGrid>
      <w:tr w:rsidR="00151B4C" w:rsidRPr="006D28D0" w14:paraId="29C5D068" w14:textId="77777777" w:rsidTr="000F32AA">
        <w:trPr>
          <w:trHeight w:val="719"/>
        </w:trPr>
        <w:tc>
          <w:tcPr>
            <w:tcW w:w="2594" w:type="dxa"/>
            <w:shd w:val="clear" w:color="auto" w:fill="DEEAF6"/>
          </w:tcPr>
          <w:p w14:paraId="2DFF2C4C" w14:textId="77777777" w:rsidR="00151B4C" w:rsidRPr="006D28D0" w:rsidRDefault="00151B4C" w:rsidP="00290E87">
            <w:pPr>
              <w:pStyle w:val="TableParagraph"/>
              <w:keepNext/>
              <w:spacing w:before="129" w:line="249" w:lineRule="auto"/>
              <w:ind w:left="602" w:hanging="360"/>
              <w:rPr>
                <w:b/>
                <w:sz w:val="20"/>
                <w:szCs w:val="20"/>
              </w:rPr>
            </w:pPr>
            <w:r w:rsidRPr="006D28D0">
              <w:rPr>
                <w:b/>
                <w:color w:val="253186"/>
                <w:sz w:val="20"/>
                <w:szCs w:val="20"/>
              </w:rPr>
              <w:t>How</w:t>
            </w:r>
            <w:r w:rsidRPr="006D28D0">
              <w:rPr>
                <w:b/>
                <w:color w:val="253186"/>
                <w:spacing w:val="-14"/>
                <w:sz w:val="20"/>
                <w:szCs w:val="20"/>
              </w:rPr>
              <w:t xml:space="preserve"> </w:t>
            </w:r>
            <w:r w:rsidRPr="006D28D0">
              <w:rPr>
                <w:b/>
                <w:color w:val="253186"/>
                <w:sz w:val="20"/>
                <w:szCs w:val="20"/>
              </w:rPr>
              <w:t>dermal</w:t>
            </w:r>
            <w:r w:rsidRPr="006D28D0">
              <w:rPr>
                <w:b/>
                <w:color w:val="253186"/>
                <w:spacing w:val="-14"/>
                <w:sz w:val="20"/>
                <w:szCs w:val="20"/>
              </w:rPr>
              <w:t xml:space="preserve"> </w:t>
            </w:r>
            <w:r w:rsidRPr="006D28D0">
              <w:rPr>
                <w:b/>
                <w:color w:val="253186"/>
                <w:sz w:val="20"/>
                <w:szCs w:val="20"/>
              </w:rPr>
              <w:t>absorption data is reported</w:t>
            </w:r>
          </w:p>
        </w:tc>
        <w:tc>
          <w:tcPr>
            <w:tcW w:w="3232" w:type="dxa"/>
            <w:shd w:val="clear" w:color="auto" w:fill="DEEAF6"/>
          </w:tcPr>
          <w:p w14:paraId="315322AC" w14:textId="77777777" w:rsidR="00151B4C" w:rsidRPr="003413F6" w:rsidRDefault="00151B4C" w:rsidP="00290E87">
            <w:pPr>
              <w:pStyle w:val="TableParagraph"/>
              <w:keepNext/>
              <w:spacing w:before="120"/>
              <w:ind w:left="1183" w:hanging="900"/>
              <w:rPr>
                <w:b/>
                <w:sz w:val="20"/>
                <w:szCs w:val="20"/>
              </w:rPr>
            </w:pPr>
            <w:r w:rsidRPr="003413F6">
              <w:rPr>
                <w:b/>
                <w:color w:val="253186"/>
                <w:sz w:val="20"/>
                <w:szCs w:val="20"/>
              </w:rPr>
              <w:t>Estimated</w:t>
            </w:r>
            <w:r w:rsidRPr="003413F6">
              <w:rPr>
                <w:b/>
                <w:color w:val="253186"/>
                <w:spacing w:val="-16"/>
                <w:sz w:val="20"/>
                <w:szCs w:val="20"/>
              </w:rPr>
              <w:t xml:space="preserve"> </w:t>
            </w:r>
            <w:r w:rsidRPr="003413F6">
              <w:rPr>
                <w:b/>
                <w:color w:val="253186"/>
                <w:sz w:val="20"/>
                <w:szCs w:val="20"/>
              </w:rPr>
              <w:t>daily</w:t>
            </w:r>
            <w:r w:rsidRPr="003413F6">
              <w:rPr>
                <w:b/>
                <w:color w:val="253186"/>
                <w:spacing w:val="-15"/>
                <w:sz w:val="20"/>
                <w:szCs w:val="20"/>
              </w:rPr>
              <w:t xml:space="preserve"> </w:t>
            </w:r>
            <w:r w:rsidRPr="003413F6">
              <w:rPr>
                <w:b/>
                <w:color w:val="253186"/>
                <w:sz w:val="20"/>
                <w:szCs w:val="20"/>
              </w:rPr>
              <w:t xml:space="preserve">sunscreen </w:t>
            </w:r>
            <w:r w:rsidRPr="003413F6">
              <w:rPr>
                <w:b/>
                <w:color w:val="253186"/>
                <w:spacing w:val="-2"/>
                <w:sz w:val="20"/>
                <w:szCs w:val="20"/>
              </w:rPr>
              <w:t>exposure</w:t>
            </w:r>
          </w:p>
        </w:tc>
        <w:tc>
          <w:tcPr>
            <w:tcW w:w="3232" w:type="dxa"/>
            <w:shd w:val="clear" w:color="auto" w:fill="DEEAF6"/>
          </w:tcPr>
          <w:p w14:paraId="5D65E9C3" w14:textId="77777777" w:rsidR="00151B4C" w:rsidRPr="006D28D0" w:rsidRDefault="00151B4C" w:rsidP="00290E87">
            <w:pPr>
              <w:pStyle w:val="TableParagraph"/>
              <w:keepNext/>
              <w:spacing w:before="129" w:line="249" w:lineRule="auto"/>
              <w:ind w:left="841" w:hanging="557"/>
              <w:rPr>
                <w:b/>
                <w:sz w:val="20"/>
                <w:szCs w:val="20"/>
              </w:rPr>
            </w:pPr>
            <w:r w:rsidRPr="006D28D0">
              <w:rPr>
                <w:b/>
                <w:color w:val="253186"/>
                <w:sz w:val="20"/>
                <w:szCs w:val="20"/>
              </w:rPr>
              <w:t>Estimated</w:t>
            </w:r>
            <w:r w:rsidRPr="006D28D0">
              <w:rPr>
                <w:b/>
                <w:color w:val="253186"/>
                <w:spacing w:val="-14"/>
                <w:sz w:val="20"/>
                <w:szCs w:val="20"/>
              </w:rPr>
              <w:t xml:space="preserve"> </w:t>
            </w:r>
            <w:r w:rsidRPr="006D28D0">
              <w:rPr>
                <w:b/>
                <w:color w:val="253186"/>
                <w:sz w:val="20"/>
                <w:szCs w:val="20"/>
              </w:rPr>
              <w:t>daily</w:t>
            </w:r>
            <w:r w:rsidRPr="006D28D0">
              <w:rPr>
                <w:b/>
                <w:color w:val="253186"/>
                <w:spacing w:val="-13"/>
                <w:sz w:val="20"/>
                <w:szCs w:val="20"/>
              </w:rPr>
              <w:t xml:space="preserve"> </w:t>
            </w:r>
            <w:r w:rsidRPr="006D28D0">
              <w:rPr>
                <w:b/>
                <w:color w:val="253186"/>
                <w:sz w:val="20"/>
                <w:szCs w:val="20"/>
              </w:rPr>
              <w:t>exposure</w:t>
            </w:r>
            <w:r w:rsidRPr="006D28D0">
              <w:rPr>
                <w:b/>
                <w:color w:val="253186"/>
                <w:spacing w:val="-13"/>
                <w:sz w:val="20"/>
                <w:szCs w:val="20"/>
              </w:rPr>
              <w:t xml:space="preserve"> </w:t>
            </w:r>
            <w:r w:rsidRPr="006D28D0">
              <w:rPr>
                <w:b/>
                <w:color w:val="253186"/>
                <w:sz w:val="20"/>
                <w:szCs w:val="20"/>
              </w:rPr>
              <w:t>per unit body weight*</w:t>
            </w:r>
          </w:p>
        </w:tc>
      </w:tr>
      <w:tr w:rsidR="00151B4C" w:rsidRPr="008619C4" w14:paraId="6FBBE585" w14:textId="77777777" w:rsidTr="000F32AA">
        <w:trPr>
          <w:trHeight w:val="640"/>
        </w:trPr>
        <w:tc>
          <w:tcPr>
            <w:tcW w:w="2594" w:type="dxa"/>
          </w:tcPr>
          <w:p w14:paraId="24D8F535" w14:textId="77777777" w:rsidR="00151B4C" w:rsidRPr="006D28D0" w:rsidRDefault="00151B4C" w:rsidP="00290E87">
            <w:pPr>
              <w:pStyle w:val="TableParagraph"/>
              <w:spacing w:before="152"/>
              <w:ind w:left="173"/>
              <w:rPr>
                <w:sz w:val="18"/>
                <w:szCs w:val="18"/>
              </w:rPr>
            </w:pPr>
            <w:r w:rsidRPr="006D28D0">
              <w:rPr>
                <w:sz w:val="18"/>
                <w:szCs w:val="18"/>
              </w:rPr>
              <w:t>Method 1</w:t>
            </w:r>
            <w:r w:rsidRPr="006D28D0">
              <w:rPr>
                <w:spacing w:val="-2"/>
                <w:sz w:val="18"/>
                <w:szCs w:val="18"/>
              </w:rPr>
              <w:t xml:space="preserve"> </w:t>
            </w:r>
            <w:r w:rsidRPr="006D28D0">
              <w:rPr>
                <w:spacing w:val="-5"/>
                <w:sz w:val="18"/>
                <w:szCs w:val="18"/>
              </w:rPr>
              <w:t>(%)</w:t>
            </w:r>
          </w:p>
        </w:tc>
        <w:tc>
          <w:tcPr>
            <w:tcW w:w="3232" w:type="dxa"/>
          </w:tcPr>
          <w:p w14:paraId="3243BA69" w14:textId="77777777" w:rsidR="00151B4C" w:rsidRPr="006D28D0" w:rsidRDefault="00151B4C" w:rsidP="0082336B">
            <w:pPr>
              <w:pStyle w:val="TableParagraph"/>
              <w:spacing w:before="152"/>
              <w:ind w:left="173"/>
              <w:rPr>
                <w:sz w:val="18"/>
                <w:szCs w:val="18"/>
              </w:rPr>
            </w:pPr>
            <w:r w:rsidRPr="006D28D0">
              <w:rPr>
                <w:sz w:val="18"/>
                <w:szCs w:val="18"/>
              </w:rPr>
              <w:t>18 g/day (i.e. 9 g of sunscreen applied twice daily)</w:t>
            </w:r>
          </w:p>
        </w:tc>
        <w:tc>
          <w:tcPr>
            <w:tcW w:w="3232" w:type="dxa"/>
          </w:tcPr>
          <w:p w14:paraId="6B5324E9" w14:textId="77777777" w:rsidR="00151B4C" w:rsidRPr="006D28D0" w:rsidRDefault="00151B4C" w:rsidP="0082336B">
            <w:pPr>
              <w:pStyle w:val="TableParagraph"/>
              <w:spacing w:before="152"/>
              <w:ind w:left="173"/>
              <w:rPr>
                <w:sz w:val="18"/>
                <w:szCs w:val="18"/>
              </w:rPr>
            </w:pPr>
            <w:r w:rsidRPr="006D28D0">
              <w:rPr>
                <w:sz w:val="18"/>
                <w:szCs w:val="18"/>
              </w:rPr>
              <w:t>300 mg/kg bw/day</w:t>
            </w:r>
          </w:p>
        </w:tc>
      </w:tr>
      <w:tr w:rsidR="00151B4C" w:rsidRPr="008619C4" w14:paraId="4D2F0C3B" w14:textId="77777777" w:rsidTr="000F32AA">
        <w:trPr>
          <w:trHeight w:val="640"/>
        </w:trPr>
        <w:tc>
          <w:tcPr>
            <w:tcW w:w="2594" w:type="dxa"/>
          </w:tcPr>
          <w:p w14:paraId="1661084B" w14:textId="77777777" w:rsidR="00151B4C" w:rsidRPr="006D28D0" w:rsidRDefault="00151B4C" w:rsidP="00290E87">
            <w:pPr>
              <w:pStyle w:val="TableParagraph"/>
              <w:spacing w:before="149"/>
              <w:ind w:left="173" w:right="51"/>
              <w:rPr>
                <w:sz w:val="18"/>
                <w:szCs w:val="18"/>
              </w:rPr>
            </w:pPr>
            <w:r w:rsidRPr="006D28D0">
              <w:rPr>
                <w:sz w:val="18"/>
                <w:szCs w:val="18"/>
              </w:rPr>
              <w:t>Method 2</w:t>
            </w:r>
            <w:r w:rsidRPr="006D28D0">
              <w:rPr>
                <w:spacing w:val="1"/>
                <w:sz w:val="18"/>
                <w:szCs w:val="18"/>
              </w:rPr>
              <w:t xml:space="preserve"> </w:t>
            </w:r>
            <w:r w:rsidRPr="006D28D0">
              <w:rPr>
                <w:spacing w:val="-2"/>
                <w:sz w:val="18"/>
                <w:szCs w:val="18"/>
              </w:rPr>
              <w:t>(µg/cm</w:t>
            </w:r>
            <w:r w:rsidRPr="003413F6">
              <w:rPr>
                <w:spacing w:val="-2"/>
                <w:position w:val="6"/>
                <w:sz w:val="18"/>
                <w:szCs w:val="18"/>
              </w:rPr>
              <w:t>2</w:t>
            </w:r>
            <w:r w:rsidRPr="006D28D0">
              <w:rPr>
                <w:spacing w:val="-2"/>
                <w:sz w:val="18"/>
                <w:szCs w:val="18"/>
              </w:rPr>
              <w:t>)</w:t>
            </w:r>
          </w:p>
        </w:tc>
        <w:tc>
          <w:tcPr>
            <w:tcW w:w="3232" w:type="dxa"/>
          </w:tcPr>
          <w:p w14:paraId="2387EB28" w14:textId="77777777" w:rsidR="00151B4C" w:rsidRPr="006D28D0" w:rsidRDefault="00151B4C" w:rsidP="0082336B">
            <w:pPr>
              <w:pStyle w:val="TableParagraph"/>
              <w:spacing w:before="152"/>
              <w:ind w:left="173"/>
              <w:rPr>
                <w:sz w:val="18"/>
                <w:szCs w:val="18"/>
              </w:rPr>
            </w:pPr>
            <w:r w:rsidRPr="006D28D0">
              <w:rPr>
                <w:sz w:val="18"/>
                <w:szCs w:val="18"/>
              </w:rPr>
              <w:t>35,000 cm2/day (i.e. 2x whole body applications daily)</w:t>
            </w:r>
          </w:p>
        </w:tc>
        <w:tc>
          <w:tcPr>
            <w:tcW w:w="3232" w:type="dxa"/>
          </w:tcPr>
          <w:p w14:paraId="30552311" w14:textId="77777777" w:rsidR="00151B4C" w:rsidRPr="006D28D0" w:rsidRDefault="00151B4C" w:rsidP="0082336B">
            <w:pPr>
              <w:pStyle w:val="TableParagraph"/>
              <w:spacing w:before="152"/>
              <w:ind w:left="173"/>
              <w:rPr>
                <w:sz w:val="18"/>
                <w:szCs w:val="18"/>
              </w:rPr>
            </w:pPr>
            <w:r w:rsidRPr="006D28D0">
              <w:rPr>
                <w:sz w:val="18"/>
                <w:szCs w:val="18"/>
              </w:rPr>
              <w:t>583 cm2/kg bw/day</w:t>
            </w:r>
          </w:p>
        </w:tc>
      </w:tr>
    </w:tbl>
    <w:p w14:paraId="20F51119" w14:textId="77777777" w:rsidR="00151B4C" w:rsidRPr="008619C4" w:rsidRDefault="00151B4C" w:rsidP="0082336B">
      <w:pPr>
        <w:pStyle w:val="Tabledescription"/>
      </w:pPr>
      <w:r w:rsidRPr="008619C4">
        <w:t>* Estimated</w:t>
      </w:r>
      <w:r w:rsidRPr="008619C4">
        <w:rPr>
          <w:spacing w:val="-4"/>
        </w:rPr>
        <w:t xml:space="preserve"> </w:t>
      </w:r>
      <w:r w:rsidRPr="008619C4">
        <w:t>daily</w:t>
      </w:r>
      <w:r w:rsidRPr="008619C4">
        <w:rPr>
          <w:spacing w:val="-3"/>
        </w:rPr>
        <w:t xml:space="preserve"> </w:t>
      </w:r>
      <w:r w:rsidRPr="008619C4">
        <w:t>exposure</w:t>
      </w:r>
      <w:r w:rsidRPr="008619C4">
        <w:rPr>
          <w:spacing w:val="-1"/>
        </w:rPr>
        <w:t xml:space="preserve"> </w:t>
      </w:r>
      <w:r w:rsidRPr="008619C4">
        <w:t>per</w:t>
      </w:r>
      <w:r w:rsidRPr="008619C4">
        <w:rPr>
          <w:spacing w:val="-4"/>
        </w:rPr>
        <w:t xml:space="preserve"> </w:t>
      </w:r>
      <w:r w:rsidRPr="008619C4">
        <w:t>unit</w:t>
      </w:r>
      <w:r w:rsidRPr="008619C4">
        <w:rPr>
          <w:spacing w:val="-4"/>
        </w:rPr>
        <w:t xml:space="preserve"> </w:t>
      </w:r>
      <w:r w:rsidRPr="008619C4">
        <w:t>body</w:t>
      </w:r>
      <w:r w:rsidRPr="008619C4">
        <w:rPr>
          <w:spacing w:val="-1"/>
        </w:rPr>
        <w:t xml:space="preserve"> </w:t>
      </w:r>
      <w:r w:rsidRPr="008619C4">
        <w:t>weight</w:t>
      </w:r>
      <w:r w:rsidRPr="008619C4">
        <w:rPr>
          <w:spacing w:val="-4"/>
        </w:rPr>
        <w:t xml:space="preserve"> </w:t>
      </w:r>
      <w:r w:rsidRPr="008619C4">
        <w:t>is</w:t>
      </w:r>
      <w:r w:rsidRPr="008619C4">
        <w:rPr>
          <w:spacing w:val="-3"/>
        </w:rPr>
        <w:t xml:space="preserve"> </w:t>
      </w:r>
      <w:r w:rsidRPr="008619C4">
        <w:t>calculated</w:t>
      </w:r>
      <w:r w:rsidRPr="008619C4">
        <w:rPr>
          <w:spacing w:val="-5"/>
        </w:rPr>
        <w:t xml:space="preserve"> </w:t>
      </w:r>
      <w:r w:rsidRPr="008619C4">
        <w:t>by</w:t>
      </w:r>
      <w:r w:rsidRPr="008619C4">
        <w:rPr>
          <w:spacing w:val="-1"/>
        </w:rPr>
        <w:t xml:space="preserve"> </w:t>
      </w:r>
      <w:r w:rsidRPr="008619C4">
        <w:t>dividing</w:t>
      </w:r>
      <w:r w:rsidRPr="008619C4">
        <w:rPr>
          <w:spacing w:val="-1"/>
        </w:rPr>
        <w:t xml:space="preserve"> </w:t>
      </w:r>
      <w:r w:rsidRPr="008619C4">
        <w:t>estimated</w:t>
      </w:r>
      <w:r w:rsidRPr="008619C4">
        <w:rPr>
          <w:spacing w:val="-1"/>
        </w:rPr>
        <w:t xml:space="preserve"> </w:t>
      </w:r>
      <w:r w:rsidRPr="008619C4">
        <w:t>daily</w:t>
      </w:r>
      <w:r w:rsidRPr="008619C4">
        <w:rPr>
          <w:spacing w:val="-3"/>
        </w:rPr>
        <w:t xml:space="preserve"> </w:t>
      </w:r>
      <w:r w:rsidRPr="008619C4">
        <w:t>sunscreen</w:t>
      </w:r>
      <w:r w:rsidRPr="008619C4">
        <w:rPr>
          <w:spacing w:val="-1"/>
        </w:rPr>
        <w:t xml:space="preserve"> </w:t>
      </w:r>
      <w:r w:rsidRPr="008619C4">
        <w:t>exposure</w:t>
      </w:r>
      <w:r w:rsidRPr="008619C4">
        <w:rPr>
          <w:spacing w:val="-4"/>
        </w:rPr>
        <w:t xml:space="preserve"> </w:t>
      </w:r>
      <w:r w:rsidRPr="008619C4">
        <w:t>by the SCCS default human body weight of 60 kg.</w:t>
      </w:r>
    </w:p>
    <w:p w14:paraId="749DA181" w14:textId="15D66429" w:rsidR="00151B4C" w:rsidRDefault="00151B4C" w:rsidP="00151B4C">
      <w:pPr>
        <w:pStyle w:val="BodyText"/>
        <w:spacing w:before="120" w:line="259" w:lineRule="auto"/>
        <w:ind w:left="1" w:right="161"/>
      </w:pPr>
      <w:r w:rsidRPr="008619C4">
        <w:t>The</w:t>
      </w:r>
      <w:r w:rsidRPr="008619C4">
        <w:rPr>
          <w:spacing w:val="-4"/>
        </w:rPr>
        <w:t xml:space="preserve"> </w:t>
      </w:r>
      <w:r w:rsidRPr="008619C4">
        <w:t>TGA</w:t>
      </w:r>
      <w:r w:rsidRPr="008619C4">
        <w:rPr>
          <w:spacing w:val="-2"/>
        </w:rPr>
        <w:t xml:space="preserve"> </w:t>
      </w:r>
      <w:r w:rsidRPr="008619C4">
        <w:t>notes</w:t>
      </w:r>
      <w:r w:rsidRPr="008619C4">
        <w:rPr>
          <w:spacing w:val="-3"/>
        </w:rPr>
        <w:t xml:space="preserve"> </w:t>
      </w:r>
      <w:r w:rsidRPr="008619C4">
        <w:t>that</w:t>
      </w:r>
      <w:r w:rsidRPr="008619C4">
        <w:rPr>
          <w:spacing w:val="-2"/>
        </w:rPr>
        <w:t xml:space="preserve"> </w:t>
      </w:r>
      <w:r w:rsidRPr="008619C4">
        <w:t>depending</w:t>
      </w:r>
      <w:r w:rsidRPr="008619C4">
        <w:rPr>
          <w:spacing w:val="-4"/>
        </w:rPr>
        <w:t xml:space="preserve"> </w:t>
      </w:r>
      <w:r w:rsidRPr="008619C4">
        <w:t>on</w:t>
      </w:r>
      <w:r w:rsidRPr="008619C4">
        <w:rPr>
          <w:spacing w:val="-2"/>
        </w:rPr>
        <w:t xml:space="preserve"> </w:t>
      </w:r>
      <w:r w:rsidRPr="008619C4">
        <w:t>the</w:t>
      </w:r>
      <w:r w:rsidRPr="008619C4">
        <w:rPr>
          <w:spacing w:val="-2"/>
        </w:rPr>
        <w:t xml:space="preserve"> </w:t>
      </w:r>
      <w:r w:rsidRPr="008619C4">
        <w:t>data</w:t>
      </w:r>
      <w:r w:rsidRPr="008619C4">
        <w:rPr>
          <w:spacing w:val="-4"/>
        </w:rPr>
        <w:t xml:space="preserve"> </w:t>
      </w:r>
      <w:r w:rsidRPr="008619C4">
        <w:t>available,</w:t>
      </w:r>
      <w:r w:rsidRPr="008619C4">
        <w:rPr>
          <w:spacing w:val="-4"/>
        </w:rPr>
        <w:t xml:space="preserve"> </w:t>
      </w:r>
      <w:r w:rsidRPr="008619C4">
        <w:t>these</w:t>
      </w:r>
      <w:r w:rsidRPr="008619C4">
        <w:rPr>
          <w:spacing w:val="-4"/>
        </w:rPr>
        <w:t xml:space="preserve"> </w:t>
      </w:r>
      <w:r w:rsidRPr="008619C4">
        <w:t>2</w:t>
      </w:r>
      <w:r w:rsidRPr="008619C4">
        <w:rPr>
          <w:spacing w:val="-1"/>
        </w:rPr>
        <w:t xml:space="preserve"> </w:t>
      </w:r>
      <w:r w:rsidRPr="008619C4">
        <w:t>methods</w:t>
      </w:r>
      <w:r w:rsidRPr="008619C4">
        <w:rPr>
          <w:spacing w:val="-3"/>
        </w:rPr>
        <w:t xml:space="preserve"> </w:t>
      </w:r>
      <w:r w:rsidRPr="008619C4">
        <w:t>result</w:t>
      </w:r>
      <w:r w:rsidRPr="008619C4">
        <w:rPr>
          <w:spacing w:val="-2"/>
        </w:rPr>
        <w:t xml:space="preserve"> </w:t>
      </w:r>
      <w:r w:rsidRPr="008619C4">
        <w:t>in</w:t>
      </w:r>
      <w:r w:rsidRPr="008619C4">
        <w:rPr>
          <w:spacing w:val="-4"/>
        </w:rPr>
        <w:t xml:space="preserve"> </w:t>
      </w:r>
      <w:r w:rsidRPr="008619C4">
        <w:t>substantial</w:t>
      </w:r>
      <w:r w:rsidRPr="008619C4">
        <w:rPr>
          <w:spacing w:val="-2"/>
        </w:rPr>
        <w:t xml:space="preserve"> </w:t>
      </w:r>
      <w:r w:rsidRPr="008619C4">
        <w:t>differences in the MoS calculation for the same ingredient. This means in some cases the SCCS calculations result in less or more conservative calculations for the MoS than the ASEM</w:t>
      </w:r>
      <w:r w:rsidR="0082336B">
        <w:t xml:space="preserve"> (Option 1)</w:t>
      </w:r>
      <w:r w:rsidRPr="0082336B">
        <w:t>.</w:t>
      </w:r>
    </w:p>
    <w:p w14:paraId="310A7BF6" w14:textId="49AAF4AC" w:rsidR="00151B4C" w:rsidRPr="008619C4" w:rsidRDefault="00151B4C" w:rsidP="00F47305">
      <w:pPr>
        <w:pStyle w:val="Heading4"/>
      </w:pPr>
      <w:bookmarkStart w:id="106" w:name="_Toc184730586"/>
      <w:r w:rsidRPr="008619C4">
        <w:t>Background</w:t>
      </w:r>
      <w:r w:rsidRPr="008619C4">
        <w:rPr>
          <w:spacing w:val="-5"/>
        </w:rPr>
        <w:t xml:space="preserve"> </w:t>
      </w:r>
      <w:r w:rsidRPr="008619C4">
        <w:t>for</w:t>
      </w:r>
      <w:r w:rsidRPr="008619C4">
        <w:rPr>
          <w:spacing w:val="-5"/>
        </w:rPr>
        <w:t xml:space="preserve"> </w:t>
      </w:r>
      <w:r w:rsidRPr="008619C4">
        <w:t>the</w:t>
      </w:r>
      <w:r w:rsidRPr="008619C4">
        <w:rPr>
          <w:spacing w:val="-2"/>
        </w:rPr>
        <w:t xml:space="preserve"> </w:t>
      </w:r>
      <w:r w:rsidR="007B4E17" w:rsidRPr="008619C4">
        <w:rPr>
          <w:spacing w:val="-4"/>
        </w:rPr>
        <w:t>SCCS</w:t>
      </w:r>
      <w:r w:rsidR="007B4E17" w:rsidRPr="008619C4">
        <w:t xml:space="preserve"> </w:t>
      </w:r>
      <w:r w:rsidRPr="008619C4">
        <w:t>estimated</w:t>
      </w:r>
      <w:r w:rsidRPr="008619C4">
        <w:rPr>
          <w:spacing w:val="-5"/>
        </w:rPr>
        <w:t xml:space="preserve"> </w:t>
      </w:r>
      <w:r w:rsidRPr="008619C4">
        <w:t>daily</w:t>
      </w:r>
      <w:r w:rsidRPr="008619C4">
        <w:rPr>
          <w:spacing w:val="-5"/>
        </w:rPr>
        <w:t xml:space="preserve"> </w:t>
      </w:r>
      <w:r w:rsidRPr="008619C4">
        <w:t>sunscreen</w:t>
      </w:r>
      <w:r w:rsidRPr="008619C4">
        <w:rPr>
          <w:spacing w:val="-5"/>
        </w:rPr>
        <w:t xml:space="preserve"> </w:t>
      </w:r>
      <w:r w:rsidRPr="008619C4">
        <w:t>exposure</w:t>
      </w:r>
      <w:r w:rsidRPr="008619C4">
        <w:rPr>
          <w:spacing w:val="-3"/>
        </w:rPr>
        <w:t xml:space="preserve"> </w:t>
      </w:r>
      <w:r w:rsidRPr="008619C4">
        <w:t>values</w:t>
      </w:r>
      <w:bookmarkEnd w:id="106"/>
      <w:r w:rsidRPr="008619C4">
        <w:rPr>
          <w:spacing w:val="-5"/>
        </w:rPr>
        <w:t xml:space="preserve"> </w:t>
      </w:r>
    </w:p>
    <w:p w14:paraId="7A425139" w14:textId="33374D3C" w:rsidR="00151B4C" w:rsidRPr="008619C4" w:rsidRDefault="00151B4C" w:rsidP="00151B4C">
      <w:pPr>
        <w:pStyle w:val="BodyText"/>
        <w:spacing w:before="121" w:line="259" w:lineRule="auto"/>
        <w:ind w:right="161"/>
      </w:pPr>
      <w:r w:rsidRPr="008619C4">
        <w:rPr>
          <w:color w:val="232323"/>
        </w:rPr>
        <w:t>For</w:t>
      </w:r>
      <w:r w:rsidRPr="008619C4">
        <w:rPr>
          <w:color w:val="232323"/>
          <w:spacing w:val="-2"/>
        </w:rPr>
        <w:t xml:space="preserve"> </w:t>
      </w:r>
      <w:r w:rsidRPr="008619C4">
        <w:rPr>
          <w:color w:val="232323"/>
        </w:rPr>
        <w:t>method</w:t>
      </w:r>
      <w:r w:rsidRPr="008619C4">
        <w:rPr>
          <w:color w:val="232323"/>
          <w:spacing w:val="-1"/>
        </w:rPr>
        <w:t xml:space="preserve"> </w:t>
      </w:r>
      <w:r w:rsidRPr="008619C4">
        <w:rPr>
          <w:color w:val="232323"/>
        </w:rPr>
        <w:t>1,</w:t>
      </w:r>
      <w:r w:rsidRPr="008619C4">
        <w:rPr>
          <w:color w:val="232323"/>
          <w:spacing w:val="-3"/>
        </w:rPr>
        <w:t xml:space="preserve"> </w:t>
      </w:r>
      <w:r w:rsidRPr="008619C4">
        <w:rPr>
          <w:color w:val="232323"/>
        </w:rPr>
        <w:t>the</w:t>
      </w:r>
      <w:r w:rsidRPr="008619C4">
        <w:rPr>
          <w:color w:val="232323"/>
          <w:spacing w:val="-1"/>
        </w:rPr>
        <w:t xml:space="preserve"> </w:t>
      </w:r>
      <w:r w:rsidRPr="008619C4">
        <w:rPr>
          <w:color w:val="232323"/>
        </w:rPr>
        <w:t>SCCS</w:t>
      </w:r>
      <w:r w:rsidRPr="008619C4">
        <w:rPr>
          <w:color w:val="232323"/>
          <w:spacing w:val="-4"/>
        </w:rPr>
        <w:t xml:space="preserve"> </w:t>
      </w:r>
      <w:r w:rsidRPr="008619C4">
        <w:rPr>
          <w:color w:val="232323"/>
        </w:rPr>
        <w:t>model</w:t>
      </w:r>
      <w:r w:rsidRPr="008619C4">
        <w:rPr>
          <w:color w:val="232323"/>
          <w:spacing w:val="-4"/>
        </w:rPr>
        <w:t xml:space="preserve"> </w:t>
      </w:r>
      <w:r w:rsidRPr="008619C4">
        <w:rPr>
          <w:color w:val="232323"/>
        </w:rPr>
        <w:t>uses</w:t>
      </w:r>
      <w:r w:rsidRPr="008619C4">
        <w:rPr>
          <w:color w:val="232323"/>
          <w:spacing w:val="-2"/>
        </w:rPr>
        <w:t xml:space="preserve"> </w:t>
      </w:r>
      <w:r w:rsidRPr="008619C4">
        <w:rPr>
          <w:color w:val="232323"/>
        </w:rPr>
        <w:t>an</w:t>
      </w:r>
      <w:r w:rsidRPr="008619C4">
        <w:rPr>
          <w:color w:val="232323"/>
          <w:spacing w:val="-3"/>
        </w:rPr>
        <w:t xml:space="preserve"> </w:t>
      </w:r>
      <w:r w:rsidRPr="008619C4">
        <w:rPr>
          <w:color w:val="232323"/>
        </w:rPr>
        <w:t>estimated</w:t>
      </w:r>
      <w:r w:rsidRPr="008619C4">
        <w:rPr>
          <w:color w:val="232323"/>
          <w:spacing w:val="-1"/>
        </w:rPr>
        <w:t xml:space="preserve"> </w:t>
      </w:r>
      <w:r w:rsidRPr="008619C4">
        <w:rPr>
          <w:color w:val="232323"/>
        </w:rPr>
        <w:t>daily</w:t>
      </w:r>
      <w:r w:rsidRPr="008619C4">
        <w:rPr>
          <w:color w:val="232323"/>
          <w:spacing w:val="-2"/>
        </w:rPr>
        <w:t xml:space="preserve"> </w:t>
      </w:r>
      <w:r w:rsidRPr="008619C4">
        <w:rPr>
          <w:color w:val="232323"/>
        </w:rPr>
        <w:t>sunscreen</w:t>
      </w:r>
      <w:r w:rsidRPr="008619C4">
        <w:rPr>
          <w:color w:val="232323"/>
          <w:spacing w:val="-3"/>
        </w:rPr>
        <w:t xml:space="preserve"> </w:t>
      </w:r>
      <w:r w:rsidRPr="008619C4">
        <w:rPr>
          <w:color w:val="232323"/>
        </w:rPr>
        <w:t>exposure of</w:t>
      </w:r>
      <w:r w:rsidRPr="008619C4">
        <w:rPr>
          <w:color w:val="232323"/>
          <w:spacing w:val="-3"/>
        </w:rPr>
        <w:t xml:space="preserve"> </w:t>
      </w:r>
      <w:r w:rsidRPr="008619C4">
        <w:rPr>
          <w:color w:val="232323"/>
        </w:rPr>
        <w:t>18</w:t>
      </w:r>
      <w:r w:rsidRPr="008619C4">
        <w:rPr>
          <w:color w:val="232323"/>
          <w:spacing w:val="-3"/>
        </w:rPr>
        <w:t xml:space="preserve"> </w:t>
      </w:r>
      <w:r w:rsidRPr="008619C4">
        <w:rPr>
          <w:color w:val="232323"/>
        </w:rPr>
        <w:t>g</w:t>
      </w:r>
      <w:r w:rsidRPr="008619C4">
        <w:rPr>
          <w:color w:val="232323"/>
          <w:spacing w:val="-3"/>
        </w:rPr>
        <w:t xml:space="preserve"> </w:t>
      </w:r>
      <w:r w:rsidRPr="008619C4">
        <w:rPr>
          <w:color w:val="232323"/>
        </w:rPr>
        <w:t>per</w:t>
      </w:r>
      <w:r w:rsidRPr="008619C4">
        <w:rPr>
          <w:color w:val="232323"/>
          <w:spacing w:val="-2"/>
        </w:rPr>
        <w:t xml:space="preserve"> </w:t>
      </w:r>
      <w:r w:rsidRPr="008619C4">
        <w:rPr>
          <w:color w:val="232323"/>
        </w:rPr>
        <w:t>day,</w:t>
      </w:r>
      <w:r w:rsidRPr="008619C4">
        <w:rPr>
          <w:color w:val="232323"/>
          <w:spacing w:val="-1"/>
        </w:rPr>
        <w:t xml:space="preserve"> </w:t>
      </w:r>
      <w:r w:rsidRPr="008619C4">
        <w:rPr>
          <w:color w:val="232323"/>
        </w:rPr>
        <w:t>a</w:t>
      </w:r>
      <w:r w:rsidRPr="008619C4">
        <w:rPr>
          <w:color w:val="232323"/>
          <w:spacing w:val="-3"/>
        </w:rPr>
        <w:t xml:space="preserve"> </w:t>
      </w:r>
      <w:r w:rsidRPr="008619C4">
        <w:rPr>
          <w:color w:val="232323"/>
        </w:rPr>
        <w:t xml:space="preserve">figure derived from studies outside Australia, such as </w:t>
      </w:r>
      <w:r w:rsidRPr="008619C4">
        <w:t>Biesterbos et al. 2013</w:t>
      </w:r>
      <w:r w:rsidRPr="008619C4">
        <w:rPr>
          <w:color w:val="232323"/>
        </w:rPr>
        <w:t>, in the Netherlands (</w:t>
      </w:r>
      <w:r w:rsidRPr="008619C4">
        <w:t>SCCS 2021)</w:t>
      </w:r>
      <w:r w:rsidRPr="008619C4">
        <w:rPr>
          <w:color w:val="232323"/>
        </w:rPr>
        <w:t xml:space="preserve">. This figure is further supported by research from </w:t>
      </w:r>
      <w:r w:rsidRPr="008619C4">
        <w:t xml:space="preserve">Gomez-Berrada et al. (2017 and 2018) </w:t>
      </w:r>
      <w:r w:rsidRPr="008619C4">
        <w:rPr>
          <w:color w:val="232323"/>
        </w:rPr>
        <w:t xml:space="preserve">(encompassing 75 studies in adults and children across Mauritius, Spain, France and Italy </w:t>
      </w:r>
      <w:r w:rsidRPr="008619C4">
        <w:t>(p. 98, SCCS 2023</w:t>
      </w:r>
      <w:r w:rsidRPr="008619C4">
        <w:rPr>
          <w:color w:val="232323"/>
        </w:rPr>
        <w:t>).</w:t>
      </w:r>
    </w:p>
    <w:p w14:paraId="5D32F523" w14:textId="77777777" w:rsidR="00151B4C" w:rsidRPr="008619C4" w:rsidRDefault="00151B4C" w:rsidP="00151B4C">
      <w:pPr>
        <w:pStyle w:val="BodyText"/>
        <w:spacing w:before="119"/>
      </w:pPr>
      <w:r w:rsidRPr="008619C4">
        <w:rPr>
          <w:color w:val="232323"/>
        </w:rPr>
        <w:t>For</w:t>
      </w:r>
      <w:r w:rsidRPr="008619C4">
        <w:rPr>
          <w:color w:val="232323"/>
          <w:spacing w:val="-5"/>
        </w:rPr>
        <w:t xml:space="preserve"> </w:t>
      </w:r>
      <w:r w:rsidRPr="008619C4">
        <w:rPr>
          <w:color w:val="232323"/>
        </w:rPr>
        <w:t>method</w:t>
      </w:r>
      <w:r w:rsidRPr="008619C4">
        <w:rPr>
          <w:color w:val="232323"/>
          <w:spacing w:val="-4"/>
        </w:rPr>
        <w:t xml:space="preserve"> </w:t>
      </w:r>
      <w:r w:rsidRPr="008619C4">
        <w:rPr>
          <w:color w:val="232323"/>
        </w:rPr>
        <w:t>2,</w:t>
      </w:r>
      <w:r w:rsidRPr="008619C4">
        <w:rPr>
          <w:color w:val="232323"/>
          <w:spacing w:val="-5"/>
        </w:rPr>
        <w:t xml:space="preserve"> </w:t>
      </w:r>
      <w:r w:rsidRPr="008619C4">
        <w:rPr>
          <w:color w:val="232323"/>
        </w:rPr>
        <w:t>the</w:t>
      </w:r>
      <w:r w:rsidRPr="008619C4">
        <w:rPr>
          <w:color w:val="232323"/>
          <w:spacing w:val="-4"/>
        </w:rPr>
        <w:t xml:space="preserve"> </w:t>
      </w:r>
      <w:r w:rsidRPr="008619C4">
        <w:rPr>
          <w:color w:val="232323"/>
        </w:rPr>
        <w:t>SCCS</w:t>
      </w:r>
      <w:r w:rsidRPr="008619C4">
        <w:rPr>
          <w:color w:val="232323"/>
          <w:spacing w:val="-6"/>
        </w:rPr>
        <w:t xml:space="preserve"> </w:t>
      </w:r>
      <w:r w:rsidRPr="008619C4">
        <w:rPr>
          <w:color w:val="232323"/>
        </w:rPr>
        <w:t>model</w:t>
      </w:r>
      <w:r w:rsidRPr="008619C4">
        <w:rPr>
          <w:color w:val="232323"/>
          <w:spacing w:val="-6"/>
        </w:rPr>
        <w:t xml:space="preserve"> </w:t>
      </w:r>
      <w:r w:rsidRPr="008619C4">
        <w:rPr>
          <w:color w:val="232323"/>
        </w:rPr>
        <w:t>assumes</w:t>
      </w:r>
      <w:r w:rsidRPr="008619C4">
        <w:rPr>
          <w:color w:val="232323"/>
          <w:spacing w:val="-5"/>
        </w:rPr>
        <w:t xml:space="preserve"> </w:t>
      </w:r>
      <w:r w:rsidRPr="008619C4">
        <w:rPr>
          <w:color w:val="232323"/>
        </w:rPr>
        <w:t>sunscreen</w:t>
      </w:r>
      <w:r w:rsidRPr="008619C4">
        <w:rPr>
          <w:color w:val="232323"/>
          <w:spacing w:val="-3"/>
        </w:rPr>
        <w:t xml:space="preserve"> </w:t>
      </w:r>
      <w:r w:rsidRPr="008619C4">
        <w:rPr>
          <w:color w:val="232323"/>
        </w:rPr>
        <w:t>is</w:t>
      </w:r>
      <w:r w:rsidRPr="008619C4">
        <w:rPr>
          <w:color w:val="232323"/>
          <w:spacing w:val="-5"/>
        </w:rPr>
        <w:t xml:space="preserve"> </w:t>
      </w:r>
      <w:r w:rsidRPr="008619C4">
        <w:rPr>
          <w:color w:val="232323"/>
        </w:rPr>
        <w:t>applied</w:t>
      </w:r>
      <w:r w:rsidRPr="008619C4">
        <w:rPr>
          <w:color w:val="232323"/>
          <w:spacing w:val="-5"/>
        </w:rPr>
        <w:t xml:space="preserve"> </w:t>
      </w:r>
      <w:r w:rsidRPr="008619C4">
        <w:rPr>
          <w:color w:val="232323"/>
        </w:rPr>
        <w:t>twice</w:t>
      </w:r>
      <w:r w:rsidRPr="008619C4">
        <w:rPr>
          <w:color w:val="232323"/>
          <w:spacing w:val="-6"/>
        </w:rPr>
        <w:t xml:space="preserve"> </w:t>
      </w:r>
      <w:r w:rsidRPr="008619C4">
        <w:rPr>
          <w:color w:val="232323"/>
        </w:rPr>
        <w:t>a</w:t>
      </w:r>
      <w:r w:rsidRPr="008619C4">
        <w:rPr>
          <w:color w:val="232323"/>
          <w:spacing w:val="-3"/>
        </w:rPr>
        <w:t xml:space="preserve"> </w:t>
      </w:r>
      <w:r w:rsidRPr="008619C4">
        <w:rPr>
          <w:color w:val="232323"/>
        </w:rPr>
        <w:t>day</w:t>
      </w:r>
      <w:r w:rsidRPr="008619C4">
        <w:rPr>
          <w:color w:val="232323"/>
          <w:spacing w:val="-5"/>
        </w:rPr>
        <w:t xml:space="preserve"> </w:t>
      </w:r>
      <w:r w:rsidRPr="008619C4">
        <w:rPr>
          <w:color w:val="232323"/>
        </w:rPr>
        <w:t>to</w:t>
      </w:r>
      <w:r w:rsidRPr="008619C4">
        <w:rPr>
          <w:color w:val="232323"/>
          <w:spacing w:val="-5"/>
        </w:rPr>
        <w:t xml:space="preserve"> </w:t>
      </w:r>
      <w:r w:rsidRPr="008619C4">
        <w:rPr>
          <w:color w:val="232323"/>
        </w:rPr>
        <w:t>the</w:t>
      </w:r>
      <w:r w:rsidRPr="008619C4">
        <w:rPr>
          <w:color w:val="232323"/>
          <w:spacing w:val="-4"/>
        </w:rPr>
        <w:t xml:space="preserve"> </w:t>
      </w:r>
      <w:r w:rsidRPr="008619C4">
        <w:rPr>
          <w:color w:val="232323"/>
        </w:rPr>
        <w:t>whole</w:t>
      </w:r>
      <w:r w:rsidRPr="008619C4">
        <w:rPr>
          <w:color w:val="232323"/>
          <w:spacing w:val="-5"/>
        </w:rPr>
        <w:t xml:space="preserve"> </w:t>
      </w:r>
      <w:r w:rsidRPr="008619C4">
        <w:rPr>
          <w:color w:val="232323"/>
        </w:rPr>
        <w:t>adult</w:t>
      </w:r>
      <w:r w:rsidRPr="008619C4">
        <w:rPr>
          <w:color w:val="232323"/>
          <w:spacing w:val="-6"/>
        </w:rPr>
        <w:t xml:space="preserve"> </w:t>
      </w:r>
      <w:r w:rsidRPr="008619C4">
        <w:rPr>
          <w:color w:val="232323"/>
          <w:spacing w:val="-2"/>
        </w:rPr>
        <w:t>body.</w:t>
      </w:r>
    </w:p>
    <w:p w14:paraId="06F31C41" w14:textId="108EDAFD" w:rsidR="00151B4C" w:rsidRPr="008619C4" w:rsidRDefault="00151B4C" w:rsidP="00151B4C">
      <w:pPr>
        <w:pStyle w:val="BodyText"/>
        <w:spacing w:before="137" w:line="261" w:lineRule="auto"/>
        <w:ind w:right="183"/>
      </w:pPr>
      <w:r w:rsidRPr="008619C4">
        <w:rPr>
          <w:color w:val="232323"/>
        </w:rPr>
        <w:t>The</w:t>
      </w:r>
      <w:r w:rsidRPr="008619C4">
        <w:rPr>
          <w:color w:val="232323"/>
          <w:spacing w:val="-4"/>
        </w:rPr>
        <w:t xml:space="preserve"> </w:t>
      </w:r>
      <w:r w:rsidRPr="008619C4">
        <w:rPr>
          <w:color w:val="232323"/>
        </w:rPr>
        <w:t>SCCS</w:t>
      </w:r>
      <w:r w:rsidRPr="008619C4">
        <w:rPr>
          <w:color w:val="232323"/>
          <w:spacing w:val="-2"/>
        </w:rPr>
        <w:t xml:space="preserve"> </w:t>
      </w:r>
      <w:r w:rsidRPr="008619C4">
        <w:rPr>
          <w:color w:val="232323"/>
        </w:rPr>
        <w:t>does</w:t>
      </w:r>
      <w:r w:rsidRPr="008619C4">
        <w:rPr>
          <w:color w:val="232323"/>
          <w:spacing w:val="-3"/>
        </w:rPr>
        <w:t xml:space="preserve"> </w:t>
      </w:r>
      <w:r w:rsidRPr="008619C4">
        <w:rPr>
          <w:color w:val="232323"/>
        </w:rPr>
        <w:t>not</w:t>
      </w:r>
      <w:r w:rsidRPr="008619C4">
        <w:rPr>
          <w:color w:val="232323"/>
          <w:spacing w:val="-4"/>
        </w:rPr>
        <w:t xml:space="preserve"> </w:t>
      </w:r>
      <w:r w:rsidRPr="008619C4">
        <w:rPr>
          <w:color w:val="232323"/>
        </w:rPr>
        <w:t>consider</w:t>
      </w:r>
      <w:r w:rsidRPr="008619C4">
        <w:rPr>
          <w:color w:val="232323"/>
          <w:spacing w:val="-3"/>
        </w:rPr>
        <w:t xml:space="preserve"> </w:t>
      </w:r>
      <w:r w:rsidRPr="008619C4">
        <w:rPr>
          <w:color w:val="232323"/>
        </w:rPr>
        <w:t>the</w:t>
      </w:r>
      <w:r w:rsidRPr="008619C4">
        <w:rPr>
          <w:color w:val="232323"/>
          <w:spacing w:val="-4"/>
        </w:rPr>
        <w:t xml:space="preserve"> </w:t>
      </w:r>
      <w:r w:rsidRPr="008619C4">
        <w:rPr>
          <w:color w:val="232323"/>
        </w:rPr>
        <w:t>recommended</w:t>
      </w:r>
      <w:r w:rsidRPr="008619C4">
        <w:rPr>
          <w:color w:val="232323"/>
          <w:spacing w:val="-4"/>
        </w:rPr>
        <w:t xml:space="preserve"> </w:t>
      </w:r>
      <w:r w:rsidRPr="008619C4">
        <w:rPr>
          <w:color w:val="232323"/>
        </w:rPr>
        <w:t>sunscreen</w:t>
      </w:r>
      <w:r w:rsidRPr="008619C4">
        <w:rPr>
          <w:color w:val="232323"/>
          <w:spacing w:val="-4"/>
        </w:rPr>
        <w:t xml:space="preserve"> </w:t>
      </w:r>
      <w:r w:rsidRPr="008619C4">
        <w:rPr>
          <w:color w:val="232323"/>
        </w:rPr>
        <w:t>application</w:t>
      </w:r>
      <w:r w:rsidRPr="008619C4">
        <w:rPr>
          <w:color w:val="232323"/>
          <w:spacing w:val="-2"/>
        </w:rPr>
        <w:t xml:space="preserve"> </w:t>
      </w:r>
      <w:r w:rsidRPr="008619C4">
        <w:rPr>
          <w:color w:val="232323"/>
        </w:rPr>
        <w:t>thickness</w:t>
      </w:r>
      <w:r w:rsidRPr="008619C4">
        <w:rPr>
          <w:color w:val="232323"/>
          <w:spacing w:val="-3"/>
        </w:rPr>
        <w:t xml:space="preserve"> </w:t>
      </w:r>
      <w:r w:rsidRPr="008619C4">
        <w:rPr>
          <w:color w:val="232323"/>
        </w:rPr>
        <w:t>(2</w:t>
      </w:r>
      <w:r w:rsidRPr="008619C4">
        <w:rPr>
          <w:color w:val="232323"/>
          <w:spacing w:val="-4"/>
        </w:rPr>
        <w:t xml:space="preserve"> </w:t>
      </w:r>
      <w:r w:rsidRPr="008619C4">
        <w:rPr>
          <w:color w:val="232323"/>
        </w:rPr>
        <w:t>mg/cm</w:t>
      </w:r>
      <w:r w:rsidRPr="008619C4">
        <w:rPr>
          <w:color w:val="232323"/>
          <w:position w:val="6"/>
          <w:sz w:val="13"/>
        </w:rPr>
        <w:t>2</w:t>
      </w:r>
      <w:r w:rsidRPr="008619C4">
        <w:rPr>
          <w:color w:val="232323"/>
        </w:rPr>
        <w:t>)</w:t>
      </w:r>
      <w:r w:rsidRPr="008619C4">
        <w:rPr>
          <w:color w:val="232323"/>
          <w:spacing w:val="-3"/>
        </w:rPr>
        <w:t xml:space="preserve"> </w:t>
      </w:r>
      <w:r w:rsidRPr="008619C4">
        <w:rPr>
          <w:color w:val="232323"/>
        </w:rPr>
        <w:t>required to achieve the labelled SPF ratings for either of these two methods.</w:t>
      </w:r>
    </w:p>
    <w:p w14:paraId="378FA99A" w14:textId="49D35D0D" w:rsidR="00151B4C" w:rsidRPr="008619C4" w:rsidRDefault="00151B4C" w:rsidP="00F47305">
      <w:pPr>
        <w:pStyle w:val="Heading4"/>
      </w:pPr>
      <w:bookmarkStart w:id="107" w:name="_Toc184730587"/>
      <w:r w:rsidRPr="008619C4">
        <w:t>How</w:t>
      </w:r>
      <w:r w:rsidRPr="008619C4">
        <w:rPr>
          <w:spacing w:val="-9"/>
        </w:rPr>
        <w:t xml:space="preserve"> </w:t>
      </w:r>
      <w:r w:rsidRPr="008619C4">
        <w:t>the</w:t>
      </w:r>
      <w:r w:rsidRPr="008619C4">
        <w:rPr>
          <w:spacing w:val="-6"/>
        </w:rPr>
        <w:t xml:space="preserve"> </w:t>
      </w:r>
      <w:r w:rsidRPr="008619C4">
        <w:t>SCCS</w:t>
      </w:r>
      <w:r w:rsidRPr="008619C4">
        <w:rPr>
          <w:spacing w:val="-9"/>
        </w:rPr>
        <w:t xml:space="preserve"> </w:t>
      </w:r>
      <w:r w:rsidRPr="008619C4">
        <w:t>model</w:t>
      </w:r>
      <w:r w:rsidRPr="008619C4">
        <w:rPr>
          <w:spacing w:val="-7"/>
        </w:rPr>
        <w:t xml:space="preserve"> </w:t>
      </w:r>
      <w:r w:rsidRPr="008619C4">
        <w:t>consider</w:t>
      </w:r>
      <w:r w:rsidR="007B4E17">
        <w:t>s</w:t>
      </w:r>
      <w:r w:rsidRPr="008619C4">
        <w:rPr>
          <w:spacing w:val="-9"/>
        </w:rPr>
        <w:t xml:space="preserve"> </w:t>
      </w:r>
      <w:r w:rsidRPr="008619C4">
        <w:t>exposure</w:t>
      </w:r>
      <w:r w:rsidRPr="008619C4">
        <w:rPr>
          <w:spacing w:val="-7"/>
        </w:rPr>
        <w:t xml:space="preserve"> </w:t>
      </w:r>
      <w:r w:rsidRPr="008619C4">
        <w:t>in</w:t>
      </w:r>
      <w:r w:rsidRPr="008619C4">
        <w:rPr>
          <w:spacing w:val="-9"/>
        </w:rPr>
        <w:t xml:space="preserve"> </w:t>
      </w:r>
      <w:r w:rsidRPr="008619C4">
        <w:rPr>
          <w:spacing w:val="-2"/>
        </w:rPr>
        <w:t>children</w:t>
      </w:r>
      <w:bookmarkEnd w:id="107"/>
    </w:p>
    <w:p w14:paraId="18D07662" w14:textId="493138C0" w:rsidR="00290E87" w:rsidRDefault="00151B4C" w:rsidP="00361083">
      <w:pPr>
        <w:pStyle w:val="BodyText"/>
        <w:spacing w:before="119" w:line="259" w:lineRule="auto"/>
        <w:ind w:right="161"/>
      </w:pPr>
      <w:r w:rsidRPr="008619C4">
        <w:t>The</w:t>
      </w:r>
      <w:r w:rsidRPr="008619C4">
        <w:rPr>
          <w:spacing w:val="-3"/>
        </w:rPr>
        <w:t xml:space="preserve"> </w:t>
      </w:r>
      <w:r w:rsidRPr="008619C4">
        <w:t>default</w:t>
      </w:r>
      <w:r w:rsidRPr="008619C4">
        <w:rPr>
          <w:spacing w:val="-3"/>
        </w:rPr>
        <w:t xml:space="preserve"> </w:t>
      </w:r>
      <w:r w:rsidRPr="008619C4">
        <w:t>body</w:t>
      </w:r>
      <w:r w:rsidRPr="008619C4">
        <w:rPr>
          <w:spacing w:val="-2"/>
        </w:rPr>
        <w:t xml:space="preserve"> </w:t>
      </w:r>
      <w:r w:rsidRPr="008619C4">
        <w:t>weight</w:t>
      </w:r>
      <w:r w:rsidRPr="008619C4">
        <w:rPr>
          <w:spacing w:val="-3"/>
        </w:rPr>
        <w:t xml:space="preserve"> </w:t>
      </w:r>
      <w:r w:rsidRPr="008619C4">
        <w:t>used</w:t>
      </w:r>
      <w:r w:rsidRPr="008619C4">
        <w:rPr>
          <w:spacing w:val="-3"/>
        </w:rPr>
        <w:t xml:space="preserve"> </w:t>
      </w:r>
      <w:r w:rsidRPr="008619C4">
        <w:t>by</w:t>
      </w:r>
      <w:r w:rsidRPr="008619C4">
        <w:rPr>
          <w:spacing w:val="-2"/>
        </w:rPr>
        <w:t xml:space="preserve"> </w:t>
      </w:r>
      <w:r w:rsidRPr="008619C4">
        <w:t>the SCCS</w:t>
      </w:r>
      <w:r w:rsidRPr="008619C4">
        <w:rPr>
          <w:spacing w:val="-4"/>
        </w:rPr>
        <w:t xml:space="preserve"> </w:t>
      </w:r>
      <w:r w:rsidRPr="008619C4">
        <w:t>is</w:t>
      </w:r>
      <w:r w:rsidRPr="008619C4">
        <w:rPr>
          <w:spacing w:val="-2"/>
        </w:rPr>
        <w:t xml:space="preserve"> </w:t>
      </w:r>
      <w:r w:rsidRPr="008619C4">
        <w:t>60</w:t>
      </w:r>
      <w:r w:rsidRPr="008619C4">
        <w:rPr>
          <w:spacing w:val="-3"/>
        </w:rPr>
        <w:t xml:space="preserve"> </w:t>
      </w:r>
      <w:r w:rsidRPr="008619C4">
        <w:t>kg,</w:t>
      </w:r>
      <w:r w:rsidRPr="008619C4">
        <w:rPr>
          <w:spacing w:val="-1"/>
        </w:rPr>
        <w:t xml:space="preserve"> </w:t>
      </w:r>
      <w:r w:rsidRPr="008619C4">
        <w:t>and</w:t>
      </w:r>
      <w:r w:rsidRPr="008619C4">
        <w:rPr>
          <w:spacing w:val="-3"/>
        </w:rPr>
        <w:t xml:space="preserve"> </w:t>
      </w:r>
      <w:r w:rsidRPr="008619C4">
        <w:t>the</w:t>
      </w:r>
      <w:r w:rsidRPr="008619C4">
        <w:rPr>
          <w:spacing w:val="-3"/>
        </w:rPr>
        <w:t xml:space="preserve"> </w:t>
      </w:r>
      <w:r w:rsidRPr="008619C4">
        <w:t>SCCS</w:t>
      </w:r>
      <w:r w:rsidRPr="008619C4">
        <w:rPr>
          <w:spacing w:val="-1"/>
        </w:rPr>
        <w:t xml:space="preserve"> </w:t>
      </w:r>
      <w:r w:rsidRPr="008619C4">
        <w:t>sunscreen</w:t>
      </w:r>
      <w:r w:rsidRPr="008619C4">
        <w:rPr>
          <w:spacing w:val="-1"/>
        </w:rPr>
        <w:t xml:space="preserve"> </w:t>
      </w:r>
      <w:r w:rsidRPr="008619C4">
        <w:t>exposure</w:t>
      </w:r>
      <w:r w:rsidRPr="008619C4">
        <w:rPr>
          <w:spacing w:val="-3"/>
        </w:rPr>
        <w:t xml:space="preserve"> </w:t>
      </w:r>
      <w:r w:rsidRPr="008619C4">
        <w:t>model</w:t>
      </w:r>
      <w:r w:rsidRPr="008619C4">
        <w:rPr>
          <w:spacing w:val="-4"/>
        </w:rPr>
        <w:t xml:space="preserve"> </w:t>
      </w:r>
      <w:r w:rsidRPr="008619C4">
        <w:t>does not differentiate different age groups. However, the SCCS guidance acknowledges that the skin surface area to body weight ratio (SSA/BW) between children and adults are different (SCCS 2023). The</w:t>
      </w:r>
      <w:r w:rsidRPr="008619C4">
        <w:rPr>
          <w:spacing w:val="-4"/>
        </w:rPr>
        <w:t xml:space="preserve"> </w:t>
      </w:r>
      <w:r w:rsidRPr="008619C4">
        <w:t>ratio</w:t>
      </w:r>
      <w:r w:rsidRPr="008619C4">
        <w:rPr>
          <w:spacing w:val="-4"/>
        </w:rPr>
        <w:t xml:space="preserve"> </w:t>
      </w:r>
      <w:r w:rsidRPr="008619C4">
        <w:t>between</w:t>
      </w:r>
      <w:r w:rsidRPr="008619C4">
        <w:rPr>
          <w:spacing w:val="-4"/>
        </w:rPr>
        <w:t xml:space="preserve"> </w:t>
      </w:r>
      <w:r w:rsidRPr="008619C4">
        <w:t>the</w:t>
      </w:r>
      <w:r w:rsidRPr="008619C4">
        <w:rPr>
          <w:spacing w:val="-2"/>
        </w:rPr>
        <w:t xml:space="preserve"> </w:t>
      </w:r>
      <w:r w:rsidRPr="008619C4">
        <w:t>SSA/BW</w:t>
      </w:r>
      <w:r w:rsidRPr="008619C4">
        <w:rPr>
          <w:spacing w:val="-2"/>
        </w:rPr>
        <w:t xml:space="preserve"> </w:t>
      </w:r>
      <w:r w:rsidRPr="008619C4">
        <w:t>of</w:t>
      </w:r>
      <w:r w:rsidRPr="008619C4">
        <w:rPr>
          <w:spacing w:val="-4"/>
        </w:rPr>
        <w:t xml:space="preserve"> </w:t>
      </w:r>
      <w:r w:rsidRPr="008619C4">
        <w:t>children</w:t>
      </w:r>
      <w:r w:rsidRPr="008619C4">
        <w:rPr>
          <w:spacing w:val="-4"/>
        </w:rPr>
        <w:t xml:space="preserve"> </w:t>
      </w:r>
      <w:r w:rsidRPr="008619C4">
        <w:t>and</w:t>
      </w:r>
      <w:r w:rsidRPr="008619C4">
        <w:rPr>
          <w:spacing w:val="-2"/>
        </w:rPr>
        <w:t xml:space="preserve"> </w:t>
      </w:r>
      <w:r w:rsidRPr="008619C4">
        <w:t>adults</w:t>
      </w:r>
      <w:r w:rsidRPr="008619C4">
        <w:rPr>
          <w:spacing w:val="-3"/>
        </w:rPr>
        <w:t xml:space="preserve"> </w:t>
      </w:r>
      <w:r w:rsidRPr="008619C4">
        <w:t>changes</w:t>
      </w:r>
      <w:r w:rsidRPr="008619C4">
        <w:rPr>
          <w:spacing w:val="-3"/>
        </w:rPr>
        <w:t xml:space="preserve"> </w:t>
      </w:r>
      <w:r w:rsidRPr="008619C4">
        <w:t>from</w:t>
      </w:r>
      <w:r w:rsidRPr="008619C4">
        <w:rPr>
          <w:spacing w:val="-2"/>
        </w:rPr>
        <w:t xml:space="preserve"> </w:t>
      </w:r>
      <w:r w:rsidRPr="008619C4">
        <w:t>0-</w:t>
      </w:r>
      <w:r w:rsidRPr="008619C4">
        <w:rPr>
          <w:spacing w:val="-2"/>
        </w:rPr>
        <w:t xml:space="preserve"> </w:t>
      </w:r>
      <w:r w:rsidRPr="008619C4">
        <w:t>to</w:t>
      </w:r>
      <w:r w:rsidRPr="008619C4">
        <w:rPr>
          <w:spacing w:val="-2"/>
        </w:rPr>
        <w:t xml:space="preserve"> </w:t>
      </w:r>
      <w:r w:rsidRPr="008619C4">
        <w:t>10</w:t>
      </w:r>
      <w:r w:rsidRPr="008619C4">
        <w:rPr>
          <w:spacing w:val="-4"/>
        </w:rPr>
        <w:t xml:space="preserve"> </w:t>
      </w:r>
      <w:r w:rsidRPr="008619C4">
        <w:t>years</w:t>
      </w:r>
      <w:r w:rsidRPr="008619C4">
        <w:rPr>
          <w:spacing w:val="-3"/>
        </w:rPr>
        <w:t xml:space="preserve"> </w:t>
      </w:r>
      <w:r w:rsidRPr="008619C4">
        <w:t>and</w:t>
      </w:r>
      <w:r w:rsidRPr="008619C4">
        <w:rPr>
          <w:spacing w:val="-2"/>
        </w:rPr>
        <w:t xml:space="preserve"> </w:t>
      </w:r>
      <w:r w:rsidRPr="008619C4">
        <w:t>is</w:t>
      </w:r>
      <w:r w:rsidRPr="008619C4">
        <w:rPr>
          <w:spacing w:val="-3"/>
        </w:rPr>
        <w:t xml:space="preserve"> </w:t>
      </w:r>
      <w:r w:rsidRPr="008619C4">
        <w:t>2.3</w:t>
      </w:r>
      <w:r w:rsidRPr="008619C4">
        <w:rPr>
          <w:spacing w:val="-2"/>
        </w:rPr>
        <w:t xml:space="preserve"> </w:t>
      </w:r>
      <w:r w:rsidRPr="008619C4">
        <w:t>at</w:t>
      </w:r>
      <w:r w:rsidRPr="008619C4">
        <w:rPr>
          <w:spacing w:val="-2"/>
        </w:rPr>
        <w:t xml:space="preserve"> </w:t>
      </w:r>
      <w:r w:rsidRPr="008619C4">
        <w:t>birth,1.8 at 6 months, 1.6 at 12 months, 1.5 at 5 years, and 1.3 at 10 years (Renwick 1998). The ratio between the SSA/BW children of 0 to 1 year of age and that of adults is at maximum 2.3. The SCCS considers that the inter-individual variation in SSA/BW is covered by the generally accepted default uncertainty factor value of 100 (10 for interspecies variations and 10 for intraspecies variations) for intact skin used in the MoS calculation. The SCCS also notes that for certain specific compounds the potential</w:t>
      </w:r>
      <w:r w:rsidRPr="008619C4">
        <w:rPr>
          <w:spacing w:val="-4"/>
        </w:rPr>
        <w:t xml:space="preserve"> </w:t>
      </w:r>
      <w:r w:rsidRPr="008619C4">
        <w:t>differences</w:t>
      </w:r>
      <w:r w:rsidRPr="008619C4">
        <w:rPr>
          <w:spacing w:val="-1"/>
        </w:rPr>
        <w:t xml:space="preserve"> </w:t>
      </w:r>
      <w:r w:rsidRPr="008619C4">
        <w:t>in</w:t>
      </w:r>
      <w:r w:rsidRPr="008619C4">
        <w:rPr>
          <w:spacing w:val="-3"/>
        </w:rPr>
        <w:t xml:space="preserve"> </w:t>
      </w:r>
      <w:r w:rsidRPr="008619C4">
        <w:t>metabolism</w:t>
      </w:r>
      <w:r w:rsidRPr="008619C4">
        <w:rPr>
          <w:spacing w:val="-3"/>
        </w:rPr>
        <w:t xml:space="preserve"> </w:t>
      </w:r>
      <w:r w:rsidRPr="008619C4">
        <w:t>between</w:t>
      </w:r>
      <w:r w:rsidRPr="008619C4">
        <w:rPr>
          <w:spacing w:val="-3"/>
        </w:rPr>
        <w:t xml:space="preserve"> </w:t>
      </w:r>
      <w:r w:rsidRPr="008619C4">
        <w:t>newborns/infants</w:t>
      </w:r>
      <w:r w:rsidRPr="008619C4">
        <w:rPr>
          <w:spacing w:val="-4"/>
        </w:rPr>
        <w:t xml:space="preserve"> </w:t>
      </w:r>
      <w:r w:rsidRPr="008619C4">
        <w:t>up</w:t>
      </w:r>
      <w:r w:rsidRPr="008619C4">
        <w:rPr>
          <w:spacing w:val="-5"/>
        </w:rPr>
        <w:t xml:space="preserve"> </w:t>
      </w:r>
      <w:r w:rsidRPr="008619C4">
        <w:t>to</w:t>
      </w:r>
      <w:r w:rsidRPr="008619C4">
        <w:rPr>
          <w:spacing w:val="-3"/>
        </w:rPr>
        <w:t xml:space="preserve"> </w:t>
      </w:r>
      <w:r w:rsidRPr="008619C4">
        <w:t>6</w:t>
      </w:r>
      <w:r w:rsidRPr="008619C4">
        <w:rPr>
          <w:spacing w:val="-5"/>
        </w:rPr>
        <w:t xml:space="preserve"> </w:t>
      </w:r>
      <w:r w:rsidRPr="008619C4">
        <w:t>months</w:t>
      </w:r>
      <w:r w:rsidRPr="008619C4">
        <w:rPr>
          <w:spacing w:val="-1"/>
        </w:rPr>
        <w:t xml:space="preserve"> </w:t>
      </w:r>
      <w:r w:rsidRPr="008619C4">
        <w:t>and</w:t>
      </w:r>
      <w:r w:rsidRPr="008619C4">
        <w:rPr>
          <w:spacing w:val="-3"/>
        </w:rPr>
        <w:t xml:space="preserve"> </w:t>
      </w:r>
      <w:r w:rsidRPr="008619C4">
        <w:t>adults</w:t>
      </w:r>
      <w:r w:rsidRPr="008619C4">
        <w:rPr>
          <w:spacing w:val="-4"/>
        </w:rPr>
        <w:t xml:space="preserve"> </w:t>
      </w:r>
      <w:r w:rsidRPr="008619C4">
        <w:t>could</w:t>
      </w:r>
      <w:r w:rsidRPr="008619C4">
        <w:rPr>
          <w:spacing w:val="-5"/>
        </w:rPr>
        <w:t xml:space="preserve"> </w:t>
      </w:r>
      <w:r w:rsidRPr="008619C4">
        <w:t>require extra consideration, however in general, the SCCS is of the opinion that there is no need for an additional uncertainty factor for children when intact skin is present (SCCNFP 2002).</w:t>
      </w:r>
    </w:p>
    <w:p w14:paraId="4BFD183E" w14:textId="49250DE2" w:rsidR="00401CCC" w:rsidRDefault="00401CCC" w:rsidP="00401CCC">
      <w:pPr>
        <w:pStyle w:val="BodyText"/>
        <w:spacing w:before="119" w:line="259" w:lineRule="auto"/>
        <w:ind w:right="195"/>
        <w:jc w:val="both"/>
      </w:pPr>
      <w:r>
        <w:t>However, the</w:t>
      </w:r>
      <w:r>
        <w:rPr>
          <w:spacing w:val="-3"/>
        </w:rPr>
        <w:t xml:space="preserve"> </w:t>
      </w:r>
      <w:r>
        <w:t>current</w:t>
      </w:r>
      <w:r>
        <w:rPr>
          <w:spacing w:val="-5"/>
        </w:rPr>
        <w:t xml:space="preserve"> </w:t>
      </w:r>
      <w:r>
        <w:t>SCCS</w:t>
      </w:r>
      <w:r>
        <w:rPr>
          <w:spacing w:val="-3"/>
        </w:rPr>
        <w:t xml:space="preserve"> </w:t>
      </w:r>
      <w:r>
        <w:t>model</w:t>
      </w:r>
      <w:r>
        <w:rPr>
          <w:spacing w:val="-1"/>
        </w:rPr>
        <w:t xml:space="preserve"> </w:t>
      </w:r>
      <w:r>
        <w:t>is based on European and other country usage patterns and does not account for Australian use patterns, or the amount of sunscreen application required to achieve the labelled SPF</w:t>
      </w:r>
      <w:r>
        <w:rPr>
          <w:rStyle w:val="FootnoteReference"/>
        </w:rPr>
        <w:footnoteReference w:id="23"/>
      </w:r>
      <w:r>
        <w:rPr>
          <w:spacing w:val="40"/>
          <w:position w:val="6"/>
          <w:sz w:val="13"/>
        </w:rPr>
        <w:t xml:space="preserve"> </w:t>
      </w:r>
      <w:r>
        <w:t>rating. While the SCCS uses a 60 kg bodyweight estimate in their calculations, the TGA has historically used</w:t>
      </w:r>
      <w:r>
        <w:rPr>
          <w:spacing w:val="-4"/>
        </w:rPr>
        <w:t xml:space="preserve"> </w:t>
      </w:r>
      <w:r>
        <w:t>a</w:t>
      </w:r>
      <w:r>
        <w:rPr>
          <w:spacing w:val="-2"/>
        </w:rPr>
        <w:t xml:space="preserve"> </w:t>
      </w:r>
      <w:r>
        <w:t>more</w:t>
      </w:r>
      <w:r>
        <w:rPr>
          <w:spacing w:val="-2"/>
        </w:rPr>
        <w:t xml:space="preserve"> </w:t>
      </w:r>
      <w:r>
        <w:t>conservative</w:t>
      </w:r>
      <w:r>
        <w:rPr>
          <w:spacing w:val="-4"/>
        </w:rPr>
        <w:t xml:space="preserve"> </w:t>
      </w:r>
      <w:r>
        <w:t>bodyweight</w:t>
      </w:r>
      <w:r>
        <w:rPr>
          <w:spacing w:val="-4"/>
        </w:rPr>
        <w:t xml:space="preserve"> </w:t>
      </w:r>
      <w:r>
        <w:t>estimate</w:t>
      </w:r>
      <w:r>
        <w:rPr>
          <w:spacing w:val="-2"/>
        </w:rPr>
        <w:t xml:space="preserve"> </w:t>
      </w:r>
      <w:r>
        <w:t>of</w:t>
      </w:r>
      <w:r>
        <w:rPr>
          <w:spacing w:val="-4"/>
        </w:rPr>
        <w:t xml:space="preserve"> </w:t>
      </w:r>
      <w:r>
        <w:t>50</w:t>
      </w:r>
      <w:r>
        <w:rPr>
          <w:spacing w:val="-4"/>
        </w:rPr>
        <w:t xml:space="preserve"> </w:t>
      </w:r>
      <w:r>
        <w:t>kg</w:t>
      </w:r>
      <w:r>
        <w:rPr>
          <w:spacing w:val="-2"/>
        </w:rPr>
        <w:t xml:space="preserve"> </w:t>
      </w:r>
      <w:r>
        <w:t>in</w:t>
      </w:r>
      <w:r>
        <w:rPr>
          <w:spacing w:val="-4"/>
        </w:rPr>
        <w:t xml:space="preserve"> </w:t>
      </w:r>
      <w:r>
        <w:t>some</w:t>
      </w:r>
      <w:r>
        <w:rPr>
          <w:spacing w:val="-4"/>
        </w:rPr>
        <w:t xml:space="preserve"> </w:t>
      </w:r>
      <w:r>
        <w:t>assessments.</w:t>
      </w:r>
      <w:r>
        <w:rPr>
          <w:spacing w:val="-4"/>
        </w:rPr>
        <w:t xml:space="preserve"> </w:t>
      </w:r>
      <w:r>
        <w:t>Further,</w:t>
      </w:r>
      <w:r>
        <w:rPr>
          <w:spacing w:val="-2"/>
        </w:rPr>
        <w:t xml:space="preserve"> </w:t>
      </w:r>
      <w:r>
        <w:t>the SCCS</w:t>
      </w:r>
      <w:r>
        <w:rPr>
          <w:spacing w:val="-4"/>
        </w:rPr>
        <w:t xml:space="preserve"> </w:t>
      </w:r>
      <w:r>
        <w:t>method</w:t>
      </w:r>
      <w:r>
        <w:rPr>
          <w:spacing w:val="-3"/>
        </w:rPr>
        <w:t xml:space="preserve"> </w:t>
      </w:r>
      <w:r>
        <w:t>shows a</w:t>
      </w:r>
      <w:r>
        <w:rPr>
          <w:spacing w:val="-3"/>
        </w:rPr>
        <w:t xml:space="preserve"> </w:t>
      </w:r>
      <w:r>
        <w:t>substantial</w:t>
      </w:r>
      <w:r>
        <w:rPr>
          <w:spacing w:val="-2"/>
        </w:rPr>
        <w:t xml:space="preserve"> </w:t>
      </w:r>
      <w:r>
        <w:t>disparity</w:t>
      </w:r>
      <w:r>
        <w:rPr>
          <w:spacing w:val="-3"/>
        </w:rPr>
        <w:t xml:space="preserve"> </w:t>
      </w:r>
      <w:r>
        <w:t>in</w:t>
      </w:r>
      <w:r>
        <w:rPr>
          <w:spacing w:val="-3"/>
        </w:rPr>
        <w:t xml:space="preserve"> </w:t>
      </w:r>
      <w:r>
        <w:t>the</w:t>
      </w:r>
      <w:r>
        <w:rPr>
          <w:spacing w:val="-3"/>
        </w:rPr>
        <w:t xml:space="preserve"> </w:t>
      </w:r>
      <w:r>
        <w:t>risk</w:t>
      </w:r>
      <w:r>
        <w:rPr>
          <w:spacing w:val="-3"/>
        </w:rPr>
        <w:t xml:space="preserve"> </w:t>
      </w:r>
      <w:r>
        <w:t>assessment</w:t>
      </w:r>
      <w:r>
        <w:rPr>
          <w:spacing w:val="-3"/>
        </w:rPr>
        <w:t xml:space="preserve"> </w:t>
      </w:r>
      <w:r>
        <w:t>calculations</w:t>
      </w:r>
      <w:r>
        <w:rPr>
          <w:spacing w:val="-3"/>
        </w:rPr>
        <w:t xml:space="preserve"> </w:t>
      </w:r>
      <w:r>
        <w:t>depending</w:t>
      </w:r>
      <w:r>
        <w:rPr>
          <w:spacing w:val="-3"/>
        </w:rPr>
        <w:t xml:space="preserve"> </w:t>
      </w:r>
      <w:r>
        <w:t>on</w:t>
      </w:r>
      <w:r>
        <w:rPr>
          <w:spacing w:val="-2"/>
        </w:rPr>
        <w:t xml:space="preserve"> </w:t>
      </w:r>
      <w:r>
        <w:t>whether data</w:t>
      </w:r>
      <w:r>
        <w:rPr>
          <w:spacing w:val="-2"/>
        </w:rPr>
        <w:t xml:space="preserve"> </w:t>
      </w:r>
      <w:r>
        <w:t>for</w:t>
      </w:r>
      <w:r>
        <w:rPr>
          <w:spacing w:val="-3"/>
        </w:rPr>
        <w:t xml:space="preserve"> </w:t>
      </w:r>
      <w:r>
        <w:t>dermal</w:t>
      </w:r>
      <w:r>
        <w:rPr>
          <w:spacing w:val="-5"/>
        </w:rPr>
        <w:t xml:space="preserve"> </w:t>
      </w:r>
      <w:r>
        <w:t>absorption</w:t>
      </w:r>
      <w:r>
        <w:rPr>
          <w:spacing w:val="-2"/>
        </w:rPr>
        <w:t xml:space="preserve"> </w:t>
      </w:r>
      <w:r>
        <w:t>of</w:t>
      </w:r>
      <w:r>
        <w:rPr>
          <w:spacing w:val="-4"/>
        </w:rPr>
        <w:t xml:space="preserve"> </w:t>
      </w:r>
      <w:r>
        <w:t>an</w:t>
      </w:r>
      <w:r>
        <w:rPr>
          <w:spacing w:val="-2"/>
        </w:rPr>
        <w:t xml:space="preserve"> </w:t>
      </w:r>
      <w:r>
        <w:t>ingredient</w:t>
      </w:r>
      <w:r>
        <w:rPr>
          <w:spacing w:val="-4"/>
        </w:rPr>
        <w:t xml:space="preserve"> </w:t>
      </w:r>
      <w:r>
        <w:t>is</w:t>
      </w:r>
      <w:r>
        <w:rPr>
          <w:spacing w:val="-3"/>
        </w:rPr>
        <w:t xml:space="preserve"> </w:t>
      </w:r>
      <w:r>
        <w:t>reported in</w:t>
      </w:r>
      <w:r>
        <w:rPr>
          <w:spacing w:val="-4"/>
        </w:rPr>
        <w:t xml:space="preserve"> </w:t>
      </w:r>
      <w:r>
        <w:t>μg/cm²</w:t>
      </w:r>
      <w:r>
        <w:rPr>
          <w:spacing w:val="-3"/>
        </w:rPr>
        <w:t xml:space="preserve"> </w:t>
      </w:r>
      <w:r>
        <w:t>or</w:t>
      </w:r>
      <w:r>
        <w:rPr>
          <w:spacing w:val="-3"/>
        </w:rPr>
        <w:t xml:space="preserve"> </w:t>
      </w:r>
      <w:r>
        <w:t>as</w:t>
      </w:r>
      <w:r>
        <w:rPr>
          <w:spacing w:val="-3"/>
        </w:rPr>
        <w:t xml:space="preserve"> </w:t>
      </w:r>
      <w:r>
        <w:t>a</w:t>
      </w:r>
      <w:r>
        <w:rPr>
          <w:spacing w:val="-2"/>
        </w:rPr>
        <w:t xml:space="preserve"> </w:t>
      </w:r>
      <w:r>
        <w:t>percentage</w:t>
      </w:r>
      <w:r w:rsidR="009529B9">
        <w:t>.</w:t>
      </w:r>
    </w:p>
    <w:p w14:paraId="4E44C183" w14:textId="08ED75E5" w:rsidR="007E268B" w:rsidRDefault="003E0984" w:rsidP="007E268B">
      <w:pPr>
        <w:pStyle w:val="Heading3"/>
      </w:pPr>
      <w:bookmarkStart w:id="108" w:name="_Toc184730588"/>
      <w:r>
        <w:t xml:space="preserve">Option 3 – </w:t>
      </w:r>
      <w:r w:rsidR="007E268B">
        <w:t>Status Quo</w:t>
      </w:r>
      <w:bookmarkEnd w:id="108"/>
    </w:p>
    <w:p w14:paraId="641BA2D3" w14:textId="77777777" w:rsidR="007B4E17" w:rsidRDefault="007E268B" w:rsidP="007E268B">
      <w:pPr>
        <w:pStyle w:val="BodyText"/>
        <w:spacing w:before="119" w:line="259" w:lineRule="auto"/>
        <w:ind w:right="200"/>
      </w:pPr>
      <w:r w:rsidRPr="00F615F7">
        <w:t>Noting</w:t>
      </w:r>
      <w:r w:rsidRPr="00F615F7">
        <w:rPr>
          <w:spacing w:val="-4"/>
        </w:rPr>
        <w:t xml:space="preserve"> </w:t>
      </w:r>
      <w:r w:rsidRPr="00F615F7">
        <w:t>the</w:t>
      </w:r>
      <w:r w:rsidRPr="00F615F7">
        <w:rPr>
          <w:spacing w:val="-4"/>
        </w:rPr>
        <w:t xml:space="preserve"> </w:t>
      </w:r>
      <w:r w:rsidRPr="00F615F7">
        <w:t>TGA</w:t>
      </w:r>
      <w:r w:rsidRPr="00F615F7">
        <w:rPr>
          <w:spacing w:val="-2"/>
        </w:rPr>
        <w:t xml:space="preserve"> </w:t>
      </w:r>
      <w:r w:rsidRPr="00F615F7">
        <w:t>draws</w:t>
      </w:r>
      <w:r w:rsidRPr="00F615F7">
        <w:rPr>
          <w:spacing w:val="-2"/>
        </w:rPr>
        <w:t xml:space="preserve"> </w:t>
      </w:r>
      <w:r w:rsidRPr="00F615F7">
        <w:t>upon</w:t>
      </w:r>
      <w:r w:rsidRPr="00F615F7">
        <w:rPr>
          <w:spacing w:val="-4"/>
        </w:rPr>
        <w:t xml:space="preserve"> </w:t>
      </w:r>
      <w:r w:rsidRPr="00F615F7">
        <w:t>the</w:t>
      </w:r>
      <w:r w:rsidRPr="00F615F7">
        <w:rPr>
          <w:spacing w:val="-2"/>
        </w:rPr>
        <w:t xml:space="preserve"> </w:t>
      </w:r>
      <w:r w:rsidRPr="00F615F7">
        <w:t>same</w:t>
      </w:r>
      <w:r w:rsidRPr="00F615F7">
        <w:rPr>
          <w:spacing w:val="-4"/>
        </w:rPr>
        <w:t xml:space="preserve"> </w:t>
      </w:r>
      <w:r w:rsidRPr="00F615F7">
        <w:t>risk</w:t>
      </w:r>
      <w:r w:rsidRPr="00F615F7">
        <w:rPr>
          <w:spacing w:val="-3"/>
        </w:rPr>
        <w:t xml:space="preserve"> </w:t>
      </w:r>
      <w:r w:rsidRPr="00F615F7">
        <w:t>assessment</w:t>
      </w:r>
      <w:r w:rsidRPr="00F615F7">
        <w:rPr>
          <w:spacing w:val="-4"/>
        </w:rPr>
        <w:t xml:space="preserve"> </w:t>
      </w:r>
      <w:r w:rsidRPr="00F615F7">
        <w:t>method</w:t>
      </w:r>
      <w:r w:rsidRPr="00F615F7">
        <w:rPr>
          <w:spacing w:val="-2"/>
        </w:rPr>
        <w:t xml:space="preserve"> </w:t>
      </w:r>
      <w:r w:rsidRPr="00F615F7">
        <w:t>developed</w:t>
      </w:r>
      <w:r w:rsidRPr="00F615F7">
        <w:rPr>
          <w:spacing w:val="-2"/>
        </w:rPr>
        <w:t xml:space="preserve"> </w:t>
      </w:r>
      <w:r w:rsidRPr="00F615F7">
        <w:t>by</w:t>
      </w:r>
      <w:r w:rsidRPr="00F615F7">
        <w:rPr>
          <w:spacing w:val="-3"/>
        </w:rPr>
        <w:t xml:space="preserve"> </w:t>
      </w:r>
      <w:r w:rsidRPr="00F615F7">
        <w:t>the</w:t>
      </w:r>
      <w:r w:rsidRPr="00F615F7">
        <w:rPr>
          <w:spacing w:val="-2"/>
        </w:rPr>
        <w:t xml:space="preserve"> </w:t>
      </w:r>
      <w:r w:rsidRPr="00F615F7">
        <w:t>SCCS</w:t>
      </w:r>
      <w:r w:rsidRPr="00F615F7">
        <w:rPr>
          <w:spacing w:val="-5"/>
        </w:rPr>
        <w:t xml:space="preserve"> </w:t>
      </w:r>
      <w:r w:rsidRPr="00F615F7">
        <w:t>for</w:t>
      </w:r>
      <w:r w:rsidRPr="00F615F7">
        <w:rPr>
          <w:spacing w:val="-3"/>
        </w:rPr>
        <w:t xml:space="preserve"> </w:t>
      </w:r>
      <w:r w:rsidRPr="00F615F7">
        <w:t>cosmetic ingredients to calculate the SED and MoS</w:t>
      </w:r>
      <w:r w:rsidR="0082582B">
        <w:t>,</w:t>
      </w:r>
      <w:r w:rsidRPr="00F615F7">
        <w:t xml:space="preserve"> this option considers maintaining the </w:t>
      </w:r>
      <w:r w:rsidRPr="00F615F7">
        <w:rPr>
          <w:i/>
        </w:rPr>
        <w:t>status quo</w:t>
      </w:r>
      <w:r w:rsidRPr="00F615F7">
        <w:t xml:space="preserve">, where the standard estimated daily sunscreen exposure value for sunscreen ingredient risk assessments in Australia are not formalised. </w:t>
      </w:r>
    </w:p>
    <w:p w14:paraId="73777107" w14:textId="77777777" w:rsidR="007B4E17" w:rsidRDefault="007E268B" w:rsidP="007E268B">
      <w:pPr>
        <w:pStyle w:val="BodyText"/>
        <w:spacing w:before="119" w:line="259" w:lineRule="auto"/>
        <w:ind w:right="200"/>
      </w:pPr>
      <w:r w:rsidRPr="00F615F7">
        <w:t>Rather, risk assessment for sunscreen ingredients will be conducted on a case-by-case basis through a variety of risk-based methodologies that may utilise different estimates of daily sunscreen exposure.</w:t>
      </w:r>
    </w:p>
    <w:p w14:paraId="3EC0A77D" w14:textId="701B6C1A" w:rsidR="007E268B" w:rsidRDefault="007E268B" w:rsidP="007E268B">
      <w:pPr>
        <w:pStyle w:val="BodyText"/>
        <w:spacing w:before="119" w:line="259" w:lineRule="auto"/>
        <w:ind w:right="200"/>
      </w:pPr>
      <w:r w:rsidRPr="00F615F7">
        <w:t>This may mean that ingredient risk assessments may be based on estimated sunscreen exposure values such as those used in either Option 1, Option 2, or other approaches based on case-by-case justifications.</w:t>
      </w:r>
    </w:p>
    <w:p w14:paraId="0142CBA9" w14:textId="65AE5615" w:rsidR="001B0C20" w:rsidRPr="007633D1" w:rsidRDefault="001B0C20">
      <w:pPr>
        <w:pStyle w:val="Heading2"/>
        <w:numPr>
          <w:ilvl w:val="0"/>
          <w:numId w:val="8"/>
        </w:numPr>
      </w:pPr>
      <w:bookmarkStart w:id="109" w:name="_Toc184730589"/>
      <w:r w:rsidRPr="007633D1">
        <w:t xml:space="preserve">What is the likely </w:t>
      </w:r>
      <w:r w:rsidR="00DD1CC3">
        <w:t xml:space="preserve">net </w:t>
      </w:r>
      <w:r w:rsidRPr="007633D1">
        <w:t>benefit of each option?</w:t>
      </w:r>
      <w:bookmarkEnd w:id="109"/>
    </w:p>
    <w:p w14:paraId="5EAE8BA4" w14:textId="0D7F2166" w:rsidR="0035479D" w:rsidRDefault="0051330E" w:rsidP="007E268B">
      <w:pPr>
        <w:pStyle w:val="Heading3"/>
      </w:pPr>
      <w:bookmarkStart w:id="110" w:name="_Consideration_of_regulatory"/>
      <w:bookmarkStart w:id="111" w:name="_Toc184730590"/>
      <w:bookmarkEnd w:id="110"/>
      <w:r>
        <w:t>Consideration of regulatory cost</w:t>
      </w:r>
      <w:bookmarkEnd w:id="111"/>
    </w:p>
    <w:p w14:paraId="1C7ED5D3" w14:textId="50FE5BD9" w:rsidR="00A851A4" w:rsidRDefault="008A12C9" w:rsidP="00A851A4">
      <w:pPr>
        <w:pStyle w:val="BodyText"/>
        <w:spacing w:before="117" w:line="259" w:lineRule="auto"/>
      </w:pPr>
      <w:bookmarkStart w:id="112" w:name="_Hlk176861236"/>
      <w:r>
        <w:t>T</w:t>
      </w:r>
      <w:r w:rsidR="002164C1" w:rsidRPr="00D829B3">
        <w:t>he proposed options are only related to sunscreen exposure assumptions used in the risk assessment process</w:t>
      </w:r>
      <w:r w:rsidR="00A851A4">
        <w:t xml:space="preserve"> (</w:t>
      </w:r>
      <w:r w:rsidR="00A851A4">
        <w:rPr>
          <w:color w:val="232323"/>
        </w:rPr>
        <w:t>how</w:t>
      </w:r>
      <w:r w:rsidR="00A851A4">
        <w:rPr>
          <w:color w:val="232323"/>
          <w:spacing w:val="-3"/>
        </w:rPr>
        <w:t xml:space="preserve"> </w:t>
      </w:r>
      <w:r w:rsidR="00A851A4">
        <w:rPr>
          <w:color w:val="232323"/>
        </w:rPr>
        <w:t>to</w:t>
      </w:r>
      <w:r w:rsidR="00A851A4">
        <w:rPr>
          <w:color w:val="232323"/>
          <w:spacing w:val="-4"/>
        </w:rPr>
        <w:t xml:space="preserve"> </w:t>
      </w:r>
      <w:r w:rsidR="00A851A4">
        <w:rPr>
          <w:color w:val="232323"/>
        </w:rPr>
        <w:t>estimate</w:t>
      </w:r>
      <w:r w:rsidR="00A851A4">
        <w:rPr>
          <w:color w:val="232323"/>
          <w:spacing w:val="-4"/>
        </w:rPr>
        <w:t xml:space="preserve"> </w:t>
      </w:r>
      <w:r w:rsidR="00A851A4">
        <w:t>daily</w:t>
      </w:r>
      <w:r w:rsidR="00A851A4">
        <w:rPr>
          <w:spacing w:val="-3"/>
        </w:rPr>
        <w:t xml:space="preserve"> </w:t>
      </w:r>
      <w:r w:rsidR="00A851A4">
        <w:t>sunscreen</w:t>
      </w:r>
      <w:r w:rsidR="00A851A4">
        <w:rPr>
          <w:spacing w:val="-4"/>
        </w:rPr>
        <w:t xml:space="preserve"> </w:t>
      </w:r>
      <w:r w:rsidR="00A851A4">
        <w:t>exposure</w:t>
      </w:r>
      <w:r w:rsidR="00A851A4">
        <w:rPr>
          <w:spacing w:val="-4"/>
        </w:rPr>
        <w:t xml:space="preserve"> </w:t>
      </w:r>
      <w:r w:rsidR="00A851A4">
        <w:rPr>
          <w:color w:val="232323"/>
        </w:rPr>
        <w:t>or</w:t>
      </w:r>
      <w:r w:rsidR="00A851A4">
        <w:rPr>
          <w:color w:val="232323"/>
          <w:spacing w:val="-3"/>
        </w:rPr>
        <w:t xml:space="preserve"> </w:t>
      </w:r>
      <w:r w:rsidR="00A851A4">
        <w:rPr>
          <w:color w:val="232323"/>
        </w:rPr>
        <w:t>“external</w:t>
      </w:r>
      <w:r w:rsidR="00A851A4">
        <w:rPr>
          <w:color w:val="232323"/>
          <w:spacing w:val="-3"/>
        </w:rPr>
        <w:t xml:space="preserve"> </w:t>
      </w:r>
      <w:r w:rsidR="00A851A4">
        <w:rPr>
          <w:color w:val="232323"/>
        </w:rPr>
        <w:t>exposure”)</w:t>
      </w:r>
      <w:r w:rsidR="00ED404D">
        <w:t>. The</w:t>
      </w:r>
      <w:r>
        <w:t xml:space="preserve">se </w:t>
      </w:r>
      <w:r w:rsidR="00ED404D">
        <w:t>assumptions</w:t>
      </w:r>
      <w:r w:rsidR="00ED404D" w:rsidRPr="00D829B3">
        <w:t xml:space="preserve"> </w:t>
      </w:r>
      <w:r w:rsidR="00ED404D">
        <w:t xml:space="preserve">serve as a means for the TGA to undertake risk assessments to determine the safe concentration limits for sunscreen ingredients </w:t>
      </w:r>
      <w:r w:rsidR="00A851A4">
        <w:t xml:space="preserve">(see </w:t>
      </w:r>
      <w:hyperlink w:anchor="_How_risk_for" w:history="1">
        <w:r w:rsidR="00A851A4" w:rsidRPr="009E26C7">
          <w:rPr>
            <w:rStyle w:val="Hyperlink"/>
          </w:rPr>
          <w:t>How risk for ingredients is evaluated</w:t>
        </w:r>
      </w:hyperlink>
      <w:r w:rsidR="00A851A4">
        <w:t>)</w:t>
      </w:r>
      <w:r w:rsidR="00A851A4">
        <w:rPr>
          <w:color w:val="232323"/>
        </w:rPr>
        <w:t xml:space="preserve">. </w:t>
      </w:r>
      <w:r w:rsidR="00DF4F4D">
        <w:t>However, t</w:t>
      </w:r>
      <w:r w:rsidR="00ED404D" w:rsidRPr="00D829B3">
        <w:t>he risk assessment process</w:t>
      </w:r>
      <w:r w:rsidR="00DF4F4D">
        <w:t xml:space="preserve"> </w:t>
      </w:r>
      <w:r w:rsidR="00ED404D">
        <w:t xml:space="preserve">and </w:t>
      </w:r>
      <w:r w:rsidR="00DF4F4D">
        <w:t xml:space="preserve">safety </w:t>
      </w:r>
      <w:r w:rsidR="00ED404D">
        <w:t xml:space="preserve">data requirements, are </w:t>
      </w:r>
      <w:r w:rsidR="00ED404D" w:rsidRPr="00D829B3">
        <w:t>the same for all</w:t>
      </w:r>
      <w:r w:rsidR="00ED404D">
        <w:t xml:space="preserve"> </w:t>
      </w:r>
      <w:r w:rsidR="00ED404D" w:rsidRPr="00D829B3">
        <w:t>options</w:t>
      </w:r>
      <w:r w:rsidR="00ED404D">
        <w:t xml:space="preserve">. </w:t>
      </w:r>
      <w:r w:rsidR="001E28EC">
        <w:t>Further, f</w:t>
      </w:r>
      <w:r w:rsidR="001E28EC" w:rsidRPr="0020337E">
        <w:t xml:space="preserve">or ingredients that neither absorb through the skin nor pose a risk of systemic exposure, </w:t>
      </w:r>
      <w:r w:rsidR="001E28EC">
        <w:t>an exposure</w:t>
      </w:r>
      <w:r w:rsidR="001E28EC" w:rsidRPr="0020337E">
        <w:t xml:space="preserve"> model </w:t>
      </w:r>
      <w:r w:rsidR="001E28EC">
        <w:t>is not</w:t>
      </w:r>
      <w:r w:rsidR="001E28EC" w:rsidRPr="0020337E">
        <w:t xml:space="preserve"> necessary since there</w:t>
      </w:r>
      <w:r w:rsidR="001E28EC">
        <w:t xml:space="preserve"> is</w:t>
      </w:r>
      <w:r w:rsidR="001E28EC" w:rsidRPr="0020337E">
        <w:t xml:space="preserve"> no</w:t>
      </w:r>
      <w:r w:rsidR="000E1760">
        <w:t xml:space="preserve"> need to account for</w:t>
      </w:r>
      <w:r w:rsidR="001E28EC" w:rsidRPr="0020337E">
        <w:t xml:space="preserve"> </w:t>
      </w:r>
      <w:r w:rsidR="001E28EC">
        <w:t>systemic exposure</w:t>
      </w:r>
      <w:r w:rsidR="001E28EC" w:rsidRPr="0020337E">
        <w:t>.</w:t>
      </w:r>
      <w:r w:rsidR="001E28EC">
        <w:t xml:space="preserve"> </w:t>
      </w:r>
    </w:p>
    <w:bookmarkEnd w:id="112"/>
    <w:p w14:paraId="5D78A591" w14:textId="77777777" w:rsidR="00366937" w:rsidRDefault="00A851A4" w:rsidP="00A851A4">
      <w:pPr>
        <w:pStyle w:val="BodyText"/>
        <w:spacing w:before="117" w:line="259" w:lineRule="auto"/>
      </w:pPr>
      <w:r>
        <w:t>R</w:t>
      </w:r>
      <w:r w:rsidR="00E130A5">
        <w:t xml:space="preserve">isk assessments are </w:t>
      </w:r>
      <w:r w:rsidR="00DF4F4D">
        <w:t xml:space="preserve">typically </w:t>
      </w:r>
      <w:r w:rsidR="00E130A5">
        <w:t xml:space="preserve">undertaken for new ingredient applications, but </w:t>
      </w:r>
      <w:r w:rsidR="00DF4F4D">
        <w:t xml:space="preserve">in some cases, </w:t>
      </w:r>
      <w:r w:rsidR="00E130A5">
        <w:t>can also be undertaken for currently approved ingredients where there are public safety concerns.</w:t>
      </w:r>
      <w:r w:rsidR="00DA40FC">
        <w:t xml:space="preserve"> </w:t>
      </w:r>
      <w:r w:rsidR="00D51D25">
        <w:t xml:space="preserve">In the </w:t>
      </w:r>
      <w:r w:rsidR="008A12C9">
        <w:t>latter</w:t>
      </w:r>
      <w:r w:rsidR="00D51D25">
        <w:t xml:space="preserve"> case, </w:t>
      </w:r>
      <w:r w:rsidR="00DF4F4D">
        <w:t>these</w:t>
      </w:r>
      <w:r w:rsidR="00E130A5">
        <w:t xml:space="preserve"> risk assessments </w:t>
      </w:r>
      <w:r w:rsidR="00DF4F4D">
        <w:t>are</w:t>
      </w:r>
      <w:r w:rsidR="00E130A5">
        <w:t xml:space="preserve"> highly dependent on the data </w:t>
      </w:r>
      <w:r w:rsidR="008A12C9">
        <w:t>(</w:t>
      </w:r>
      <w:r w:rsidR="000E1760">
        <w:t xml:space="preserve">including the </w:t>
      </w:r>
      <w:r w:rsidR="008A12C9">
        <w:t xml:space="preserve">quality of data) </w:t>
      </w:r>
      <w:r w:rsidR="00E130A5">
        <w:t>available at the time of the assessment</w:t>
      </w:r>
      <w:r w:rsidR="00DF4F4D">
        <w:t>, and the circumstances</w:t>
      </w:r>
      <w:r w:rsidR="008A12C9">
        <w:t xml:space="preserve">, including if there are existing products affected and if they require reformulation </w:t>
      </w:r>
      <w:r w:rsidR="000E1760">
        <w:t>and/</w:t>
      </w:r>
      <w:r w:rsidR="008A12C9">
        <w:t xml:space="preserve">or label changes. </w:t>
      </w:r>
      <w:r w:rsidR="00DF4F4D">
        <w:t xml:space="preserve">Similarly, in response to the public consultation, Consumer Healthcare Products Australia </w:t>
      </w:r>
      <w:r w:rsidR="00EB7A03">
        <w:t xml:space="preserve">(CHP Australia) </w:t>
      </w:r>
      <w:r w:rsidR="00DF4F4D">
        <w:t>advised that they would be able</w:t>
      </w:r>
      <w:r w:rsidR="00DF4F4D" w:rsidRPr="00E22176">
        <w:t xml:space="preserve"> </w:t>
      </w:r>
      <w:r w:rsidR="00994752">
        <w:t xml:space="preserve">to </w:t>
      </w:r>
      <w:r w:rsidR="00DF4F4D" w:rsidRPr="00E22176">
        <w:t>provide more information</w:t>
      </w:r>
      <w:r w:rsidR="00DF4F4D">
        <w:t xml:space="preserve"> on the</w:t>
      </w:r>
      <w:r w:rsidR="00DF4F4D" w:rsidRPr="00E22176">
        <w:t xml:space="preserve"> </w:t>
      </w:r>
      <w:r w:rsidR="00DF4F4D">
        <w:t>impacts and</w:t>
      </w:r>
      <w:r w:rsidR="00DF4F4D" w:rsidRPr="00E22176">
        <w:t xml:space="preserve"> transition</w:t>
      </w:r>
      <w:r w:rsidR="00DF4F4D">
        <w:t xml:space="preserve"> requirements </w:t>
      </w:r>
      <w:r w:rsidR="00DF4F4D" w:rsidRPr="00E22176">
        <w:t xml:space="preserve">once the </w:t>
      </w:r>
      <w:r w:rsidR="00DF4F4D">
        <w:t xml:space="preserve">TGA’s safety </w:t>
      </w:r>
      <w:r w:rsidR="00DF4F4D" w:rsidRPr="00E22176">
        <w:t xml:space="preserve">review </w:t>
      </w:r>
      <w:r w:rsidR="00DF4F4D">
        <w:t xml:space="preserve">on sunscreen ingredients </w:t>
      </w:r>
      <w:r w:rsidR="00DF4F4D" w:rsidRPr="00E22176">
        <w:t xml:space="preserve">commences and </w:t>
      </w:r>
      <w:r w:rsidR="00DF4F4D">
        <w:t xml:space="preserve">they </w:t>
      </w:r>
      <w:r w:rsidR="00DF4F4D" w:rsidRPr="00E22176">
        <w:t>ha</w:t>
      </w:r>
      <w:r w:rsidR="00DF4F4D">
        <w:t>d</w:t>
      </w:r>
      <w:r w:rsidR="00DF4F4D" w:rsidRPr="00E22176">
        <w:t xml:space="preserve"> greater clarity of the likely impact.</w:t>
      </w:r>
      <w:r w:rsidR="00B30583">
        <w:t xml:space="preserve"> </w:t>
      </w:r>
    </w:p>
    <w:p w14:paraId="260F848E" w14:textId="7D987976" w:rsidR="00A851A4" w:rsidRDefault="00B30583" w:rsidP="00A851A4">
      <w:pPr>
        <w:pStyle w:val="BodyText"/>
        <w:spacing w:before="117" w:line="259" w:lineRule="auto"/>
      </w:pPr>
      <w:r>
        <w:t xml:space="preserve">The options also do </w:t>
      </w:r>
      <w:r w:rsidRPr="008B5BBF">
        <w:t xml:space="preserve">not propose new regulatory requirements </w:t>
      </w:r>
      <w:r>
        <w:t xml:space="preserve">or change the requirements </w:t>
      </w:r>
      <w:r w:rsidRPr="008B5BBF">
        <w:t>for currently approved sunscreen ingredients, such as reduced permitted concentrations stipulated in the Therapeutic Goods (Permissible Ingredients) Determination or the Poisons Standard</w:t>
      </w:r>
      <w:r>
        <w:t>, or any labelling changes</w:t>
      </w:r>
      <w:r w:rsidRPr="008B5BBF">
        <w:t>.</w:t>
      </w:r>
      <w:r w:rsidR="00DF4F4D">
        <w:t xml:space="preserve"> As such</w:t>
      </w:r>
      <w:r w:rsidR="0032674F">
        <w:t>,</w:t>
      </w:r>
      <w:r w:rsidR="00DF4F4D">
        <w:t xml:space="preserve"> it is not possible to generate costings for comparison of future regulatory impacts of risk assessment outcomes that have not been undertaken and are circumstantial. </w:t>
      </w:r>
      <w:r w:rsidR="00E130A5">
        <w:t>The</w:t>
      </w:r>
      <w:r w:rsidR="00503AC7">
        <w:t>se</w:t>
      </w:r>
      <w:r w:rsidR="00E130A5">
        <w:t xml:space="preserve"> regulatory impacts are</w:t>
      </w:r>
      <w:r w:rsidR="00A851A4">
        <w:t xml:space="preserve"> considered in</w:t>
      </w:r>
      <w:r w:rsidR="00E130A5">
        <w:t xml:space="preserve"> separate process</w:t>
      </w:r>
      <w:r w:rsidR="00DF4F4D">
        <w:t>es</w:t>
      </w:r>
      <w:r w:rsidR="00E130A5">
        <w:t xml:space="preserve"> </w:t>
      </w:r>
      <w:r w:rsidR="00ED404D">
        <w:t xml:space="preserve">under existing </w:t>
      </w:r>
      <w:r w:rsidR="00D51D25">
        <w:t>mechanisms</w:t>
      </w:r>
      <w:r w:rsidR="008A12C9">
        <w:t xml:space="preserve"> (for example under </w:t>
      </w:r>
      <w:r w:rsidR="00DF4F4D">
        <w:t xml:space="preserve">amendments to </w:t>
      </w:r>
      <w:r w:rsidR="008A12C9">
        <w:t>the Poisons Standard</w:t>
      </w:r>
      <w:r w:rsidR="00374990">
        <w:t xml:space="preserve"> or Therapeutic Goods </w:t>
      </w:r>
      <w:r w:rsidR="00DF4F4D">
        <w:t>[</w:t>
      </w:r>
      <w:r w:rsidR="00374990">
        <w:t>Permissible Ingredients</w:t>
      </w:r>
      <w:r w:rsidR="00DF4F4D">
        <w:t>]</w:t>
      </w:r>
      <w:r w:rsidR="00374990">
        <w:t xml:space="preserve"> Determination</w:t>
      </w:r>
      <w:r w:rsidR="008A12C9">
        <w:t xml:space="preserve">). </w:t>
      </w:r>
      <w:r w:rsidR="00D51D25">
        <w:t xml:space="preserve"> </w:t>
      </w:r>
    </w:p>
    <w:p w14:paraId="2471EAAB" w14:textId="2D9279DC" w:rsidR="00F9206F" w:rsidRDefault="00501958" w:rsidP="009529B9">
      <w:pPr>
        <w:pStyle w:val="BodyText"/>
        <w:spacing w:before="117" w:line="259" w:lineRule="auto"/>
      </w:pPr>
      <w:r>
        <w:t>T</w:t>
      </w:r>
      <w:r w:rsidR="00F9206F">
        <w:t>he adoption of a consistent model is anticipated to have a uniform impact across all groups, without any significant differential effects or redistributive objectives. Rather the implementation of the model is expected to ensure that no stakeholder group is disproportionately affected.</w:t>
      </w:r>
      <w:r w:rsidR="009529B9">
        <w:t xml:space="preserve"> </w:t>
      </w:r>
      <w:r w:rsidR="00F9206F">
        <w:t>The adoption of a model will not restrict competition—consistent with question 1, Figure 1 of the Office of Impact Analysis’ guidance on Competition and Regulation</w:t>
      </w:r>
      <w:r w:rsidR="00F9206F">
        <w:rPr>
          <w:rStyle w:val="FootnoteReference"/>
        </w:rPr>
        <w:footnoteReference w:id="24"/>
      </w:r>
      <w:r w:rsidR="00F9206F">
        <w:t>—as such consumers are not likely to be worse off. Instead, the proposal provides a consistent platform for stakeholders, and it is in the public interest due to potential concerns with sunscreen active ingredients</w:t>
      </w:r>
      <w:r w:rsidR="00D17C6E">
        <w:t xml:space="preserve"> that can be absorbed into the body and the need to ensure they are consistently regulated to be safe</w:t>
      </w:r>
      <w:r w:rsidR="00F9206F">
        <w:t>. Further, there is potential for efficiency and innovation</w:t>
      </w:r>
      <w:r w:rsidR="00D17C6E">
        <w:t xml:space="preserve"> when there is increased clarity about the assessment requirements</w:t>
      </w:r>
      <w:r w:rsidR="00F9206F">
        <w:t xml:space="preserve">, which could lead to enhanced productivity and types of products that are available. </w:t>
      </w:r>
    </w:p>
    <w:p w14:paraId="70D21E38" w14:textId="77777777" w:rsidR="00366937" w:rsidRDefault="00EB7A03" w:rsidP="00A851A4">
      <w:pPr>
        <w:pStyle w:val="BodyText"/>
        <w:spacing w:before="117" w:line="259" w:lineRule="auto"/>
      </w:pPr>
      <w:r>
        <w:t>In relation to new ingredient applications, the TGA contacted both peak industry bodies representing sunscreen sponsors</w:t>
      </w:r>
      <w:r w:rsidR="00A63943">
        <w:t>, suppliers</w:t>
      </w:r>
      <w:r>
        <w:t xml:space="preserve"> and manufacturers, Accord and CHP Australia, for data to estimate the quantitative costs for each option. Data was requested to compare costs required to produce a dossier and work through the application process for a new ingredient that absorbs through the skin or where absorption cannot be excluded, using each option. For similar reasons to the above, both Accord and CHP Australia were not able to provide data that could be used to estimate costs as applications are highly circumstantial. </w:t>
      </w:r>
    </w:p>
    <w:p w14:paraId="02923EB1" w14:textId="02DCEF39" w:rsidR="00F9206F" w:rsidRDefault="00F9206F" w:rsidP="00A851A4">
      <w:pPr>
        <w:pStyle w:val="BodyText"/>
        <w:spacing w:before="117" w:line="259" w:lineRule="auto"/>
      </w:pPr>
      <w:r>
        <w:t xml:space="preserve">In the absence of data to indicate how adopting a model would influence the provision of new ingredient applications, it is not possible to ascertain quantitative negative or disproportionate impacts.     </w:t>
      </w:r>
    </w:p>
    <w:p w14:paraId="0D7942DC" w14:textId="42176DE0" w:rsidR="00F9206F" w:rsidRDefault="00BA6190" w:rsidP="00BA6190">
      <w:pPr>
        <w:pStyle w:val="BodyText"/>
        <w:spacing w:before="117" w:line="259" w:lineRule="auto"/>
      </w:pPr>
      <w:r>
        <w:t>As the options proposed relate to ingredients, not products, the impact on proposed new sunscreen products including a new approved ingredient may be that their formulation will have to be adjusted to meet the safe level o</w:t>
      </w:r>
      <w:r w:rsidR="005D5F65">
        <w:t>f</w:t>
      </w:r>
      <w:r>
        <w:t xml:space="preserve"> active ingredient as determined by the accepted model. However, it is assumed that a</w:t>
      </w:r>
      <w:r w:rsidR="00D17C6E">
        <w:t xml:space="preserve"> new product</w:t>
      </w:r>
      <w:r>
        <w:t xml:space="preserve"> formulation will</w:t>
      </w:r>
      <w:r w:rsidR="000E1760">
        <w:t xml:space="preserve"> only</w:t>
      </w:r>
      <w:r>
        <w:t xml:space="preserve"> be developed after</w:t>
      </w:r>
      <w:r w:rsidR="005D5F65">
        <w:t xml:space="preserve"> an ingredient has been </w:t>
      </w:r>
      <w:r w:rsidR="00D17C6E">
        <w:t xml:space="preserve">assessed and </w:t>
      </w:r>
      <w:r w:rsidR="005D5F65">
        <w:t>approved</w:t>
      </w:r>
      <w:r w:rsidR="00D17C6E">
        <w:t>,</w:t>
      </w:r>
      <w:r w:rsidR="005D5F65">
        <w:t xml:space="preserve"> so no additional costs should be involved</w:t>
      </w:r>
      <w:r w:rsidR="00D17C6E">
        <w:t xml:space="preserve"> for this process</w:t>
      </w:r>
      <w:r w:rsidR="00501958">
        <w:t>.</w:t>
      </w:r>
    </w:p>
    <w:p w14:paraId="6F007188" w14:textId="77777777" w:rsidR="00FF18B9" w:rsidRDefault="005D5F65" w:rsidP="00FF18B9">
      <w:pPr>
        <w:pStyle w:val="BodyText"/>
        <w:spacing w:before="117" w:line="259" w:lineRule="auto"/>
      </w:pPr>
      <w:r>
        <w:t xml:space="preserve">The impact for imported products </w:t>
      </w:r>
      <w:r w:rsidR="000E1760">
        <w:t>cannot be estimated</w:t>
      </w:r>
      <w:r>
        <w:t xml:space="preserve"> until it is known what ingredients are included in the formulation. It is possible that Australian restrictions on individual ingredients may be more than or less than those permitted in overseas jurisdictions.</w:t>
      </w:r>
      <w:r w:rsidR="000D38B0" w:rsidRPr="000D38B0">
        <w:t xml:space="preserve"> </w:t>
      </w:r>
      <w:r w:rsidR="000D38B0">
        <w:t>Some industry respondents raised concerns that Australian-specific assessments could create trade barriers for European products. Different allowable concentrations in various countries may impact the supply of certain ingredients. These respondents emphasised the need to ensure a sufficient range of sunscreen active ingredients</w:t>
      </w:r>
      <w:r w:rsidR="000E1760">
        <w:t xml:space="preserve"> are available</w:t>
      </w:r>
      <w:r w:rsidR="000D38B0">
        <w:t xml:space="preserve"> to formulate very high SPF products </w:t>
      </w:r>
      <w:r w:rsidR="000D38B0" w:rsidRPr="00C4153E">
        <w:t>without compromising safety.</w:t>
      </w:r>
      <w:r w:rsidR="00FF18B9">
        <w:t xml:space="preserve"> </w:t>
      </w:r>
    </w:p>
    <w:p w14:paraId="6FBDD6B8" w14:textId="77777777" w:rsidR="00446652" w:rsidRDefault="000D38B0" w:rsidP="00FF18B9">
      <w:pPr>
        <w:pStyle w:val="BodyText"/>
        <w:spacing w:before="117" w:line="259" w:lineRule="auto"/>
      </w:pPr>
      <w:r>
        <w:t>In industry consultation, the TGA has emphasised</w:t>
      </w:r>
      <w:r w:rsidRPr="00C4153E">
        <w:t xml:space="preserve"> the differences between Australian environmental and cultural conditions and the regulatory framework for sunscreens compared to Europe</w:t>
      </w:r>
      <w:r>
        <w:t>, which highlights</w:t>
      </w:r>
      <w:r w:rsidRPr="00C4153E">
        <w:t xml:space="preserve"> the importance of having an assessment process tailored to Australia's needs. </w:t>
      </w:r>
    </w:p>
    <w:p w14:paraId="0755001F" w14:textId="345F71C0" w:rsidR="00FF18B9" w:rsidRDefault="000D38B0" w:rsidP="00A851A4">
      <w:pPr>
        <w:pStyle w:val="BodyText"/>
        <w:spacing w:before="117" w:line="259" w:lineRule="auto"/>
      </w:pPr>
      <w:r w:rsidRPr="00C4153E">
        <w:t xml:space="preserve">Given that Australia has the highest incidence of skin cancer in the world, sunscreens designed primarily for UV protection are regulated as therapeutic goods with </w:t>
      </w:r>
      <w:r>
        <w:t>different</w:t>
      </w:r>
      <w:r w:rsidRPr="00C4153E">
        <w:t xml:space="preserve"> compliance standards, unlike some sunscreens overseas that may be regulated as cosmetics.</w:t>
      </w:r>
      <w:r>
        <w:t xml:space="preserve"> </w:t>
      </w:r>
      <w:r w:rsidRPr="00C4153E">
        <w:t>These differences can affect conclusions about the safety of ingredients, including approval of higher permitted concentrations in Australia compared to other countries. In contrast, alignment of international assessments may sometimes result in reduced availability of safe sunscreen ingredients in Australia. To ensure safe sunscreen active ingredients are not restricted from being used in Australian products, the TGA makes regulatory decisions following a careful analysis of the latest scientific evidence, tailored to Australia's distinct environmental conditions, health requirements, and regulatory framework.</w:t>
      </w:r>
      <w:r w:rsidR="00FF18B9">
        <w:t xml:space="preserve"> </w:t>
      </w:r>
    </w:p>
    <w:p w14:paraId="7B8CA693" w14:textId="0F16952B" w:rsidR="00A63943" w:rsidRDefault="00A63943" w:rsidP="00A63943">
      <w:pPr>
        <w:pStyle w:val="BodyText"/>
        <w:spacing w:before="117" w:line="259" w:lineRule="auto"/>
      </w:pPr>
      <w:r>
        <w:t xml:space="preserve">On account of the above, </w:t>
      </w:r>
      <w:r w:rsidR="00501958">
        <w:t xml:space="preserve">a quantitative estimate of regulatory burden is not feasible. As such, </w:t>
      </w:r>
      <w:r>
        <w:t>the most feasible way to compare the 3 options is to consider the qualitative reasons for and against each option. The</w:t>
      </w:r>
      <w:r w:rsidR="00664340">
        <w:t>se</w:t>
      </w:r>
      <w:r>
        <w:t xml:space="preserve"> qualitative costs for each option are discussed below. </w:t>
      </w:r>
    </w:p>
    <w:p w14:paraId="4725E0E3" w14:textId="5E896C5E" w:rsidR="008501B3" w:rsidRDefault="008501B3" w:rsidP="00F47305">
      <w:pPr>
        <w:pStyle w:val="Heading4"/>
      </w:pPr>
      <w:bookmarkStart w:id="113" w:name="_Toc184730591"/>
      <w:r>
        <w:t>Net benefit based on qualitative analysis</w:t>
      </w:r>
      <w:bookmarkEnd w:id="113"/>
    </w:p>
    <w:p w14:paraId="45F91C1A" w14:textId="77777777" w:rsidR="00446652" w:rsidRDefault="00AC6075" w:rsidP="00C564D3">
      <w:r>
        <w:t>Quantif</w:t>
      </w:r>
      <w:r w:rsidR="00C5231F">
        <w:t xml:space="preserve">ying </w:t>
      </w:r>
      <w:r>
        <w:t xml:space="preserve">the benefits of each option </w:t>
      </w:r>
      <w:r w:rsidR="00C5231F">
        <w:t xml:space="preserve">is not feasible, </w:t>
      </w:r>
      <w:r>
        <w:t>as previously discussed (</w:t>
      </w:r>
      <w:r w:rsidR="00C5231F">
        <w:t>see</w:t>
      </w:r>
      <w:r>
        <w:t xml:space="preserve"> </w:t>
      </w:r>
      <w:hyperlink w:anchor="_Consideration_of_regulatory" w:history="1">
        <w:r w:rsidRPr="00AC6075">
          <w:rPr>
            <w:rStyle w:val="Hyperlink"/>
          </w:rPr>
          <w:t>Consideration of regulatory costs</w:t>
        </w:r>
      </w:hyperlink>
      <w:r>
        <w:t xml:space="preserve">). </w:t>
      </w:r>
      <w:r w:rsidR="00C5231F">
        <w:t>Consequently</w:t>
      </w:r>
      <w:r>
        <w:t xml:space="preserve">, a </w:t>
      </w:r>
      <w:r w:rsidR="003005AC">
        <w:t xml:space="preserve">multi-criteria </w:t>
      </w:r>
      <w:r>
        <w:t xml:space="preserve">qualitative analysis was </w:t>
      </w:r>
      <w:r w:rsidR="00C5231F">
        <w:t xml:space="preserve">performed </w:t>
      </w:r>
      <w:r>
        <w:t>for each option</w:t>
      </w:r>
      <w:r w:rsidR="00C5231F">
        <w:t>,</w:t>
      </w:r>
      <w:r>
        <w:t xml:space="preserve"> </w:t>
      </w:r>
      <w:r w:rsidR="00C5231F">
        <w:t xml:space="preserve">using </w:t>
      </w:r>
      <w:r>
        <w:t xml:space="preserve">a score rating </w:t>
      </w:r>
      <w:r w:rsidR="00C5231F">
        <w:t xml:space="preserve">system </w:t>
      </w:r>
      <w:r>
        <w:t xml:space="preserve">for each </w:t>
      </w:r>
      <w:r w:rsidR="003005AC">
        <w:t>potential cohort that may be affected</w:t>
      </w:r>
      <w:r w:rsidR="0059508A">
        <w:t xml:space="preserve"> (refer to </w:t>
      </w:r>
      <w:hyperlink w:anchor="Table10" w:history="1">
        <w:r w:rsidR="0059508A" w:rsidRPr="0059508A">
          <w:rPr>
            <w:rStyle w:val="Hyperlink"/>
          </w:rPr>
          <w:t>Table 10</w:t>
        </w:r>
      </w:hyperlink>
      <w:r w:rsidR="0059508A">
        <w:t>)</w:t>
      </w:r>
      <w:r w:rsidR="00C5231F">
        <w:t xml:space="preserve">. This approach helps to </w:t>
      </w:r>
      <w:r>
        <w:t xml:space="preserve">reflect the greatest benefit. </w:t>
      </w:r>
      <w:r w:rsidR="00C5231F">
        <w:t xml:space="preserve">Given the challenges </w:t>
      </w:r>
      <w:r>
        <w:t>in determining</w:t>
      </w:r>
      <w:r w:rsidR="00C5231F">
        <w:t xml:space="preserve"> </w:t>
      </w:r>
      <w:r>
        <w:t>precise quantitative value</w:t>
      </w:r>
      <w:r w:rsidR="00C5231F">
        <w:t>s</w:t>
      </w:r>
      <w:r>
        <w:t xml:space="preserve">, a scale from +2 to -2, </w:t>
      </w:r>
      <w:r w:rsidR="00D902E0">
        <w:t>(</w:t>
      </w:r>
      <w:r>
        <w:t xml:space="preserve">with 0 </w:t>
      </w:r>
      <w:r w:rsidR="00C5231F">
        <w:t>indicating</w:t>
      </w:r>
      <w:r>
        <w:t xml:space="preserve"> no net change in benefit) </w:t>
      </w:r>
      <w:r w:rsidR="00C5231F">
        <w:t xml:space="preserve">was used to </w:t>
      </w:r>
      <w:r>
        <w:t xml:space="preserve">illustrate and compare the relative benefits of each option. </w:t>
      </w:r>
    </w:p>
    <w:p w14:paraId="7B730567" w14:textId="31A299F5" w:rsidR="007C2273" w:rsidRDefault="00C5231F" w:rsidP="00C564D3">
      <w:r>
        <w:t xml:space="preserve">Each potentially affected cohort was </w:t>
      </w:r>
      <w:r w:rsidR="00D902E0">
        <w:t>assigned</w:t>
      </w:r>
      <w:r>
        <w:t xml:space="preserve"> a score rating</w:t>
      </w:r>
      <w:r w:rsidR="00D902E0">
        <w:t xml:space="preserve"> to account for the net benefit </w:t>
      </w:r>
      <w:r>
        <w:t>in the absence of q</w:t>
      </w:r>
      <w:r w:rsidR="00D902E0">
        <w:t xml:space="preserve">uantitative data. The cohorts </w:t>
      </w:r>
      <w:r>
        <w:t>a</w:t>
      </w:r>
      <w:r w:rsidR="00D902E0">
        <w:t>lign with the three main objectives</w:t>
      </w:r>
      <w:r>
        <w:t>:</w:t>
      </w:r>
      <w:r w:rsidR="00D902E0">
        <w:t xml:space="preserve"> ensur</w:t>
      </w:r>
      <w:r>
        <w:t>ing</w:t>
      </w:r>
      <w:r w:rsidR="00D902E0">
        <w:t xml:space="preserve"> the safety of sunscreens, enhancing consumer safety and trust in sunscreens and increas</w:t>
      </w:r>
      <w:r>
        <w:t>ing</w:t>
      </w:r>
      <w:r w:rsidR="00D902E0">
        <w:t xml:space="preserve"> regulatory certainty for the sunscreen industry. </w:t>
      </w:r>
      <w:r>
        <w:t xml:space="preserve">For </w:t>
      </w:r>
      <w:r w:rsidR="00AC6075">
        <w:t>a detailed qualitative analysis</w:t>
      </w:r>
      <w:r>
        <w:t xml:space="preserve">, refer to </w:t>
      </w:r>
      <w:hyperlink w:anchor="_Comparison_of_qualitative_1" w:history="1">
        <w:r w:rsidR="008501B3" w:rsidRPr="008501B3">
          <w:rPr>
            <w:rStyle w:val="Hyperlink"/>
          </w:rPr>
          <w:t>Comparison of the qualitative regulatory costs for each option</w:t>
        </w:r>
      </w:hyperlink>
      <w:r w:rsidR="00AC6075">
        <w:t>.</w:t>
      </w:r>
      <w:r w:rsidR="00D902E0">
        <w:t xml:space="preserve"> </w:t>
      </w:r>
    </w:p>
    <w:p w14:paraId="370E235D" w14:textId="6759AFD5" w:rsidR="005F1B76" w:rsidRDefault="005F1B76" w:rsidP="00FF18B9">
      <w:pPr>
        <w:keepNext/>
      </w:pPr>
      <w:r w:rsidRPr="00DC5D01">
        <w:rPr>
          <w:b/>
          <w:bCs/>
        </w:rPr>
        <w:t>Impact rating scale</w:t>
      </w:r>
      <w:r>
        <w:t>:</w:t>
      </w:r>
    </w:p>
    <w:p w14:paraId="2662B265" w14:textId="755E9448" w:rsidR="00495F45" w:rsidRDefault="00495F45" w:rsidP="008501B3">
      <w:r w:rsidRPr="00495F45">
        <w:rPr>
          <w:noProof/>
          <w:lang w:eastAsia="en-AU"/>
        </w:rPr>
        <w:drawing>
          <wp:inline distT="0" distB="0" distL="0" distR="0" wp14:anchorId="486B8824" wp14:editId="037EE607">
            <wp:extent cx="5731510" cy="883285"/>
            <wp:effectExtent l="19050" t="19050" r="21590" b="12065"/>
            <wp:docPr id="1183820264" name="Picture 1" descr="A green and brown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264" name="Picture 1" descr="A green and brown rectangle"/>
                    <pic:cNvPicPr/>
                  </pic:nvPicPr>
                  <pic:blipFill>
                    <a:blip r:embed="rId48"/>
                    <a:stretch>
                      <a:fillRect/>
                    </a:stretch>
                  </pic:blipFill>
                  <pic:spPr>
                    <a:xfrm>
                      <a:off x="0" y="0"/>
                      <a:ext cx="5731510" cy="883285"/>
                    </a:xfrm>
                    <a:prstGeom prst="rect">
                      <a:avLst/>
                    </a:prstGeom>
                    <a:ln>
                      <a:solidFill>
                        <a:schemeClr val="accent1"/>
                      </a:solidFill>
                    </a:ln>
                  </pic:spPr>
                </pic:pic>
              </a:graphicData>
            </a:graphic>
          </wp:inline>
        </w:drawing>
      </w:r>
    </w:p>
    <w:p w14:paraId="089B8743" w14:textId="765578C2" w:rsidR="00AC6075" w:rsidRPr="00803BFE" w:rsidRDefault="00AC6075" w:rsidP="008501B3">
      <w:r>
        <w:t xml:space="preserve">The analysis focuses on the impacts of each option on the following cohorts who </w:t>
      </w:r>
      <w:r>
        <w:rPr>
          <w:i/>
          <w:iCs/>
        </w:rPr>
        <w:t xml:space="preserve">may </w:t>
      </w:r>
      <w:r>
        <w:t>be most affected:</w:t>
      </w:r>
    </w:p>
    <w:p w14:paraId="7D3C1F48" w14:textId="14B66B0E" w:rsidR="00AC6075" w:rsidRPr="00803BFE" w:rsidRDefault="003005AC" w:rsidP="006D28D0">
      <w:pPr>
        <w:pStyle w:val="ListBullet"/>
      </w:pPr>
      <w:r w:rsidRPr="00803BFE">
        <w:t>Industry (</w:t>
      </w:r>
      <w:r w:rsidRPr="00C564D3">
        <w:t>including</w:t>
      </w:r>
      <w:r w:rsidRPr="00803BFE">
        <w:t xml:space="preserve"> a</w:t>
      </w:r>
      <w:r w:rsidR="00AC6075" w:rsidRPr="00803BFE">
        <w:t>pplicants/sponsors</w:t>
      </w:r>
      <w:r w:rsidRPr="00803BFE">
        <w:t>)</w:t>
      </w:r>
    </w:p>
    <w:p w14:paraId="6AC53ADA" w14:textId="37BA1D00" w:rsidR="00501958" w:rsidRPr="00803BFE" w:rsidRDefault="00501958" w:rsidP="006D28D0">
      <w:pPr>
        <w:pStyle w:val="ListBullet"/>
      </w:pPr>
      <w:r w:rsidRPr="00803BFE">
        <w:t>Exporters</w:t>
      </w:r>
    </w:p>
    <w:p w14:paraId="4DA2335B" w14:textId="4000589E" w:rsidR="00501958" w:rsidRPr="00803BFE" w:rsidRDefault="00501958" w:rsidP="006D28D0">
      <w:pPr>
        <w:pStyle w:val="ListBullet"/>
      </w:pPr>
      <w:r w:rsidRPr="00803BFE">
        <w:t>Importers</w:t>
      </w:r>
    </w:p>
    <w:p w14:paraId="63DA16A5" w14:textId="3AB5C7F8" w:rsidR="00501958" w:rsidRPr="00803BFE" w:rsidRDefault="00501958" w:rsidP="006D28D0">
      <w:pPr>
        <w:pStyle w:val="ListBullet"/>
      </w:pPr>
      <w:r w:rsidRPr="00803BFE">
        <w:t>Australian consumers</w:t>
      </w:r>
    </w:p>
    <w:p w14:paraId="5D00CDC1" w14:textId="6210711E" w:rsidR="005D5F65" w:rsidRPr="00803BFE" w:rsidRDefault="005D5F65" w:rsidP="006D28D0">
      <w:pPr>
        <w:pStyle w:val="ListBullet"/>
      </w:pPr>
      <w:r w:rsidRPr="00803BFE">
        <w:t>Government</w:t>
      </w:r>
    </w:p>
    <w:p w14:paraId="4D2845D4" w14:textId="7D6D0333" w:rsidR="006713FA" w:rsidRPr="00AC6075" w:rsidRDefault="006713FA" w:rsidP="006347CF">
      <w:pPr>
        <w:pStyle w:val="Tabletitle"/>
      </w:pPr>
      <w:bookmarkStart w:id="114" w:name="Table10"/>
      <w:r>
        <w:t xml:space="preserve">Table </w:t>
      </w:r>
      <w:r w:rsidR="00364E96">
        <w:t>10</w:t>
      </w:r>
      <w:r>
        <w:t>: Impacts of each option on specified cohorts</w:t>
      </w:r>
    </w:p>
    <w:tbl>
      <w:tblPr>
        <w:tblStyle w:val="TableTGAblue2023"/>
        <w:tblW w:w="0" w:type="auto"/>
        <w:tblLook w:val="04A0" w:firstRow="1" w:lastRow="0" w:firstColumn="1" w:lastColumn="0" w:noHBand="0" w:noVBand="1"/>
      </w:tblPr>
      <w:tblGrid>
        <w:gridCol w:w="2157"/>
        <w:gridCol w:w="6031"/>
        <w:gridCol w:w="828"/>
      </w:tblGrid>
      <w:tr w:rsidR="00364E96" w:rsidRPr="006D28D0" w14:paraId="11EC9FDC" w14:textId="77777777" w:rsidTr="00300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bookmarkEnd w:id="114"/>
          <w:p w14:paraId="102DB923" w14:textId="483DC239" w:rsidR="00A46A31" w:rsidRPr="003413F6" w:rsidRDefault="00A46A31" w:rsidP="006347CF">
            <w:pPr>
              <w:ind w:left="0"/>
              <w:rPr>
                <w:sz w:val="20"/>
                <w:szCs w:val="20"/>
              </w:rPr>
            </w:pPr>
            <w:r w:rsidRPr="006D28D0">
              <w:t>Cohort</w:t>
            </w:r>
          </w:p>
        </w:tc>
        <w:tc>
          <w:tcPr>
            <w:tcW w:w="6031" w:type="dxa"/>
          </w:tcPr>
          <w:p w14:paraId="587D1633" w14:textId="592CF3A3" w:rsidR="00A46A31" w:rsidRPr="003413F6" w:rsidRDefault="00A46A31" w:rsidP="006347CF">
            <w:pPr>
              <w:ind w:left="0"/>
              <w:cnfStyle w:val="100000000000" w:firstRow="1" w:lastRow="0" w:firstColumn="0" w:lastColumn="0" w:oddVBand="0" w:evenVBand="0" w:oddHBand="0" w:evenHBand="0" w:firstRowFirstColumn="0" w:firstRowLastColumn="0" w:lastRowFirstColumn="0" w:lastRowLastColumn="0"/>
              <w:rPr>
                <w:sz w:val="20"/>
                <w:szCs w:val="20"/>
              </w:rPr>
            </w:pPr>
            <w:r w:rsidRPr="006D28D0">
              <w:t>Impact(s)</w:t>
            </w:r>
          </w:p>
        </w:tc>
        <w:tc>
          <w:tcPr>
            <w:tcW w:w="828" w:type="dxa"/>
          </w:tcPr>
          <w:p w14:paraId="45243CC5" w14:textId="13318AFE" w:rsidR="00A46A31" w:rsidRPr="003413F6" w:rsidRDefault="00DC5D01" w:rsidP="006347CF">
            <w:pPr>
              <w:ind w:left="0"/>
              <w:cnfStyle w:val="100000000000" w:firstRow="1" w:lastRow="0" w:firstColumn="0" w:lastColumn="0" w:oddVBand="0" w:evenVBand="0" w:oddHBand="0" w:evenHBand="0" w:firstRowFirstColumn="0" w:firstRowLastColumn="0" w:lastRowFirstColumn="0" w:lastRowLastColumn="0"/>
              <w:rPr>
                <w:sz w:val="20"/>
                <w:szCs w:val="20"/>
              </w:rPr>
            </w:pPr>
            <w:r w:rsidRPr="006D28D0">
              <w:t>Score</w:t>
            </w:r>
          </w:p>
        </w:tc>
      </w:tr>
      <w:tr w:rsidR="005D5F65" w14:paraId="0F8A9542"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val="restart"/>
          </w:tcPr>
          <w:p w14:paraId="7617D437" w14:textId="02DB20DD" w:rsidR="005D5F65" w:rsidRPr="00DC5D01" w:rsidRDefault="003005AC" w:rsidP="006347CF">
            <w:pPr>
              <w:keepNext/>
              <w:ind w:left="0"/>
              <w:rPr>
                <w:b/>
                <w:bCs/>
              </w:rPr>
            </w:pPr>
            <w:r>
              <w:rPr>
                <w:b/>
                <w:bCs/>
              </w:rPr>
              <w:t>Industry (including a</w:t>
            </w:r>
            <w:r w:rsidR="005D5F65" w:rsidRPr="000E54B8">
              <w:rPr>
                <w:b/>
                <w:bCs/>
              </w:rPr>
              <w:t>pplicants/sponsors</w:t>
            </w:r>
            <w:r>
              <w:rPr>
                <w:b/>
                <w:bCs/>
              </w:rPr>
              <w:t>)</w:t>
            </w:r>
          </w:p>
          <w:p w14:paraId="0B353034" w14:textId="77777777" w:rsidR="005D5F65" w:rsidRPr="00DC5D01" w:rsidRDefault="005D5F65" w:rsidP="006347CF">
            <w:pPr>
              <w:keepNext/>
              <w:ind w:left="0"/>
              <w:rPr>
                <w:b/>
                <w:bCs/>
              </w:rPr>
            </w:pPr>
          </w:p>
        </w:tc>
        <w:tc>
          <w:tcPr>
            <w:tcW w:w="6031" w:type="dxa"/>
          </w:tcPr>
          <w:p w14:paraId="1286F5DD" w14:textId="1E87A263" w:rsidR="005D5F65" w:rsidRDefault="005D5F65" w:rsidP="006347CF">
            <w:pPr>
              <w:keepNext/>
              <w:ind w:left="0"/>
              <w:cnfStyle w:val="000000000000" w:firstRow="0" w:lastRow="0" w:firstColumn="0" w:lastColumn="0" w:oddVBand="0" w:evenVBand="0" w:oddHBand="0" w:evenHBand="0" w:firstRowFirstColumn="0" w:firstRowLastColumn="0" w:lastRowFirstColumn="0" w:lastRowLastColumn="0"/>
              <w:rPr>
                <w:b/>
                <w:bCs/>
              </w:rPr>
            </w:pPr>
            <w:r>
              <w:rPr>
                <w:b/>
                <w:bCs/>
              </w:rPr>
              <w:t>Option 1 (</w:t>
            </w:r>
            <w:r w:rsidR="00087A5F">
              <w:rPr>
                <w:b/>
                <w:bCs/>
              </w:rPr>
              <w:t>A</w:t>
            </w:r>
            <w:r>
              <w:rPr>
                <w:b/>
                <w:bCs/>
              </w:rPr>
              <w:t>SEM):</w:t>
            </w:r>
          </w:p>
          <w:p w14:paraId="18E4F913" w14:textId="3A141E14" w:rsidR="00F9206F" w:rsidRPr="00803BFE" w:rsidRDefault="00F9206F"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Simple calculation to determine sunscreen exposure which produces consistent outcomes</w:t>
            </w:r>
            <w:r w:rsidR="00430D0C" w:rsidRPr="00803BFE">
              <w:t>.</w:t>
            </w:r>
          </w:p>
          <w:p w14:paraId="5E92D0E3" w14:textId="00454830" w:rsidR="005D5F65" w:rsidRDefault="005D5F65" w:rsidP="006347CF">
            <w:pPr>
              <w:pStyle w:val="ListBullet"/>
              <w:keepNext/>
              <w:cnfStyle w:val="000000000000" w:firstRow="0" w:lastRow="0" w:firstColumn="0" w:lastColumn="0" w:oddVBand="0" w:evenVBand="0" w:oddHBand="0" w:evenHBand="0" w:firstRowFirstColumn="0" w:firstRowLastColumn="0" w:lastRowFirstColumn="0" w:lastRowLastColumn="0"/>
            </w:pPr>
            <w:r>
              <w:t>Reduced discrepancies in risk assessments, due to there being a consistent approach</w:t>
            </w:r>
            <w:r w:rsidR="00C20B82">
              <w:t xml:space="preserve"> and regulatory certainty as to the TGA’s approach.</w:t>
            </w:r>
          </w:p>
          <w:p w14:paraId="416477BF" w14:textId="77777777" w:rsidR="005D5F65" w:rsidRPr="00803BFE" w:rsidRDefault="005D5F65"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Less likely to be contested, saving time and resources.</w:t>
            </w:r>
          </w:p>
          <w:p w14:paraId="6BF8DC56" w14:textId="379517CE" w:rsidR="005D5F65" w:rsidRPr="00803BFE" w:rsidRDefault="005D5F65"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Reduction in time taken to conduct evaluations due to the provision of consistent data and calculations.</w:t>
            </w:r>
          </w:p>
          <w:p w14:paraId="4C503BBA" w14:textId="450A5C3C" w:rsidR="00087A5F" w:rsidRPr="00803BFE" w:rsidRDefault="00430D0C"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Reduced</w:t>
            </w:r>
            <w:r w:rsidR="005D5F65" w:rsidRPr="00803BFE">
              <w:t xml:space="preserve"> request</w:t>
            </w:r>
            <w:r w:rsidRPr="00803BFE">
              <w:t xml:space="preserve"> for</w:t>
            </w:r>
            <w:r w:rsidR="005D5F65" w:rsidRPr="00803BFE">
              <w:t xml:space="preserve"> further information and/or liaising with applicants in search of information to assist with individual risk assessments</w:t>
            </w:r>
            <w:r w:rsidRPr="00803BFE">
              <w:t xml:space="preserve"> reduces resources required by applicants</w:t>
            </w:r>
            <w:r w:rsidR="00E14F11" w:rsidRPr="00803BFE">
              <w:t>.</w:t>
            </w:r>
          </w:p>
          <w:p w14:paraId="6C73E64B" w14:textId="5918B15D" w:rsidR="003005AC" w:rsidRPr="00803BFE" w:rsidRDefault="00606BA0"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May</w:t>
            </w:r>
            <w:r w:rsidR="00430D0C" w:rsidRPr="00803BFE">
              <w:t xml:space="preserve"> not align with international jurisdictions that use the SCCS estimation of sunscreen use for risk assessments. This could lead to discrepancies where</w:t>
            </w:r>
            <w:r w:rsidR="00430D0C" w:rsidRPr="00803BFE">
              <w:rPr>
                <w:spacing w:val="-4"/>
              </w:rPr>
              <w:t xml:space="preserve"> </w:t>
            </w:r>
            <w:r w:rsidR="00430D0C" w:rsidRPr="00803BFE">
              <w:t>certain</w:t>
            </w:r>
            <w:r w:rsidR="00430D0C" w:rsidRPr="00803BFE">
              <w:rPr>
                <w:spacing w:val="-4"/>
              </w:rPr>
              <w:t xml:space="preserve"> </w:t>
            </w:r>
            <w:r w:rsidR="00430D0C" w:rsidRPr="00803BFE">
              <w:t>sunscreen</w:t>
            </w:r>
            <w:r w:rsidR="00430D0C" w:rsidRPr="00803BFE">
              <w:rPr>
                <w:spacing w:val="-2"/>
              </w:rPr>
              <w:t xml:space="preserve"> </w:t>
            </w:r>
            <w:r w:rsidR="00430D0C" w:rsidRPr="00803BFE">
              <w:t>ingredients</w:t>
            </w:r>
            <w:r w:rsidR="00430D0C" w:rsidRPr="00803BFE">
              <w:rPr>
                <w:spacing w:val="-3"/>
              </w:rPr>
              <w:t xml:space="preserve"> </w:t>
            </w:r>
            <w:r w:rsidR="00430D0C" w:rsidRPr="00803BFE">
              <w:t>are</w:t>
            </w:r>
            <w:r w:rsidR="00430D0C" w:rsidRPr="00803BFE">
              <w:rPr>
                <w:spacing w:val="-2"/>
              </w:rPr>
              <w:t xml:space="preserve"> </w:t>
            </w:r>
            <w:r w:rsidR="00430D0C" w:rsidRPr="00803BFE">
              <w:t>permitted</w:t>
            </w:r>
            <w:r w:rsidR="00430D0C" w:rsidRPr="00803BFE">
              <w:rPr>
                <w:spacing w:val="-2"/>
              </w:rPr>
              <w:t xml:space="preserve"> </w:t>
            </w:r>
            <w:r w:rsidR="00430D0C" w:rsidRPr="00803BFE">
              <w:t>overseas</w:t>
            </w:r>
            <w:r w:rsidR="00430D0C" w:rsidRPr="00803BFE">
              <w:rPr>
                <w:spacing w:val="-3"/>
              </w:rPr>
              <w:t xml:space="preserve"> </w:t>
            </w:r>
            <w:r w:rsidR="00430D0C" w:rsidRPr="00803BFE">
              <w:t>but</w:t>
            </w:r>
            <w:r w:rsidR="00430D0C" w:rsidRPr="00803BFE">
              <w:rPr>
                <w:spacing w:val="-4"/>
              </w:rPr>
              <w:t xml:space="preserve"> </w:t>
            </w:r>
            <w:r w:rsidR="00430D0C" w:rsidRPr="00803BFE">
              <w:t>restricted</w:t>
            </w:r>
            <w:r w:rsidR="00430D0C" w:rsidRPr="00803BFE">
              <w:rPr>
                <w:spacing w:val="-4"/>
              </w:rPr>
              <w:t xml:space="preserve"> </w:t>
            </w:r>
            <w:r w:rsidR="00430D0C" w:rsidRPr="00803BFE">
              <w:t>or</w:t>
            </w:r>
            <w:r w:rsidR="00430D0C" w:rsidRPr="00803BFE">
              <w:rPr>
                <w:spacing w:val="-1"/>
              </w:rPr>
              <w:t xml:space="preserve"> </w:t>
            </w:r>
            <w:r w:rsidR="00430D0C" w:rsidRPr="00803BFE">
              <w:t>limited</w:t>
            </w:r>
            <w:r w:rsidR="00430D0C" w:rsidRPr="00803BFE">
              <w:rPr>
                <w:spacing w:val="-4"/>
              </w:rPr>
              <w:t xml:space="preserve"> </w:t>
            </w:r>
            <w:r w:rsidR="00430D0C" w:rsidRPr="00803BFE">
              <w:t>to</w:t>
            </w:r>
            <w:r w:rsidR="00430D0C" w:rsidRPr="00803BFE">
              <w:rPr>
                <w:spacing w:val="-2"/>
              </w:rPr>
              <w:t xml:space="preserve"> </w:t>
            </w:r>
            <w:r w:rsidR="00430D0C" w:rsidRPr="00803BFE">
              <w:t>lower or higher maximum concentrations in therapeutic sunscreens in Australia</w:t>
            </w:r>
            <w:r w:rsidR="00E14F11" w:rsidRPr="00803BFE">
              <w:t>.</w:t>
            </w:r>
            <w:r w:rsidR="007E06F2">
              <w:t xml:space="preserve"> However alternatively, some ingredients could be permitted in Australia, or have higher maximum concentrations, than overseas.</w:t>
            </w:r>
          </w:p>
          <w:p w14:paraId="4529CCAC" w14:textId="659A8747" w:rsidR="003005AC" w:rsidRPr="00087A5F" w:rsidRDefault="003005AC" w:rsidP="006347CF">
            <w:pPr>
              <w:pStyle w:val="ListBullet"/>
              <w:keepNext/>
              <w:cnfStyle w:val="000000000000" w:firstRow="0" w:lastRow="0" w:firstColumn="0" w:lastColumn="0" w:oddVBand="0" w:evenVBand="0" w:oddHBand="0" w:evenHBand="0" w:firstRowFirstColumn="0" w:firstRowLastColumn="0" w:lastRowFirstColumn="0" w:lastRowLastColumn="0"/>
            </w:pPr>
            <w:r w:rsidRPr="00803BFE">
              <w:t>Consistency of regulatory outcomes can better support innovation and development of sunscreen ingredients</w:t>
            </w:r>
            <w:r w:rsidR="00E14F11" w:rsidRPr="00803BFE">
              <w:t>.</w:t>
            </w:r>
          </w:p>
        </w:tc>
        <w:tc>
          <w:tcPr>
            <w:tcW w:w="828" w:type="dxa"/>
          </w:tcPr>
          <w:p w14:paraId="11B6092C" w14:textId="0BB0E734" w:rsidR="005D5F65" w:rsidDel="00A46A31" w:rsidRDefault="00C5231F" w:rsidP="006347CF">
            <w:pPr>
              <w:keepNext/>
              <w:cnfStyle w:val="000000000000" w:firstRow="0" w:lastRow="0" w:firstColumn="0" w:lastColumn="0" w:oddVBand="0" w:evenVBand="0" w:oddHBand="0" w:evenHBand="0" w:firstRowFirstColumn="0" w:firstRowLastColumn="0" w:lastRowFirstColumn="0" w:lastRowLastColumn="0"/>
            </w:pPr>
            <w:r>
              <w:t xml:space="preserve">+2 </w:t>
            </w:r>
          </w:p>
        </w:tc>
      </w:tr>
      <w:tr w:rsidR="005D5F65" w14:paraId="17419E10"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528CC843" w14:textId="77777777" w:rsidR="005D5F65" w:rsidRPr="00903221" w:rsidRDefault="005D5F65" w:rsidP="00903221">
            <w:pPr>
              <w:ind w:left="0"/>
              <w:rPr>
                <w:b/>
                <w:bCs/>
              </w:rPr>
            </w:pPr>
          </w:p>
        </w:tc>
        <w:tc>
          <w:tcPr>
            <w:tcW w:w="6031" w:type="dxa"/>
          </w:tcPr>
          <w:p w14:paraId="7DEB9085" w14:textId="586D4C84" w:rsidR="005D5F65" w:rsidRPr="007D0205" w:rsidRDefault="005D5F65" w:rsidP="00903221">
            <w:pPr>
              <w:ind w:left="0"/>
              <w:cnfStyle w:val="000000000000" w:firstRow="0" w:lastRow="0" w:firstColumn="0" w:lastColumn="0" w:oddVBand="0" w:evenVBand="0" w:oddHBand="0" w:evenHBand="0" w:firstRowFirstColumn="0" w:firstRowLastColumn="0" w:lastRowFirstColumn="0" w:lastRowLastColumn="0"/>
              <w:rPr>
                <w:b/>
                <w:bCs/>
              </w:rPr>
            </w:pPr>
            <w:r w:rsidRPr="007D0205">
              <w:rPr>
                <w:b/>
                <w:bCs/>
              </w:rPr>
              <w:t>Option 2</w:t>
            </w:r>
            <w:r>
              <w:rPr>
                <w:b/>
                <w:bCs/>
              </w:rPr>
              <w:t xml:space="preserve"> (SCCC model)</w:t>
            </w:r>
            <w:r w:rsidR="00975645">
              <w:rPr>
                <w:b/>
                <w:bCs/>
              </w:rPr>
              <w:t>:</w:t>
            </w:r>
          </w:p>
          <w:p w14:paraId="3CD3710E" w14:textId="77777777" w:rsidR="00EB3829" w:rsidRPr="00803BFE"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Limitation that there are variances in the calculated MoS depending on the method used, which may result in inconsistent evaluation outcomes.</w:t>
            </w:r>
          </w:p>
          <w:p w14:paraId="790E317F" w14:textId="42AE473A" w:rsidR="007E06F2" w:rsidRDefault="007E06F2"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Provides less regulatory certainty than </w:t>
            </w:r>
            <w:r w:rsidR="004B30EA">
              <w:t>O</w:t>
            </w:r>
            <w:r w:rsidRPr="00803BFE">
              <w:t>ption 1 due to potential for inconsistent evaluation outcomes.</w:t>
            </w:r>
          </w:p>
          <w:p w14:paraId="47CDAC2A" w14:textId="494BB93D"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Reduction in time taken to conduct evaluations due to the provision of consistent data and calculations.</w:t>
            </w:r>
          </w:p>
          <w:p w14:paraId="3852A1B2" w14:textId="77777777"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Less time taken to request further information and/or liaising with applicants in search of information to assist with the risk assessment.  </w:t>
            </w:r>
          </w:p>
          <w:p w14:paraId="48BC5464" w14:textId="69468E62" w:rsidR="00430D0C" w:rsidRPr="00803BFE" w:rsidRDefault="00430D0C"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Aligns with international jurisdictions that use the SCCS estimation of sunscreen use for risk assessments. </w:t>
            </w:r>
            <w:r w:rsidR="00053C50" w:rsidRPr="00803BFE">
              <w:t xml:space="preserve">Consistency </w:t>
            </w:r>
            <w:r w:rsidR="00053C50">
              <w:t xml:space="preserve">of approach </w:t>
            </w:r>
            <w:r w:rsidR="00053C50" w:rsidRPr="00803BFE">
              <w:t>supports innovators of new ingredients by allowing them to provide data that meets the requirements of different agencies.</w:t>
            </w:r>
            <w:r w:rsidR="00053C50">
              <w:t xml:space="preserve"> While the data requirements are the same with the SCCS, the regulatory framework, and approval process is still different irrespective of what model was used. Alignment of the exposure calculations does not guarantee that the ingredient requirements would be suitable or the same in Australia under the legislative framework.</w:t>
            </w:r>
          </w:p>
          <w:p w14:paraId="55120CB8" w14:textId="0421CA54" w:rsidR="003005AC" w:rsidRPr="00087A5F" w:rsidRDefault="003005AC"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Recognised by European nations and other international regions where sunscreens are regulated as cosmetic products. </w:t>
            </w:r>
          </w:p>
        </w:tc>
        <w:tc>
          <w:tcPr>
            <w:tcW w:w="828" w:type="dxa"/>
          </w:tcPr>
          <w:p w14:paraId="307ECDA1" w14:textId="77777777" w:rsidR="005D5F65" w:rsidRPr="00B478EB" w:rsidRDefault="005D5F65" w:rsidP="006C4EF3">
            <w:pPr>
              <w:cnfStyle w:val="000000000000" w:firstRow="0" w:lastRow="0" w:firstColumn="0" w:lastColumn="0" w:oddVBand="0" w:evenVBand="0" w:oddHBand="0" w:evenHBand="0" w:firstRowFirstColumn="0" w:firstRowLastColumn="0" w:lastRowFirstColumn="0" w:lastRowLastColumn="0"/>
            </w:pPr>
            <w:r w:rsidRPr="00DF0E1E">
              <w:t>+1</w:t>
            </w:r>
          </w:p>
          <w:p w14:paraId="0BA36AB7" w14:textId="77777777" w:rsidR="005D5F65" w:rsidRPr="00DF0E1E" w:rsidRDefault="005D5F65" w:rsidP="006C4EF3">
            <w:pPr>
              <w:cnfStyle w:val="000000000000" w:firstRow="0" w:lastRow="0" w:firstColumn="0" w:lastColumn="0" w:oddVBand="0" w:evenVBand="0" w:oddHBand="0" w:evenHBand="0" w:firstRowFirstColumn="0" w:firstRowLastColumn="0" w:lastRowFirstColumn="0" w:lastRowLastColumn="0"/>
            </w:pPr>
          </w:p>
        </w:tc>
      </w:tr>
      <w:tr w:rsidR="005D5F65" w14:paraId="095712F4"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4B598C66" w14:textId="77777777" w:rsidR="005D5F65" w:rsidRDefault="005D5F65" w:rsidP="00903221"/>
        </w:tc>
        <w:tc>
          <w:tcPr>
            <w:tcW w:w="6031" w:type="dxa"/>
          </w:tcPr>
          <w:p w14:paraId="456C14EC" w14:textId="0707051A" w:rsidR="005D5F65" w:rsidRPr="00803BFE" w:rsidRDefault="005D5F65" w:rsidP="00903221">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3 (Status quo):</w:t>
            </w:r>
          </w:p>
          <w:p w14:paraId="5E6B82D7" w14:textId="77777777"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Allows greater flexibility to employ diverse scientific justifications to support evaluation of new sunscreen active ingredients.</w:t>
            </w:r>
          </w:p>
          <w:p w14:paraId="2CCF39B0" w14:textId="12DA300A"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Subject to regulatory inconsistencies</w:t>
            </w:r>
            <w:r w:rsidR="00EB3829" w:rsidRPr="00803BFE">
              <w:t xml:space="preserve"> and d</w:t>
            </w:r>
            <w:r w:rsidRPr="00803BFE">
              <w:t>iscrepancies in risk assessments, i.e. overly conservative v</w:t>
            </w:r>
            <w:r w:rsidR="007E06F2">
              <w:t>s.</w:t>
            </w:r>
            <w:r w:rsidRPr="00803BFE">
              <w:t xml:space="preserve"> less conservative.  </w:t>
            </w:r>
          </w:p>
          <w:p w14:paraId="638BD51E" w14:textId="1A7C79E3" w:rsidR="00C20B82" w:rsidRPr="00803BFE" w:rsidRDefault="00C20B82" w:rsidP="006D28D0">
            <w:pPr>
              <w:pStyle w:val="ListBullet"/>
              <w:cnfStyle w:val="000000000000" w:firstRow="0" w:lastRow="0" w:firstColumn="0" w:lastColumn="0" w:oddVBand="0" w:evenVBand="0" w:oddHBand="0" w:evenHBand="0" w:firstRowFirstColumn="0" w:firstRowLastColumn="0" w:lastRowFirstColumn="0" w:lastRowLastColumn="0"/>
            </w:pPr>
            <w:r w:rsidRPr="00803BFE">
              <w:t>Evaluations are more prone to be challenged, increasing time and resources debating application decisions.</w:t>
            </w:r>
          </w:p>
          <w:p w14:paraId="24E4E124" w14:textId="77777777"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Requires scientifically robust justifications, increased time for researching and drafting dossiers that may not be supported by a TGA evaluator. </w:t>
            </w:r>
          </w:p>
          <w:p w14:paraId="7546AA04" w14:textId="1040E574" w:rsidR="003005AC"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Resources used to seek further information and constant liaising with applicants.</w:t>
            </w:r>
          </w:p>
        </w:tc>
        <w:tc>
          <w:tcPr>
            <w:tcW w:w="828" w:type="dxa"/>
          </w:tcPr>
          <w:p w14:paraId="32F558A9" w14:textId="16CC2EFE" w:rsidR="00C5231F" w:rsidDel="00A46A31" w:rsidRDefault="00C5231F" w:rsidP="006C4EF3">
            <w:pPr>
              <w:cnfStyle w:val="000000000000" w:firstRow="0" w:lastRow="0" w:firstColumn="0" w:lastColumn="0" w:oddVBand="0" w:evenVBand="0" w:oddHBand="0" w:evenHBand="0" w:firstRowFirstColumn="0" w:firstRowLastColumn="0" w:lastRowFirstColumn="0" w:lastRowLastColumn="0"/>
              <w:rPr>
                <w:bCs/>
              </w:rPr>
            </w:pPr>
            <w:r>
              <w:t xml:space="preserve">-2 </w:t>
            </w:r>
          </w:p>
        </w:tc>
      </w:tr>
      <w:tr w:rsidR="003F141E" w14:paraId="3255E75A"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val="restart"/>
          </w:tcPr>
          <w:p w14:paraId="7511D282" w14:textId="60B40688" w:rsidR="003F141E" w:rsidRPr="003523EA" w:rsidRDefault="003F141E" w:rsidP="009A147E">
            <w:pPr>
              <w:rPr>
                <w:b/>
                <w:bCs/>
              </w:rPr>
            </w:pPr>
            <w:r w:rsidRPr="003523EA">
              <w:rPr>
                <w:b/>
                <w:bCs/>
              </w:rPr>
              <w:t>Domestic exporters</w:t>
            </w:r>
          </w:p>
        </w:tc>
        <w:tc>
          <w:tcPr>
            <w:tcW w:w="6031" w:type="dxa"/>
          </w:tcPr>
          <w:p w14:paraId="47C5AEA7" w14:textId="76BB6015" w:rsidR="003F141E" w:rsidRPr="00803BFE" w:rsidRDefault="003F141E"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color w:val="auto"/>
              </w:rPr>
              <w:t>All therapeutic sunscreens must be included in the ARTG to be exported from Australia. In addition</w:t>
            </w:r>
            <w:r w:rsidR="00F64E2D" w:rsidRPr="00803BFE">
              <w:rPr>
                <w:color w:val="auto"/>
              </w:rPr>
              <w:t>,</w:t>
            </w:r>
            <w:r w:rsidRPr="00803BFE">
              <w:rPr>
                <w:color w:val="auto"/>
              </w:rPr>
              <w:t xml:space="preserve"> they must meet the regulatory requirements of the country they are importing to</w:t>
            </w:r>
            <w:r w:rsidR="00C5231F" w:rsidRPr="00803BFE">
              <w:rPr>
                <w:color w:val="auto"/>
              </w:rPr>
              <w:t>.</w:t>
            </w:r>
            <w:r w:rsidR="007E06F2">
              <w:rPr>
                <w:color w:val="auto"/>
              </w:rPr>
              <w:t xml:space="preserve"> The exposure models do not affect products</w:t>
            </w:r>
            <w:r w:rsidR="00640406">
              <w:rPr>
                <w:color w:val="auto"/>
              </w:rPr>
              <w:t xml:space="preserve"> in and of themselves</w:t>
            </w:r>
            <w:r w:rsidR="007E06F2">
              <w:rPr>
                <w:color w:val="auto"/>
              </w:rPr>
              <w:t xml:space="preserve"> but affect the approval of the ingredients</w:t>
            </w:r>
            <w:r w:rsidR="00F61869">
              <w:rPr>
                <w:color w:val="auto"/>
              </w:rPr>
              <w:t xml:space="preserve"> and their restrictions,</w:t>
            </w:r>
            <w:r w:rsidR="007E06F2">
              <w:rPr>
                <w:color w:val="auto"/>
              </w:rPr>
              <w:t xml:space="preserve"> </w:t>
            </w:r>
            <w:r w:rsidR="00F61869">
              <w:rPr>
                <w:color w:val="auto"/>
              </w:rPr>
              <w:t xml:space="preserve">that would be included in products that could </w:t>
            </w:r>
            <w:r w:rsidR="00F64D56">
              <w:rPr>
                <w:color w:val="auto"/>
              </w:rPr>
              <w:t>potentially be</w:t>
            </w:r>
            <w:r w:rsidR="00F61869">
              <w:rPr>
                <w:color w:val="auto"/>
              </w:rPr>
              <w:t xml:space="preserve"> exported</w:t>
            </w:r>
            <w:r w:rsidR="004B30EA">
              <w:rPr>
                <w:color w:val="auto"/>
              </w:rPr>
              <w:t xml:space="preserve"> from Australia</w:t>
            </w:r>
            <w:r w:rsidR="005C6DA6">
              <w:rPr>
                <w:color w:val="auto"/>
              </w:rPr>
              <w:t xml:space="preserve"> in the future</w:t>
            </w:r>
            <w:r w:rsidR="00F61869">
              <w:rPr>
                <w:color w:val="auto"/>
              </w:rPr>
              <w:t>.</w:t>
            </w:r>
            <w:r w:rsidR="007E06F2">
              <w:rPr>
                <w:color w:val="auto"/>
              </w:rPr>
              <w:t xml:space="preserve"> </w:t>
            </w:r>
          </w:p>
        </w:tc>
        <w:tc>
          <w:tcPr>
            <w:tcW w:w="828" w:type="dxa"/>
          </w:tcPr>
          <w:p w14:paraId="05CA0607" w14:textId="77777777" w:rsidR="003F141E" w:rsidRPr="009A147E" w:rsidRDefault="003F141E" w:rsidP="006C4EF3">
            <w:pPr>
              <w:cnfStyle w:val="000000000000" w:firstRow="0" w:lastRow="0" w:firstColumn="0" w:lastColumn="0" w:oddVBand="0" w:evenVBand="0" w:oddHBand="0" w:evenHBand="0" w:firstRowFirstColumn="0" w:firstRowLastColumn="0" w:lastRowFirstColumn="0" w:lastRowLastColumn="0"/>
            </w:pPr>
          </w:p>
        </w:tc>
      </w:tr>
      <w:tr w:rsidR="003F141E" w14:paraId="0FAB163A"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4F9C2F13" w14:textId="57116E7A" w:rsidR="003F141E" w:rsidRDefault="003F141E" w:rsidP="009A147E">
            <w:bookmarkStart w:id="115" w:name="_Hlk181196812"/>
          </w:p>
        </w:tc>
        <w:tc>
          <w:tcPr>
            <w:tcW w:w="6031" w:type="dxa"/>
          </w:tcPr>
          <w:p w14:paraId="5075FDCA" w14:textId="65945FBA" w:rsidR="003F141E" w:rsidRPr="00803BFE" w:rsidRDefault="003F141E" w:rsidP="009A147E">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1 (ASEM)</w:t>
            </w:r>
            <w:r w:rsidR="00975645">
              <w:rPr>
                <w:b/>
                <w:bCs/>
                <w:color w:val="auto"/>
              </w:rPr>
              <w:t>:</w:t>
            </w:r>
          </w:p>
          <w:p w14:paraId="599602FA" w14:textId="7354EA4D" w:rsidR="003F141E" w:rsidRPr="00803BFE" w:rsidRDefault="00606BA0" w:rsidP="006D28D0">
            <w:pPr>
              <w:pStyle w:val="ListBullet"/>
              <w:cnfStyle w:val="000000000000" w:firstRow="0" w:lastRow="0" w:firstColumn="0" w:lastColumn="0" w:oddVBand="0" w:evenVBand="0" w:oddHBand="0" w:evenHBand="0" w:firstRowFirstColumn="0" w:firstRowLastColumn="0" w:lastRowFirstColumn="0" w:lastRowLastColumn="0"/>
            </w:pPr>
            <w:r w:rsidRPr="00803BFE">
              <w:t>May</w:t>
            </w:r>
            <w:r w:rsidR="003F141E" w:rsidRPr="00803BFE">
              <w:t xml:space="preserve"> not align with international jurisdictions, such as the EU that use the SCCS estimation of sunscreen use for risk assessments</w:t>
            </w:r>
            <w:r w:rsidR="007E06F2">
              <w:t xml:space="preserve"> for their ingredients</w:t>
            </w:r>
            <w:r w:rsidR="003F141E" w:rsidRPr="00803BFE">
              <w:t xml:space="preserve">. </w:t>
            </w:r>
            <w:r w:rsidR="007E06F2">
              <w:t>This may mean products may have</w:t>
            </w:r>
            <w:r w:rsidR="004B30EA">
              <w:t xml:space="preserve"> ingredients with</w:t>
            </w:r>
            <w:r w:rsidR="007E06F2">
              <w:t xml:space="preserve"> different concentration limits (lower or higher) or restrictions in Australia vs internationally. </w:t>
            </w:r>
          </w:p>
          <w:p w14:paraId="35C6C392" w14:textId="25B215A5" w:rsidR="000D38B0" w:rsidRPr="00803BFE" w:rsidRDefault="00DB5454" w:rsidP="006D28D0">
            <w:pPr>
              <w:pStyle w:val="ListBullet"/>
              <w:cnfStyle w:val="000000000000" w:firstRow="0" w:lastRow="0" w:firstColumn="0" w:lastColumn="0" w:oddVBand="0" w:evenVBand="0" w:oddHBand="0" w:evenHBand="0" w:firstRowFirstColumn="0" w:firstRowLastColumn="0" w:lastRowFirstColumn="0" w:lastRowLastColumn="0"/>
              <w:rPr>
                <w:b/>
                <w:bCs/>
              </w:rPr>
            </w:pPr>
            <w:r w:rsidRPr="00803BFE">
              <w:t>G</w:t>
            </w:r>
            <w:r w:rsidR="003F141E" w:rsidRPr="00803BFE">
              <w:t>iven the safety assessment</w:t>
            </w:r>
            <w:r w:rsidRPr="00803BFE">
              <w:t xml:space="preserve"> for their ingredients </w:t>
            </w:r>
            <w:r w:rsidR="003F141E" w:rsidRPr="00803BFE">
              <w:t>is based on Australian conditions</w:t>
            </w:r>
            <w:r w:rsidR="007E06F2">
              <w:t xml:space="preserve"> and they are also regulated as therapeutic goods in Australia</w:t>
            </w:r>
            <w:r w:rsidR="003F141E" w:rsidRPr="00803BFE">
              <w:t xml:space="preserve">, </w:t>
            </w:r>
            <w:r w:rsidRPr="00803BFE">
              <w:t>the reputation of Australian</w:t>
            </w:r>
            <w:r w:rsidR="003F141E" w:rsidRPr="00803BFE">
              <w:t xml:space="preserve"> sunscreens </w:t>
            </w:r>
            <w:r w:rsidRPr="00803BFE">
              <w:t xml:space="preserve">may be </w:t>
            </w:r>
            <w:r w:rsidR="00606BA0" w:rsidRPr="00803BFE">
              <w:t>enhanced,</w:t>
            </w:r>
            <w:r w:rsidRPr="00803BFE">
              <w:t xml:space="preserve"> and increase</w:t>
            </w:r>
            <w:r w:rsidR="007E06F2">
              <w:t xml:space="preserve"> demand</w:t>
            </w:r>
            <w:r w:rsidRPr="00803BFE">
              <w:t xml:space="preserve"> </w:t>
            </w:r>
            <w:r w:rsidR="003F141E" w:rsidRPr="00803BFE">
              <w:t>in other countries with similar environmental conditions</w:t>
            </w:r>
            <w:r w:rsidR="00F61869">
              <w:t xml:space="preserve"> or consumers seeking higher standards</w:t>
            </w:r>
            <w:r w:rsidR="003F141E" w:rsidRPr="00803BFE">
              <w:t>.</w:t>
            </w:r>
          </w:p>
        </w:tc>
        <w:tc>
          <w:tcPr>
            <w:tcW w:w="828" w:type="dxa"/>
          </w:tcPr>
          <w:p w14:paraId="25497F73" w14:textId="281F6D61" w:rsidR="003F141E" w:rsidRPr="009A147E" w:rsidRDefault="00DB5454" w:rsidP="006C4EF3">
            <w:pPr>
              <w:cnfStyle w:val="000000000000" w:firstRow="0" w:lastRow="0" w:firstColumn="0" w:lastColumn="0" w:oddVBand="0" w:evenVBand="0" w:oddHBand="0" w:evenHBand="0" w:firstRowFirstColumn="0" w:firstRowLastColumn="0" w:lastRowFirstColumn="0" w:lastRowLastColumn="0"/>
            </w:pPr>
            <w:r>
              <w:t>+1</w:t>
            </w:r>
          </w:p>
        </w:tc>
      </w:tr>
      <w:tr w:rsidR="003F141E" w14:paraId="42787D0A"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3932075E" w14:textId="77777777" w:rsidR="003F141E" w:rsidRDefault="003F141E" w:rsidP="009A147E"/>
        </w:tc>
        <w:tc>
          <w:tcPr>
            <w:tcW w:w="6031" w:type="dxa"/>
          </w:tcPr>
          <w:p w14:paraId="08F92249" w14:textId="77777777" w:rsidR="003F141E" w:rsidRPr="00803BFE" w:rsidRDefault="003F141E"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2 (SCCC):</w:t>
            </w:r>
          </w:p>
          <w:p w14:paraId="4F51846E" w14:textId="0E1649CB" w:rsidR="003F141E" w:rsidRPr="00803BFE" w:rsidRDefault="00DB5454" w:rsidP="006D28D0">
            <w:pPr>
              <w:pStyle w:val="ListBullet"/>
              <w:cnfStyle w:val="000000000000" w:firstRow="0" w:lastRow="0" w:firstColumn="0" w:lastColumn="0" w:oddVBand="0" w:evenVBand="0" w:oddHBand="0" w:evenHBand="0" w:firstRowFirstColumn="0" w:firstRowLastColumn="0" w:lastRowFirstColumn="0" w:lastRowLastColumn="0"/>
            </w:pPr>
            <w:r w:rsidRPr="00803BFE">
              <w:t>Aligns with international jurisdictions such as European nations</w:t>
            </w:r>
            <w:r w:rsidR="00C5231F" w:rsidRPr="00803BFE">
              <w:t>.</w:t>
            </w:r>
            <w:r w:rsidR="00F61869">
              <w:t xml:space="preserve"> However, alignment of the exposure calculations does not guarantee that the ingredient requirements would be the same in Australia under the legislative framework</w:t>
            </w:r>
            <w:r w:rsidR="00F64D56">
              <w:t xml:space="preserve">, or </w:t>
            </w:r>
            <w:r w:rsidR="00B01A17">
              <w:t>Australia’s</w:t>
            </w:r>
            <w:r w:rsidR="00F64D56">
              <w:t xml:space="preserve"> assessment using the SCCS model noting it can result in significant differences in the MoS using the same data</w:t>
            </w:r>
            <w:r w:rsidR="00F61869">
              <w:t xml:space="preserve">. </w:t>
            </w:r>
            <w:r w:rsidR="00640406">
              <w:t xml:space="preserve">However, knowing that the ingredients were assessed using a European model may support their suitability for an export market where ingredients are approved based on SCCS evaluations. </w:t>
            </w:r>
          </w:p>
        </w:tc>
        <w:tc>
          <w:tcPr>
            <w:tcW w:w="828" w:type="dxa"/>
          </w:tcPr>
          <w:p w14:paraId="0552544B" w14:textId="3EB10470" w:rsidR="003F141E" w:rsidRPr="009A147E" w:rsidRDefault="00DB5454" w:rsidP="006C4EF3">
            <w:pPr>
              <w:cnfStyle w:val="000000000000" w:firstRow="0" w:lastRow="0" w:firstColumn="0" w:lastColumn="0" w:oddVBand="0" w:evenVBand="0" w:oddHBand="0" w:evenHBand="0" w:firstRowFirstColumn="0" w:firstRowLastColumn="0" w:lastRowFirstColumn="0" w:lastRowLastColumn="0"/>
            </w:pPr>
            <w:r>
              <w:t>+1</w:t>
            </w:r>
          </w:p>
        </w:tc>
      </w:tr>
      <w:tr w:rsidR="003F141E" w14:paraId="6C7DDB4D"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3779BBEA" w14:textId="77777777" w:rsidR="003F141E" w:rsidRDefault="003F141E" w:rsidP="009A147E"/>
        </w:tc>
        <w:tc>
          <w:tcPr>
            <w:tcW w:w="6031" w:type="dxa"/>
          </w:tcPr>
          <w:p w14:paraId="2D598C37" w14:textId="77777777" w:rsidR="003F141E" w:rsidRPr="00803BFE" w:rsidRDefault="003F141E"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3 (Status quo):</w:t>
            </w:r>
          </w:p>
          <w:p w14:paraId="542ABFC5" w14:textId="09D87EE2" w:rsidR="003F141E" w:rsidRPr="00803BFE" w:rsidRDefault="00640406" w:rsidP="006D28D0">
            <w:pPr>
              <w:pStyle w:val="ListBullet"/>
              <w:cnfStyle w:val="000000000000" w:firstRow="0" w:lastRow="0" w:firstColumn="0" w:lastColumn="0" w:oddVBand="0" w:evenVBand="0" w:oddHBand="0" w:evenHBand="0" w:firstRowFirstColumn="0" w:firstRowLastColumn="0" w:lastRowFirstColumn="0" w:lastRowLastColumn="0"/>
              <w:rPr>
                <w:b/>
                <w:bCs/>
              </w:rPr>
            </w:pPr>
            <w:r>
              <w:t>No impact</w:t>
            </w:r>
            <w:r w:rsidR="00C5231F" w:rsidRPr="00803BFE">
              <w:t>.</w:t>
            </w:r>
          </w:p>
        </w:tc>
        <w:tc>
          <w:tcPr>
            <w:tcW w:w="828" w:type="dxa"/>
          </w:tcPr>
          <w:p w14:paraId="070BD883" w14:textId="32C6667D" w:rsidR="003F141E" w:rsidRPr="009A147E" w:rsidRDefault="00640406" w:rsidP="006C4EF3">
            <w:pPr>
              <w:cnfStyle w:val="000000000000" w:firstRow="0" w:lastRow="0" w:firstColumn="0" w:lastColumn="0" w:oddVBand="0" w:evenVBand="0" w:oddHBand="0" w:evenHBand="0" w:firstRowFirstColumn="0" w:firstRowLastColumn="0" w:lastRowFirstColumn="0" w:lastRowLastColumn="0"/>
            </w:pPr>
            <w:r>
              <w:t>0</w:t>
            </w:r>
          </w:p>
        </w:tc>
      </w:tr>
      <w:bookmarkEnd w:id="115"/>
      <w:tr w:rsidR="00DB5454" w14:paraId="1F42F353"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val="restart"/>
          </w:tcPr>
          <w:p w14:paraId="3180726F" w14:textId="77777777" w:rsidR="00DB5454" w:rsidRDefault="00DB5454" w:rsidP="003523EA">
            <w:pPr>
              <w:ind w:left="0"/>
            </w:pPr>
            <w:r w:rsidRPr="003523EA">
              <w:rPr>
                <w:b/>
                <w:bCs/>
              </w:rPr>
              <w:t>Importers</w:t>
            </w:r>
          </w:p>
        </w:tc>
        <w:tc>
          <w:tcPr>
            <w:tcW w:w="6031" w:type="dxa"/>
          </w:tcPr>
          <w:p w14:paraId="27B2CB1E" w14:textId="0D620071" w:rsidR="00DB5454" w:rsidRPr="00803BFE" w:rsidRDefault="00DB5454"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color w:val="auto"/>
              </w:rPr>
              <w:t>All therapeutic sunscreens must be included in the ARTG</w:t>
            </w:r>
            <w:r w:rsidR="002F0FA8">
              <w:rPr>
                <w:color w:val="auto"/>
              </w:rPr>
              <w:t xml:space="preserve"> by a sponsor (impacts for sponsors discussed above)</w:t>
            </w:r>
            <w:r w:rsidRPr="00803BFE">
              <w:rPr>
                <w:color w:val="auto"/>
              </w:rPr>
              <w:t xml:space="preserve"> to be imported </w:t>
            </w:r>
            <w:r w:rsidR="002F0FA8">
              <w:rPr>
                <w:color w:val="auto"/>
              </w:rPr>
              <w:t>to</w:t>
            </w:r>
            <w:r w:rsidRPr="00803BFE">
              <w:rPr>
                <w:color w:val="auto"/>
              </w:rPr>
              <w:t xml:space="preserve"> Australia and must meet Australian regulatory requirements</w:t>
            </w:r>
            <w:r w:rsidR="00C5231F" w:rsidRPr="00803BFE">
              <w:rPr>
                <w:color w:val="auto"/>
              </w:rPr>
              <w:t>.</w:t>
            </w:r>
            <w:r w:rsidR="00640406">
              <w:rPr>
                <w:color w:val="auto"/>
              </w:rPr>
              <w:t xml:space="preserve"> The exposure models do not affect </w:t>
            </w:r>
            <w:r w:rsidR="00053C50">
              <w:rPr>
                <w:color w:val="auto"/>
              </w:rPr>
              <w:t xml:space="preserve">existing </w:t>
            </w:r>
            <w:r w:rsidR="00640406">
              <w:rPr>
                <w:color w:val="auto"/>
              </w:rPr>
              <w:t>products in and of themselves</w:t>
            </w:r>
            <w:r w:rsidR="00053C50">
              <w:rPr>
                <w:color w:val="auto"/>
              </w:rPr>
              <w:t xml:space="preserve"> or their ability to be imported</w:t>
            </w:r>
            <w:r w:rsidR="00640406">
              <w:rPr>
                <w:color w:val="auto"/>
              </w:rPr>
              <w:t xml:space="preserve"> but affect the approval of new ingredients that are not yet approved in Australia and their restrictions</w:t>
            </w:r>
            <w:r w:rsidR="00053C50">
              <w:rPr>
                <w:color w:val="auto"/>
              </w:rPr>
              <w:t xml:space="preserve"> that could be included in </w:t>
            </w:r>
            <w:r w:rsidR="00F64D56">
              <w:rPr>
                <w:color w:val="auto"/>
              </w:rPr>
              <w:t xml:space="preserve">future </w:t>
            </w:r>
            <w:r w:rsidR="00053C50">
              <w:rPr>
                <w:color w:val="auto"/>
              </w:rPr>
              <w:t>products supplied in Australia</w:t>
            </w:r>
            <w:r w:rsidR="00640406">
              <w:rPr>
                <w:color w:val="auto"/>
              </w:rPr>
              <w:t>.</w:t>
            </w:r>
          </w:p>
        </w:tc>
        <w:tc>
          <w:tcPr>
            <w:tcW w:w="828" w:type="dxa"/>
          </w:tcPr>
          <w:p w14:paraId="1126F99F" w14:textId="77777777" w:rsidR="00DB5454" w:rsidRPr="009A147E" w:rsidRDefault="00DB5454" w:rsidP="006C4EF3">
            <w:pPr>
              <w:cnfStyle w:val="000000000000" w:firstRow="0" w:lastRow="0" w:firstColumn="0" w:lastColumn="0" w:oddVBand="0" w:evenVBand="0" w:oddHBand="0" w:evenHBand="0" w:firstRowFirstColumn="0" w:firstRowLastColumn="0" w:lastRowFirstColumn="0" w:lastRowLastColumn="0"/>
            </w:pPr>
          </w:p>
        </w:tc>
      </w:tr>
      <w:tr w:rsidR="00DB5454" w14:paraId="2A72BD4B"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05AAE8F5" w14:textId="77777777" w:rsidR="00DB5454" w:rsidRPr="00903221" w:rsidRDefault="00DB5454" w:rsidP="00DB5454">
            <w:pPr>
              <w:rPr>
                <w:b/>
                <w:bCs/>
              </w:rPr>
            </w:pPr>
          </w:p>
        </w:tc>
        <w:tc>
          <w:tcPr>
            <w:tcW w:w="6031" w:type="dxa"/>
          </w:tcPr>
          <w:p w14:paraId="068B058B" w14:textId="06DB14AB" w:rsidR="00DB5454" w:rsidRPr="00803BFE" w:rsidRDefault="00DB5454" w:rsidP="00DB5454">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1 (ASEM)</w:t>
            </w:r>
            <w:r w:rsidR="00975645">
              <w:rPr>
                <w:b/>
                <w:bCs/>
                <w:color w:val="auto"/>
              </w:rPr>
              <w:t>:</w:t>
            </w:r>
          </w:p>
          <w:p w14:paraId="08B7B089" w14:textId="52B59EAF" w:rsidR="000D38B0" w:rsidRPr="00803BFE" w:rsidRDefault="00640406" w:rsidP="006D28D0">
            <w:pPr>
              <w:pStyle w:val="ListBullet"/>
              <w:cnfStyle w:val="000000000000" w:firstRow="0" w:lastRow="0" w:firstColumn="0" w:lastColumn="0" w:oddVBand="0" w:evenVBand="0" w:oddHBand="0" w:evenHBand="0" w:firstRowFirstColumn="0" w:firstRowLastColumn="0" w:lastRowFirstColumn="0" w:lastRowLastColumn="0"/>
            </w:pPr>
            <w:r w:rsidRPr="00803BFE">
              <w:t>May not align with international jurisdictions that use the SCCS estimation of sunscreen use for risk assessments. This could lead to discrepancies where</w:t>
            </w:r>
            <w:r w:rsidRPr="00803BFE">
              <w:rPr>
                <w:spacing w:val="-4"/>
              </w:rPr>
              <w:t xml:space="preserve"> </w:t>
            </w:r>
            <w:r w:rsidRPr="00803BFE">
              <w:t>certain</w:t>
            </w:r>
            <w:r w:rsidRPr="00803BFE">
              <w:rPr>
                <w:spacing w:val="-4"/>
              </w:rPr>
              <w:t xml:space="preserve"> </w:t>
            </w:r>
            <w:r w:rsidRPr="00803BFE">
              <w:t>sunscreen</w:t>
            </w:r>
            <w:r w:rsidRPr="00803BFE">
              <w:rPr>
                <w:spacing w:val="-2"/>
              </w:rPr>
              <w:t xml:space="preserve"> </w:t>
            </w:r>
            <w:r w:rsidRPr="00803BFE">
              <w:t>ingredients</w:t>
            </w:r>
            <w:r w:rsidRPr="00803BFE">
              <w:rPr>
                <w:spacing w:val="-3"/>
              </w:rPr>
              <w:t xml:space="preserve"> </w:t>
            </w:r>
            <w:r w:rsidRPr="00803BFE">
              <w:t>are</w:t>
            </w:r>
            <w:r w:rsidRPr="00803BFE">
              <w:rPr>
                <w:spacing w:val="-2"/>
              </w:rPr>
              <w:t xml:space="preserve"> </w:t>
            </w:r>
            <w:r w:rsidRPr="00803BFE">
              <w:t>permitted</w:t>
            </w:r>
            <w:r w:rsidRPr="00803BFE">
              <w:rPr>
                <w:spacing w:val="-2"/>
              </w:rPr>
              <w:t xml:space="preserve"> </w:t>
            </w:r>
            <w:r w:rsidRPr="00803BFE">
              <w:t>overseas</w:t>
            </w:r>
            <w:r w:rsidRPr="00803BFE">
              <w:rPr>
                <w:spacing w:val="-3"/>
              </w:rPr>
              <w:t xml:space="preserve"> </w:t>
            </w:r>
            <w:r w:rsidRPr="00803BFE">
              <w:t>but</w:t>
            </w:r>
            <w:r w:rsidRPr="00803BFE">
              <w:rPr>
                <w:spacing w:val="-4"/>
              </w:rPr>
              <w:t xml:space="preserve"> </w:t>
            </w:r>
            <w:r w:rsidRPr="00803BFE">
              <w:t>restricted</w:t>
            </w:r>
            <w:r w:rsidRPr="00803BFE">
              <w:rPr>
                <w:spacing w:val="-4"/>
              </w:rPr>
              <w:t xml:space="preserve"> </w:t>
            </w:r>
            <w:r w:rsidRPr="00803BFE">
              <w:t>or</w:t>
            </w:r>
            <w:r w:rsidRPr="00803BFE">
              <w:rPr>
                <w:spacing w:val="-1"/>
              </w:rPr>
              <w:t xml:space="preserve"> </w:t>
            </w:r>
            <w:r w:rsidRPr="00803BFE">
              <w:t>limited</w:t>
            </w:r>
            <w:r w:rsidRPr="00803BFE">
              <w:rPr>
                <w:spacing w:val="-4"/>
              </w:rPr>
              <w:t xml:space="preserve"> </w:t>
            </w:r>
            <w:r w:rsidRPr="00803BFE">
              <w:t>to</w:t>
            </w:r>
            <w:r w:rsidRPr="00803BFE">
              <w:rPr>
                <w:spacing w:val="-2"/>
              </w:rPr>
              <w:t xml:space="preserve"> </w:t>
            </w:r>
            <w:r w:rsidRPr="00803BFE">
              <w:t>lower maximum concentrations in therapeutic sunscreens in Australia.</w:t>
            </w:r>
            <w:r>
              <w:t xml:space="preserve"> However alternatively, </w:t>
            </w:r>
            <w:r w:rsidR="004B30EA">
              <w:t xml:space="preserve">because SCCS assessments may result in significant differences in the MoS for the same data, </w:t>
            </w:r>
            <w:r>
              <w:t>some ingredients could be permitted in Australia, or have higher maximum concentrations, than overseas.</w:t>
            </w:r>
            <w:r w:rsidR="00053C50">
              <w:t xml:space="preserve"> This may mean </w:t>
            </w:r>
            <w:r w:rsidR="00F64D56">
              <w:t xml:space="preserve">the approval of future ingredients for use in Australian products </w:t>
            </w:r>
            <w:r w:rsidR="004B30EA">
              <w:t>result in</w:t>
            </w:r>
            <w:r w:rsidR="00F64D56">
              <w:t xml:space="preserve"> some products </w:t>
            </w:r>
            <w:r w:rsidR="004B30EA">
              <w:t>are permitted to be</w:t>
            </w:r>
            <w:r w:rsidR="00F64D56">
              <w:t xml:space="preserve"> imported whereas others could not</w:t>
            </w:r>
            <w:r w:rsidR="00053C50">
              <w:t xml:space="preserve">. </w:t>
            </w:r>
          </w:p>
        </w:tc>
        <w:tc>
          <w:tcPr>
            <w:tcW w:w="828" w:type="dxa"/>
          </w:tcPr>
          <w:p w14:paraId="09FC2DB9" w14:textId="2EA35666" w:rsidR="00DB5454" w:rsidRPr="00A846CD" w:rsidRDefault="00DB5454" w:rsidP="006C4EF3">
            <w:pPr>
              <w:cnfStyle w:val="000000000000" w:firstRow="0" w:lastRow="0" w:firstColumn="0" w:lastColumn="0" w:oddVBand="0" w:evenVBand="0" w:oddHBand="0" w:evenHBand="0" w:firstRowFirstColumn="0" w:firstRowLastColumn="0" w:lastRowFirstColumn="0" w:lastRowLastColumn="0"/>
            </w:pPr>
            <w:r>
              <w:t>-1</w:t>
            </w:r>
          </w:p>
        </w:tc>
      </w:tr>
      <w:tr w:rsidR="00DB5454" w14:paraId="59E3FD37"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5010B4E7" w14:textId="77777777" w:rsidR="00DB5454" w:rsidRPr="00903221" w:rsidRDefault="00DB5454" w:rsidP="00DB5454">
            <w:pPr>
              <w:rPr>
                <w:b/>
                <w:bCs/>
              </w:rPr>
            </w:pPr>
          </w:p>
        </w:tc>
        <w:tc>
          <w:tcPr>
            <w:tcW w:w="6031" w:type="dxa"/>
          </w:tcPr>
          <w:p w14:paraId="275F7FAE" w14:textId="77777777" w:rsidR="00DB5454" w:rsidRPr="00803BFE" w:rsidRDefault="00DB5454"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2 (SCCC):</w:t>
            </w:r>
          </w:p>
          <w:p w14:paraId="2BF8E606" w14:textId="215E407A" w:rsidR="00DB5454" w:rsidRPr="00803BFE" w:rsidRDefault="00053C50" w:rsidP="006D28D0">
            <w:pPr>
              <w:pStyle w:val="ListBullet"/>
              <w:cnfStyle w:val="000000000000" w:firstRow="0" w:lastRow="0" w:firstColumn="0" w:lastColumn="0" w:oddVBand="0" w:evenVBand="0" w:oddHBand="0" w:evenHBand="0" w:firstRowFirstColumn="0" w:firstRowLastColumn="0" w:lastRowFirstColumn="0" w:lastRowLastColumn="0"/>
              <w:rPr>
                <w:b/>
                <w:bCs/>
              </w:rPr>
            </w:pPr>
            <w:r w:rsidRPr="00803BFE">
              <w:t xml:space="preserve">Aligns with </w:t>
            </w:r>
            <w:r w:rsidR="00F64D56">
              <w:t xml:space="preserve">assessment of ingredients in </w:t>
            </w:r>
            <w:r w:rsidRPr="00803BFE">
              <w:t>international jurisdictions such as European nations.</w:t>
            </w:r>
            <w:r>
              <w:t xml:space="preserve"> However, alignment of the exposure calculations does not guarantee that the ingredient requirements would be the same in Australia under the legislative framework</w:t>
            </w:r>
            <w:r w:rsidR="00F64D56">
              <w:t xml:space="preserve"> where they are regulated as therapeutic goods, not cosmetics</w:t>
            </w:r>
            <w:r>
              <w:t>.</w:t>
            </w:r>
            <w:r w:rsidR="00F64D56">
              <w:t xml:space="preserve"> Further, the SCCS model can result in significant differences in the MoS calculations</w:t>
            </w:r>
            <w:r w:rsidR="00F0718D">
              <w:t xml:space="preserve"> using the same data</w:t>
            </w:r>
            <w:r w:rsidR="00F64D56">
              <w:t xml:space="preserve">. This means, irrespective of adopting the SCCS model, the approval of future ingredients for use in Australian products </w:t>
            </w:r>
            <w:r>
              <w:t xml:space="preserve">may mean some products could be imported whereas others could not. </w:t>
            </w:r>
          </w:p>
        </w:tc>
        <w:tc>
          <w:tcPr>
            <w:tcW w:w="828" w:type="dxa"/>
          </w:tcPr>
          <w:p w14:paraId="069D416F" w14:textId="47146E80" w:rsidR="00DB5454" w:rsidRPr="00A846CD" w:rsidRDefault="00DB5454" w:rsidP="006C4EF3">
            <w:pPr>
              <w:cnfStyle w:val="000000000000" w:firstRow="0" w:lastRow="0" w:firstColumn="0" w:lastColumn="0" w:oddVBand="0" w:evenVBand="0" w:oddHBand="0" w:evenHBand="0" w:firstRowFirstColumn="0" w:firstRowLastColumn="0" w:lastRowFirstColumn="0" w:lastRowLastColumn="0"/>
            </w:pPr>
            <w:r>
              <w:t>+1</w:t>
            </w:r>
          </w:p>
        </w:tc>
      </w:tr>
      <w:tr w:rsidR="00DB5454" w14:paraId="28C0D70B"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4DAB93C2" w14:textId="77777777" w:rsidR="00DB5454" w:rsidRPr="00903221" w:rsidRDefault="00DB5454" w:rsidP="00DB5454">
            <w:pPr>
              <w:rPr>
                <w:b/>
                <w:bCs/>
              </w:rPr>
            </w:pPr>
          </w:p>
        </w:tc>
        <w:tc>
          <w:tcPr>
            <w:tcW w:w="6031" w:type="dxa"/>
          </w:tcPr>
          <w:p w14:paraId="69A32577" w14:textId="77777777" w:rsidR="00DB5454" w:rsidRPr="00803BFE" w:rsidRDefault="00DB5454"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3 (Status quo):</w:t>
            </w:r>
          </w:p>
          <w:p w14:paraId="4A506200" w14:textId="53AD26BC" w:rsidR="00DB5454" w:rsidRPr="00803BFE" w:rsidRDefault="00F64D56" w:rsidP="006D28D0">
            <w:pPr>
              <w:pStyle w:val="ListBullet"/>
              <w:cnfStyle w:val="000000000000" w:firstRow="0" w:lastRow="0" w:firstColumn="0" w:lastColumn="0" w:oddVBand="0" w:evenVBand="0" w:oddHBand="0" w:evenHBand="0" w:firstRowFirstColumn="0" w:firstRowLastColumn="0" w:lastRowFirstColumn="0" w:lastRowLastColumn="0"/>
              <w:rPr>
                <w:b/>
                <w:bCs/>
              </w:rPr>
            </w:pPr>
            <w:r>
              <w:t xml:space="preserve">No impact. </w:t>
            </w:r>
          </w:p>
        </w:tc>
        <w:tc>
          <w:tcPr>
            <w:tcW w:w="828" w:type="dxa"/>
          </w:tcPr>
          <w:p w14:paraId="08CC82C1" w14:textId="3B43A131" w:rsidR="00DB5454" w:rsidRPr="00A846CD" w:rsidRDefault="00F64D56" w:rsidP="006C4EF3">
            <w:pPr>
              <w:cnfStyle w:val="000000000000" w:firstRow="0" w:lastRow="0" w:firstColumn="0" w:lastColumn="0" w:oddVBand="0" w:evenVBand="0" w:oddHBand="0" w:evenHBand="0" w:firstRowFirstColumn="0" w:firstRowLastColumn="0" w:lastRowFirstColumn="0" w:lastRowLastColumn="0"/>
            </w:pPr>
            <w:r>
              <w:t>0</w:t>
            </w:r>
          </w:p>
        </w:tc>
      </w:tr>
      <w:tr w:rsidR="005D5F65" w14:paraId="66A31172"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val="restart"/>
          </w:tcPr>
          <w:p w14:paraId="6C7EE006" w14:textId="77777777" w:rsidR="005D5F65" w:rsidRPr="00903221" w:rsidRDefault="005D5F65" w:rsidP="00903221">
            <w:pPr>
              <w:ind w:left="0"/>
              <w:rPr>
                <w:b/>
                <w:bCs/>
              </w:rPr>
            </w:pPr>
            <w:r w:rsidRPr="00903221">
              <w:rPr>
                <w:b/>
                <w:bCs/>
              </w:rPr>
              <w:t>Australian consumers</w:t>
            </w:r>
          </w:p>
          <w:p w14:paraId="5A6527A9" w14:textId="77777777" w:rsidR="005D5F65" w:rsidRPr="00EA3D27" w:rsidRDefault="005D5F65" w:rsidP="00903221"/>
        </w:tc>
        <w:tc>
          <w:tcPr>
            <w:tcW w:w="6031" w:type="dxa"/>
          </w:tcPr>
          <w:p w14:paraId="75AF645E" w14:textId="13FB49B4" w:rsidR="005D5F65" w:rsidRPr="00803BFE" w:rsidRDefault="005D5F65" w:rsidP="00903221">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Option 1</w:t>
            </w:r>
            <w:r w:rsidR="00087A5F" w:rsidRPr="00803BFE">
              <w:rPr>
                <w:b/>
                <w:bCs/>
                <w:color w:val="auto"/>
              </w:rPr>
              <w:t xml:space="preserve"> (ASEM)</w:t>
            </w:r>
            <w:r w:rsidR="00975645">
              <w:rPr>
                <w:b/>
                <w:bCs/>
                <w:color w:val="auto"/>
              </w:rPr>
              <w:t>:</w:t>
            </w:r>
          </w:p>
          <w:p w14:paraId="64AA7284" w14:textId="0F99C7D0"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Specifically developed for Australia’s unique environment</w:t>
            </w:r>
            <w:r w:rsidR="00087A5F" w:rsidRPr="00803BFE">
              <w:t>, giving consumers confidence in the safety of sunscreens</w:t>
            </w:r>
            <w:r w:rsidR="00C5231F" w:rsidRPr="00803BFE">
              <w:t>.</w:t>
            </w:r>
          </w:p>
          <w:p w14:paraId="79F82244" w14:textId="253B21DA"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Developed to account for the skin surface area, body weight representative of the Australian population across all age groups</w:t>
            </w:r>
            <w:r w:rsidR="00F0718D">
              <w:t>, ensuring safety in children and adults</w:t>
            </w:r>
            <w:r w:rsidRPr="00803BFE">
              <w:t>.</w:t>
            </w:r>
          </w:p>
          <w:p w14:paraId="593860D1" w14:textId="77777777"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Employed based on realistic highest use Australian scenarios to model the diversity of regular use by adults and children.  </w:t>
            </w:r>
          </w:p>
          <w:p w14:paraId="2D2C72E4" w14:textId="03B79771" w:rsidR="00087A5F" w:rsidRPr="00803BFE" w:rsidRDefault="00087A5F" w:rsidP="006D28D0">
            <w:pPr>
              <w:pStyle w:val="ListBullet"/>
              <w:cnfStyle w:val="000000000000" w:firstRow="0" w:lastRow="0" w:firstColumn="0" w:lastColumn="0" w:oddVBand="0" w:evenVBand="0" w:oddHBand="0" w:evenHBand="0" w:firstRowFirstColumn="0" w:firstRowLastColumn="0" w:lastRowFirstColumn="0" w:lastRowLastColumn="0"/>
            </w:pPr>
            <w:r w:rsidRPr="00803BFE">
              <w:t>The adoption of the model is not proposing changes to existing sunscreens, so no impact on sunscreen cost and availability</w:t>
            </w:r>
            <w:r w:rsidR="00F0718D">
              <w:t>.</w:t>
            </w:r>
          </w:p>
          <w:p w14:paraId="3F47959F" w14:textId="3E5BBAAC" w:rsidR="00EB3829" w:rsidRPr="00803BFE"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Anticipated to have a uniform impact across all groups, without any significant differential effects or redistributive objectives.</w:t>
            </w:r>
          </w:p>
        </w:tc>
        <w:tc>
          <w:tcPr>
            <w:tcW w:w="828" w:type="dxa"/>
          </w:tcPr>
          <w:p w14:paraId="3843C59C" w14:textId="77777777" w:rsidR="005D5F65" w:rsidRPr="00B478EB" w:rsidRDefault="005D5F65" w:rsidP="006C4EF3">
            <w:pPr>
              <w:cnfStyle w:val="000000000000" w:firstRow="0" w:lastRow="0" w:firstColumn="0" w:lastColumn="0" w:oddVBand="0" w:evenVBand="0" w:oddHBand="0" w:evenHBand="0" w:firstRowFirstColumn="0" w:firstRowLastColumn="0" w:lastRowFirstColumn="0" w:lastRowLastColumn="0"/>
            </w:pPr>
            <w:r w:rsidRPr="00A846CD">
              <w:t>+2</w:t>
            </w:r>
          </w:p>
          <w:p w14:paraId="1B00CB24" w14:textId="77777777" w:rsidR="005D5F65" w:rsidRPr="00A846CD" w:rsidRDefault="005D5F65" w:rsidP="006C4EF3">
            <w:pPr>
              <w:cnfStyle w:val="000000000000" w:firstRow="0" w:lastRow="0" w:firstColumn="0" w:lastColumn="0" w:oddVBand="0" w:evenVBand="0" w:oddHBand="0" w:evenHBand="0" w:firstRowFirstColumn="0" w:firstRowLastColumn="0" w:lastRowFirstColumn="0" w:lastRowLastColumn="0"/>
            </w:pPr>
          </w:p>
        </w:tc>
      </w:tr>
      <w:tr w:rsidR="005D5F65" w14:paraId="5E3D3E82"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5E10FC46" w14:textId="77777777" w:rsidR="005D5F65" w:rsidRPr="00903221" w:rsidDel="00DC5D01" w:rsidRDefault="005D5F65" w:rsidP="00903221"/>
        </w:tc>
        <w:tc>
          <w:tcPr>
            <w:tcW w:w="6031" w:type="dxa"/>
          </w:tcPr>
          <w:p w14:paraId="4CAAFC25" w14:textId="7F0EFD80" w:rsidR="005D5F65" w:rsidRPr="007D0205" w:rsidRDefault="005D5F65" w:rsidP="00903221">
            <w:pPr>
              <w:ind w:left="0"/>
              <w:cnfStyle w:val="000000000000" w:firstRow="0" w:lastRow="0" w:firstColumn="0" w:lastColumn="0" w:oddVBand="0" w:evenVBand="0" w:oddHBand="0" w:evenHBand="0" w:firstRowFirstColumn="0" w:firstRowLastColumn="0" w:lastRowFirstColumn="0" w:lastRowLastColumn="0"/>
              <w:rPr>
                <w:b/>
                <w:bCs/>
              </w:rPr>
            </w:pPr>
            <w:r w:rsidRPr="007D0205">
              <w:rPr>
                <w:b/>
                <w:bCs/>
              </w:rPr>
              <w:t>Option 2</w:t>
            </w:r>
            <w:r w:rsidR="00087A5F">
              <w:rPr>
                <w:b/>
                <w:bCs/>
              </w:rPr>
              <w:t xml:space="preserve"> (SCC)</w:t>
            </w:r>
            <w:r w:rsidR="00975645">
              <w:rPr>
                <w:b/>
                <w:bCs/>
              </w:rPr>
              <w:t>:</w:t>
            </w:r>
          </w:p>
          <w:p w14:paraId="5697F4CD" w14:textId="66A8BE80"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1</w:t>
            </w:r>
            <w:r w:rsidR="00606BA0" w:rsidRPr="00803BFE">
              <w:t>8</w:t>
            </w:r>
            <w:r w:rsidRPr="00803BFE">
              <w:t xml:space="preserve"> g per day exposure value is based on studies conducted outside of Australia, and not accounting to Australia’s unique climate and skin cancer incidence.</w:t>
            </w:r>
          </w:p>
          <w:p w14:paraId="6BCFC912" w14:textId="77777777" w:rsidR="005D5F65" w:rsidRPr="00803BFE" w:rsidRDefault="005D5F65"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Australia has the higher UVR levels and highest incidence of skin cancer worldwide. Continued use of a non-Australian model may undermine confidence in sunscreen regulation. </w:t>
            </w:r>
          </w:p>
          <w:p w14:paraId="60B799C0" w14:textId="03DA7488" w:rsidR="00EB3829" w:rsidRPr="00803BFE"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The adoption of the model is not proposing changes to existing sunscreens, so no impact on sunscreen cost and availability</w:t>
            </w:r>
            <w:r w:rsidR="00C5231F" w:rsidRPr="00803BFE">
              <w:t>.</w:t>
            </w:r>
          </w:p>
          <w:p w14:paraId="1E9742C1" w14:textId="67EA0E2E" w:rsidR="00EB3829" w:rsidRPr="00EA3D27"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Anticipated to have a uniform impact across all groups, without any significant differential effects or redistributive objectives.</w:t>
            </w:r>
          </w:p>
        </w:tc>
        <w:tc>
          <w:tcPr>
            <w:tcW w:w="828" w:type="dxa"/>
          </w:tcPr>
          <w:p w14:paraId="2BE89745" w14:textId="28F52CFA" w:rsidR="005D5F65" w:rsidRPr="00B478EB" w:rsidRDefault="005D5F65" w:rsidP="006C4EF3">
            <w:pPr>
              <w:cnfStyle w:val="000000000000" w:firstRow="0" w:lastRow="0" w:firstColumn="0" w:lastColumn="0" w:oddVBand="0" w:evenVBand="0" w:oddHBand="0" w:evenHBand="0" w:firstRowFirstColumn="0" w:firstRowLastColumn="0" w:lastRowFirstColumn="0" w:lastRowLastColumn="0"/>
            </w:pPr>
            <w:r>
              <w:t>-</w:t>
            </w:r>
            <w:r w:rsidR="00184ACE">
              <w:t>1</w:t>
            </w:r>
          </w:p>
          <w:p w14:paraId="14FFEB8A" w14:textId="77777777" w:rsidR="005D5F65" w:rsidDel="00A46A31" w:rsidRDefault="005D5F65" w:rsidP="006C4EF3">
            <w:pPr>
              <w:cnfStyle w:val="000000000000" w:firstRow="0" w:lastRow="0" w:firstColumn="0" w:lastColumn="0" w:oddVBand="0" w:evenVBand="0" w:oddHBand="0" w:evenHBand="0" w:firstRowFirstColumn="0" w:firstRowLastColumn="0" w:lastRowFirstColumn="0" w:lastRowLastColumn="0"/>
            </w:pPr>
          </w:p>
        </w:tc>
      </w:tr>
      <w:tr w:rsidR="005D5F65" w14:paraId="349DE00E"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2EED7D44" w14:textId="77777777" w:rsidR="005D5F65" w:rsidRPr="00DC5D01" w:rsidRDefault="005D5F65" w:rsidP="00903221"/>
        </w:tc>
        <w:tc>
          <w:tcPr>
            <w:tcW w:w="6031" w:type="dxa"/>
          </w:tcPr>
          <w:p w14:paraId="67EB5F89" w14:textId="7D261B4F" w:rsidR="005D5F65" w:rsidRPr="00DF0E1E" w:rsidRDefault="005D5F65" w:rsidP="00903221">
            <w:pPr>
              <w:ind w:left="0"/>
              <w:cnfStyle w:val="000000000000" w:firstRow="0" w:lastRow="0" w:firstColumn="0" w:lastColumn="0" w:oddVBand="0" w:evenVBand="0" w:oddHBand="0" w:evenHBand="0" w:firstRowFirstColumn="0" w:firstRowLastColumn="0" w:lastRowFirstColumn="0" w:lastRowLastColumn="0"/>
              <w:rPr>
                <w:b/>
                <w:bCs/>
              </w:rPr>
            </w:pPr>
            <w:r w:rsidRPr="00DF0E1E">
              <w:rPr>
                <w:b/>
                <w:bCs/>
              </w:rPr>
              <w:t>Option 3</w:t>
            </w:r>
            <w:r w:rsidR="00087A5F">
              <w:rPr>
                <w:b/>
                <w:bCs/>
              </w:rPr>
              <w:t xml:space="preserve"> (Status quo)</w:t>
            </w:r>
            <w:r w:rsidR="00975645">
              <w:rPr>
                <w:b/>
                <w:bCs/>
              </w:rPr>
              <w:t>:</w:t>
            </w:r>
          </w:p>
          <w:p w14:paraId="573145C8" w14:textId="6AFF3D10" w:rsidR="005D5F65"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Differing approaches m</w:t>
            </w:r>
            <w:r w:rsidR="005D5F65" w:rsidRPr="00803BFE">
              <w:t>ay not reflect the unique Australian context.</w:t>
            </w:r>
          </w:p>
          <w:p w14:paraId="70B9B6DB" w14:textId="36AAC693" w:rsidR="00087A5F" w:rsidRPr="00803BFE" w:rsidRDefault="00087A5F" w:rsidP="006D28D0">
            <w:pPr>
              <w:pStyle w:val="ListBullet"/>
              <w:cnfStyle w:val="000000000000" w:firstRow="0" w:lastRow="0" w:firstColumn="0" w:lastColumn="0" w:oddVBand="0" w:evenVBand="0" w:oddHBand="0" w:evenHBand="0" w:firstRowFirstColumn="0" w:firstRowLastColumn="0" w:lastRowFirstColumn="0" w:lastRowLastColumn="0"/>
            </w:pPr>
            <w:r w:rsidRPr="00803BFE">
              <w:t>Discrepancies in risk assessments may undermine consumer</w:t>
            </w:r>
            <w:r w:rsidR="00975645">
              <w:t xml:space="preserve"> </w:t>
            </w:r>
            <w:r w:rsidRPr="00803BFE">
              <w:t>confidence.</w:t>
            </w:r>
          </w:p>
          <w:p w14:paraId="36884190" w14:textId="77777777" w:rsidR="00087A5F" w:rsidRPr="00803BFE" w:rsidRDefault="00087A5F" w:rsidP="006D28D0">
            <w:pPr>
              <w:pStyle w:val="ListBullet"/>
              <w:cnfStyle w:val="000000000000" w:firstRow="0" w:lastRow="0" w:firstColumn="0" w:lastColumn="0" w:oddVBand="0" w:evenVBand="0" w:oddHBand="0" w:evenHBand="0" w:firstRowFirstColumn="0" w:firstRowLastColumn="0" w:lastRowFirstColumn="0" w:lastRowLastColumn="0"/>
            </w:pPr>
            <w:r w:rsidRPr="00803BFE">
              <w:t>Option 3 is not proposing changes to existing sunscreens, so no impact on sunscreen cost and availability.</w:t>
            </w:r>
          </w:p>
          <w:p w14:paraId="4BBCEFB3" w14:textId="7058A4C5" w:rsidR="00087A5F" w:rsidRPr="00DC5D01"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Anticipated to have a uniform impact across all groups, without any significant differential effects or redistributive objectives.</w:t>
            </w:r>
          </w:p>
        </w:tc>
        <w:tc>
          <w:tcPr>
            <w:tcW w:w="828" w:type="dxa"/>
          </w:tcPr>
          <w:p w14:paraId="2A447335" w14:textId="77777777" w:rsidR="005D5F65" w:rsidRPr="00DF0E1E" w:rsidRDefault="005D5F65" w:rsidP="006C4EF3">
            <w:pPr>
              <w:cnfStyle w:val="000000000000" w:firstRow="0" w:lastRow="0" w:firstColumn="0" w:lastColumn="0" w:oddVBand="0" w:evenVBand="0" w:oddHBand="0" w:evenHBand="0" w:firstRowFirstColumn="0" w:firstRowLastColumn="0" w:lastRowFirstColumn="0" w:lastRowLastColumn="0"/>
            </w:pPr>
            <w:r w:rsidRPr="00B478EB">
              <w:t>-1</w:t>
            </w:r>
          </w:p>
        </w:tc>
      </w:tr>
      <w:tr w:rsidR="00EA3D27" w14:paraId="7E27F13C"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val="restart"/>
          </w:tcPr>
          <w:p w14:paraId="3ECA8FE2" w14:textId="29AAD3DA" w:rsidR="00DC5D01" w:rsidRPr="00EA3D27" w:rsidRDefault="00087A5F" w:rsidP="003523EA">
            <w:pPr>
              <w:ind w:left="0"/>
              <w:rPr>
                <w:b/>
                <w:bCs/>
              </w:rPr>
            </w:pPr>
            <w:r w:rsidRPr="003523EA">
              <w:rPr>
                <w:b/>
                <w:bCs/>
              </w:rPr>
              <w:t>Government</w:t>
            </w:r>
          </w:p>
        </w:tc>
        <w:tc>
          <w:tcPr>
            <w:tcW w:w="6031" w:type="dxa"/>
          </w:tcPr>
          <w:p w14:paraId="4E3AF130" w14:textId="77777777" w:rsidR="00DC5D01" w:rsidRPr="003523EA" w:rsidRDefault="00184ACE" w:rsidP="003523EA">
            <w:pPr>
              <w:ind w:left="0"/>
              <w:cnfStyle w:val="000000000000" w:firstRow="0" w:lastRow="0" w:firstColumn="0" w:lastColumn="0" w:oddVBand="0" w:evenVBand="0" w:oddHBand="0" w:evenHBand="0" w:firstRowFirstColumn="0" w:firstRowLastColumn="0" w:lastRowFirstColumn="0" w:lastRowLastColumn="0"/>
              <w:rPr>
                <w:b/>
                <w:bCs/>
              </w:rPr>
            </w:pPr>
            <w:r w:rsidRPr="003523EA">
              <w:rPr>
                <w:b/>
                <w:bCs/>
              </w:rPr>
              <w:t>Option 1 (ASEM):</w:t>
            </w:r>
          </w:p>
          <w:p w14:paraId="2EA8FEA2" w14:textId="78A611D3" w:rsidR="00184ACE" w:rsidRPr="00803BFE" w:rsidRDefault="00184ACE" w:rsidP="006D28D0">
            <w:pPr>
              <w:pStyle w:val="ListBullet"/>
              <w:cnfStyle w:val="000000000000" w:firstRow="0" w:lastRow="0" w:firstColumn="0" w:lastColumn="0" w:oddVBand="0" w:evenVBand="0" w:oddHBand="0" w:evenHBand="0" w:firstRowFirstColumn="0" w:firstRowLastColumn="0" w:lastRowFirstColumn="0" w:lastRowLastColumn="0"/>
            </w:pPr>
            <w:r w:rsidRPr="00803BFE">
              <w:t>Increased consumer confidence in the regulation of sunscreens in Australia</w:t>
            </w:r>
            <w:r w:rsidR="00C5231F" w:rsidRPr="00803BFE">
              <w:t>.</w:t>
            </w:r>
          </w:p>
          <w:p w14:paraId="48DEAD34" w14:textId="77777777" w:rsidR="00184ACE" w:rsidRDefault="00184ACE" w:rsidP="006D28D0">
            <w:pPr>
              <w:pStyle w:val="ListBullet"/>
              <w:cnfStyle w:val="000000000000" w:firstRow="0" w:lastRow="0" w:firstColumn="0" w:lastColumn="0" w:oddVBand="0" w:evenVBand="0" w:oddHBand="0" w:evenHBand="0" w:firstRowFirstColumn="0" w:firstRowLastColumn="0" w:lastRowFirstColumn="0" w:lastRowLastColumn="0"/>
            </w:pPr>
            <w:r w:rsidRPr="00803BFE">
              <w:t>Increased use of sunscreens will lead to better health outcomes</w:t>
            </w:r>
            <w:r w:rsidR="00C5231F" w:rsidRPr="00803BFE">
              <w:t>.</w:t>
            </w:r>
          </w:p>
          <w:p w14:paraId="6D3FCC0A" w14:textId="008AAAA9" w:rsidR="00F0718D"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Simple calculation </w:t>
            </w:r>
            <w:r>
              <w:t xml:space="preserve">for evaluators </w:t>
            </w:r>
            <w:r w:rsidRPr="00803BFE">
              <w:t>to determine sunscreen exposure which produces consistent outcomes.</w:t>
            </w:r>
          </w:p>
          <w:p w14:paraId="43838608" w14:textId="411C3C79" w:rsidR="00F0718D"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 xml:space="preserve">Reduced discrepancies in risk assessments, due to there being a consistent approach and regulatory certainty as to the TGA’s approach. Supports consistent decision making. </w:t>
            </w:r>
          </w:p>
          <w:p w14:paraId="27B9B80D" w14:textId="77777777" w:rsidR="00F0718D"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rsidRPr="00803BFE">
              <w:t>Less likely to be contested, saving time and resources.</w:t>
            </w:r>
          </w:p>
          <w:p w14:paraId="1AD687B8" w14:textId="77777777" w:rsidR="00F0718D"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rsidRPr="00803BFE">
              <w:t>Reduction in time taken to conduct evaluations due to the provision of consistent data and calculations.</w:t>
            </w:r>
          </w:p>
          <w:p w14:paraId="7BFE9655" w14:textId="375577F2" w:rsidR="00F0718D" w:rsidRPr="00DC5D01"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rsidRPr="00803BFE">
              <w:t>Reduced request for further information and/or liaising with applicants in search of information to assist with individual risk assessments.</w:t>
            </w:r>
          </w:p>
        </w:tc>
        <w:tc>
          <w:tcPr>
            <w:tcW w:w="828" w:type="dxa"/>
          </w:tcPr>
          <w:p w14:paraId="70DA34C9" w14:textId="5491B464" w:rsidR="00DC5D01" w:rsidDel="00A46A31" w:rsidRDefault="00184ACE" w:rsidP="006C4EF3">
            <w:pPr>
              <w:cnfStyle w:val="000000000000" w:firstRow="0" w:lastRow="0" w:firstColumn="0" w:lastColumn="0" w:oddVBand="0" w:evenVBand="0" w:oddHBand="0" w:evenHBand="0" w:firstRowFirstColumn="0" w:firstRowLastColumn="0" w:lastRowFirstColumn="0" w:lastRowLastColumn="0"/>
            </w:pPr>
            <w:r>
              <w:t>+2</w:t>
            </w:r>
          </w:p>
        </w:tc>
      </w:tr>
      <w:tr w:rsidR="00EA3D27" w14:paraId="22BE4F91"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2A424DB6" w14:textId="7434EBA8" w:rsidR="00DC5D01" w:rsidDel="00A46A31" w:rsidRDefault="00DC5D01" w:rsidP="00A46A31"/>
        </w:tc>
        <w:tc>
          <w:tcPr>
            <w:tcW w:w="6031" w:type="dxa"/>
          </w:tcPr>
          <w:p w14:paraId="67BCFD1A" w14:textId="441584F9" w:rsidR="00184ACE" w:rsidRPr="00803BFE" w:rsidRDefault="00184ACE" w:rsidP="003523EA">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 xml:space="preserve">Option </w:t>
            </w:r>
            <w:r w:rsidR="00501958" w:rsidRPr="00803BFE">
              <w:rPr>
                <w:b/>
                <w:bCs/>
                <w:color w:val="auto"/>
              </w:rPr>
              <w:t>2</w:t>
            </w:r>
            <w:r w:rsidRPr="00803BFE">
              <w:rPr>
                <w:b/>
                <w:bCs/>
                <w:color w:val="auto"/>
              </w:rPr>
              <w:t xml:space="preserve"> (SCCC):</w:t>
            </w:r>
          </w:p>
          <w:p w14:paraId="5B3755DE" w14:textId="4C102FE7" w:rsidR="00DC5D01" w:rsidRPr="00803BFE" w:rsidRDefault="00184ACE"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Potentially decreased </w:t>
            </w:r>
            <w:r w:rsidR="00EB3829" w:rsidRPr="00803BFE">
              <w:t xml:space="preserve">consumer </w:t>
            </w:r>
            <w:r w:rsidRPr="00803BFE">
              <w:t>confidence in the regulation of sunscreen in Australia as the unique Australian environment not taken into consideration</w:t>
            </w:r>
            <w:r w:rsidR="00C5231F" w:rsidRPr="00803BFE">
              <w:t>.</w:t>
            </w:r>
          </w:p>
          <w:p w14:paraId="1FB98B77" w14:textId="5F7A391E" w:rsidR="00184ACE"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Potential d</w:t>
            </w:r>
            <w:r w:rsidR="00184ACE" w:rsidRPr="00803BFE">
              <w:t>ecreased use of sunscreens leading to negative health outcomes</w:t>
            </w:r>
            <w:r w:rsidR="00C5231F" w:rsidRPr="00803BFE">
              <w:t>.</w:t>
            </w:r>
          </w:p>
          <w:p w14:paraId="7DD76E32" w14:textId="77777777" w:rsidR="00EB3829" w:rsidRDefault="00EB3829" w:rsidP="006D28D0">
            <w:pPr>
              <w:pStyle w:val="ListBullet"/>
              <w:cnfStyle w:val="000000000000" w:firstRow="0" w:lastRow="0" w:firstColumn="0" w:lastColumn="0" w:oddVBand="0" w:evenVBand="0" w:oddHBand="0" w:evenHBand="0" w:firstRowFirstColumn="0" w:firstRowLastColumn="0" w:lastRowFirstColumn="0" w:lastRowLastColumn="0"/>
            </w:pPr>
            <w:r w:rsidRPr="00803BFE">
              <w:t xml:space="preserve">Aligning with international approaches may enhance international reputation. </w:t>
            </w:r>
          </w:p>
          <w:p w14:paraId="4CAC13F0" w14:textId="2A8002CB" w:rsidR="00446652" w:rsidRPr="0026311D"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 xml:space="preserve">SCCS model leads to significant discrepancies for the MoS calculation using the same data, which reduces consistency of decision making, potential contestation, and requires further justification for which approach is used. </w:t>
            </w:r>
          </w:p>
        </w:tc>
        <w:tc>
          <w:tcPr>
            <w:tcW w:w="828" w:type="dxa"/>
          </w:tcPr>
          <w:p w14:paraId="0085A958" w14:textId="7369FE64" w:rsidR="00DC5D01" w:rsidRPr="0013678A" w:rsidRDefault="00EB3829" w:rsidP="006C4EF3">
            <w:pPr>
              <w:cnfStyle w:val="000000000000" w:firstRow="0" w:lastRow="0" w:firstColumn="0" w:lastColumn="0" w:oddVBand="0" w:evenVBand="0" w:oddHBand="0" w:evenHBand="0" w:firstRowFirstColumn="0" w:firstRowLastColumn="0" w:lastRowFirstColumn="0" w:lastRowLastColumn="0"/>
            </w:pPr>
            <w:r>
              <w:t>0</w:t>
            </w:r>
          </w:p>
        </w:tc>
      </w:tr>
      <w:tr w:rsidR="00EA3D27" w14:paraId="2BFFD884" w14:textId="77777777" w:rsidTr="003005AC">
        <w:tc>
          <w:tcPr>
            <w:cnfStyle w:val="001000000000" w:firstRow="0" w:lastRow="0" w:firstColumn="1" w:lastColumn="0" w:oddVBand="0" w:evenVBand="0" w:oddHBand="0" w:evenHBand="0" w:firstRowFirstColumn="0" w:firstRowLastColumn="0" w:lastRowFirstColumn="0" w:lastRowLastColumn="0"/>
            <w:tcW w:w="2157" w:type="dxa"/>
            <w:vMerge/>
          </w:tcPr>
          <w:p w14:paraId="3DBD81F4" w14:textId="2F1DC564" w:rsidR="00DC5D01" w:rsidRDefault="00DC5D01" w:rsidP="00A46A31"/>
        </w:tc>
        <w:tc>
          <w:tcPr>
            <w:tcW w:w="6031" w:type="dxa"/>
          </w:tcPr>
          <w:p w14:paraId="7C84B1F2" w14:textId="41C9EA48" w:rsidR="00184ACE" w:rsidRPr="00803BFE" w:rsidRDefault="00184ACE" w:rsidP="00975645">
            <w:pPr>
              <w:ind w:left="0"/>
              <w:cnfStyle w:val="000000000000" w:firstRow="0" w:lastRow="0" w:firstColumn="0" w:lastColumn="0" w:oddVBand="0" w:evenVBand="0" w:oddHBand="0" w:evenHBand="0" w:firstRowFirstColumn="0" w:firstRowLastColumn="0" w:lastRowFirstColumn="0" w:lastRowLastColumn="0"/>
              <w:rPr>
                <w:b/>
                <w:bCs/>
                <w:color w:val="auto"/>
              </w:rPr>
            </w:pPr>
            <w:r w:rsidRPr="00803BFE">
              <w:rPr>
                <w:b/>
                <w:bCs/>
                <w:color w:val="auto"/>
              </w:rPr>
              <w:t xml:space="preserve">Option </w:t>
            </w:r>
            <w:r w:rsidR="00501958" w:rsidRPr="00803BFE">
              <w:rPr>
                <w:b/>
                <w:bCs/>
                <w:color w:val="auto"/>
              </w:rPr>
              <w:t>3</w:t>
            </w:r>
            <w:r w:rsidRPr="00803BFE">
              <w:rPr>
                <w:b/>
                <w:bCs/>
                <w:color w:val="auto"/>
              </w:rPr>
              <w:t xml:space="preserve"> (Status quo):</w:t>
            </w:r>
          </w:p>
          <w:p w14:paraId="3B4D43DC" w14:textId="40030DFD" w:rsidR="00184ACE" w:rsidRPr="00803BFE" w:rsidRDefault="00184ACE" w:rsidP="006D28D0">
            <w:pPr>
              <w:pStyle w:val="ListBullet"/>
              <w:cnfStyle w:val="000000000000" w:firstRow="0" w:lastRow="0" w:firstColumn="0" w:lastColumn="0" w:oddVBand="0" w:evenVBand="0" w:oddHBand="0" w:evenHBand="0" w:firstRowFirstColumn="0" w:firstRowLastColumn="0" w:lastRowFirstColumn="0" w:lastRowLastColumn="0"/>
            </w:pPr>
            <w:r w:rsidRPr="00803BFE">
              <w:t>Potentially decreased confidence in the regulation of sunscreen in Australia as the unique Australian environment not taken into consideration</w:t>
            </w:r>
            <w:r w:rsidR="00C5231F" w:rsidRPr="00803BFE">
              <w:t>.</w:t>
            </w:r>
          </w:p>
          <w:p w14:paraId="1257E20C" w14:textId="7B03AB1A" w:rsidR="00DC5D01"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Potential d</w:t>
            </w:r>
            <w:r w:rsidR="00184ACE" w:rsidRPr="00803BFE">
              <w:t>ecreased use of sunscreens leading to negative health outcomes</w:t>
            </w:r>
            <w:r w:rsidR="00C5231F" w:rsidRPr="00803BFE">
              <w:t>.</w:t>
            </w:r>
          </w:p>
          <w:p w14:paraId="39FFB075" w14:textId="45D76B57" w:rsidR="00F0718D" w:rsidRPr="00803BFE" w:rsidRDefault="00F0718D" w:rsidP="006D28D0">
            <w:pPr>
              <w:pStyle w:val="ListBullet"/>
              <w:cnfStyle w:val="000000000000" w:firstRow="0" w:lastRow="0" w:firstColumn="0" w:lastColumn="0" w:oddVBand="0" w:evenVBand="0" w:oddHBand="0" w:evenHBand="0" w:firstRowFirstColumn="0" w:firstRowLastColumn="0" w:lastRowFirstColumn="0" w:lastRowLastColumn="0"/>
            </w:pPr>
            <w:r>
              <w:t xml:space="preserve">Decisions may be challenged or contested, and require justification for approvals that use other approaches.  </w:t>
            </w:r>
          </w:p>
        </w:tc>
        <w:tc>
          <w:tcPr>
            <w:tcW w:w="828" w:type="dxa"/>
          </w:tcPr>
          <w:p w14:paraId="2A2F4EF9" w14:textId="5E43025E" w:rsidR="00DC5D01" w:rsidRPr="00501958" w:rsidRDefault="00184ACE" w:rsidP="006C4EF3">
            <w:pPr>
              <w:cnfStyle w:val="000000000000" w:firstRow="0" w:lastRow="0" w:firstColumn="0" w:lastColumn="0" w:oddVBand="0" w:evenVBand="0" w:oddHBand="0" w:evenHBand="0" w:firstRowFirstColumn="0" w:firstRowLastColumn="0" w:lastRowFirstColumn="0" w:lastRowLastColumn="0"/>
            </w:pPr>
            <w:r w:rsidRPr="00501958">
              <w:t>-1</w:t>
            </w:r>
          </w:p>
        </w:tc>
      </w:tr>
    </w:tbl>
    <w:p w14:paraId="4E9B09AD" w14:textId="77777777" w:rsidR="00E00F26" w:rsidRDefault="00E14F11" w:rsidP="00E00F26">
      <w:pPr>
        <w:pStyle w:val="Tabledescription"/>
      </w:pPr>
      <w:bookmarkStart w:id="116" w:name="_Comparison_of_qualitative"/>
      <w:bookmarkEnd w:id="116"/>
      <w:r>
        <w:t xml:space="preserve">Note: the proposed adoption of the ASEM does not </w:t>
      </w:r>
      <w:r w:rsidR="00972C88">
        <w:t>affect existing</w:t>
      </w:r>
      <w:r>
        <w:t xml:space="preserve"> products</w:t>
      </w:r>
      <w:r w:rsidR="00972C88">
        <w:t>. Instead, it</w:t>
      </w:r>
      <w:r>
        <w:t xml:space="preserve"> is used in the risk assessments for new sunscreen ingredients, and not existing ingredients unless there are safety concerns</w:t>
      </w:r>
      <w:r w:rsidR="00D25506">
        <w:t xml:space="preserve"> that arise that require a re-assessment of that ingredient</w:t>
      </w:r>
      <w:r>
        <w:t xml:space="preserve">. </w:t>
      </w:r>
      <w:r w:rsidR="00972C88">
        <w:t xml:space="preserve">This approach </w:t>
      </w:r>
      <w:r w:rsidR="00F0718D">
        <w:t xml:space="preserve">is taken for </w:t>
      </w:r>
      <w:r>
        <w:t>any ingredient</w:t>
      </w:r>
      <w:r w:rsidR="00F0718D">
        <w:t xml:space="preserve"> used in listed medicines</w:t>
      </w:r>
      <w:r w:rsidR="00972C88">
        <w:t xml:space="preserve">, </w:t>
      </w:r>
      <w:r>
        <w:t xml:space="preserve">not </w:t>
      </w:r>
      <w:r w:rsidR="00972C88">
        <w:t xml:space="preserve">just </w:t>
      </w:r>
      <w:r>
        <w:t xml:space="preserve">to </w:t>
      </w:r>
      <w:r w:rsidR="00972C88">
        <w:t xml:space="preserve">those used in </w:t>
      </w:r>
      <w:r>
        <w:t>sunscreen</w:t>
      </w:r>
      <w:r w:rsidR="00972C88">
        <w:t>s</w:t>
      </w:r>
      <w:r>
        <w:t xml:space="preserve">.  </w:t>
      </w:r>
    </w:p>
    <w:p w14:paraId="12857390" w14:textId="57CC2B03" w:rsidR="001D4B8D" w:rsidRDefault="00364E96" w:rsidP="00972C88">
      <w:pPr>
        <w:spacing w:before="240"/>
      </w:pPr>
      <w:r>
        <w:t xml:space="preserve">The scores for each option are provided in </w:t>
      </w:r>
      <w:hyperlink w:anchor="Table11" w:history="1">
        <w:r w:rsidRPr="0059508A">
          <w:rPr>
            <w:rStyle w:val="Hyperlink"/>
          </w:rPr>
          <w:t>Table 11</w:t>
        </w:r>
      </w:hyperlink>
      <w:r>
        <w:t xml:space="preserve">. </w:t>
      </w:r>
      <w:r w:rsidR="001D4B8D">
        <w:t>Whil</w:t>
      </w:r>
      <w:r>
        <w:t>e</w:t>
      </w:r>
      <w:r w:rsidR="001D4B8D">
        <w:t xml:space="preserve"> there is an element of subjectivity to the analysis, Option 1 provides the highest level of positive impact to the subject cohorts.</w:t>
      </w:r>
    </w:p>
    <w:p w14:paraId="02EDE1D2" w14:textId="58B01314" w:rsidR="001D4B8D" w:rsidRDefault="001D4B8D" w:rsidP="00B478EB">
      <w:pPr>
        <w:pStyle w:val="Tabletitle"/>
      </w:pPr>
      <w:bookmarkStart w:id="117" w:name="Table11"/>
      <w:r>
        <w:t xml:space="preserve">Table </w:t>
      </w:r>
      <w:r w:rsidR="00364E96">
        <w:t>11</w:t>
      </w:r>
      <w:r>
        <w:t>: Impact score for proposed options</w:t>
      </w:r>
    </w:p>
    <w:tbl>
      <w:tblPr>
        <w:tblStyle w:val="TableTGAblue2023"/>
        <w:tblW w:w="5524" w:type="dxa"/>
        <w:tblLook w:val="04A0" w:firstRow="1" w:lastRow="0" w:firstColumn="1" w:lastColumn="0" w:noHBand="0" w:noVBand="1"/>
      </w:tblPr>
      <w:tblGrid>
        <w:gridCol w:w="2972"/>
        <w:gridCol w:w="2552"/>
      </w:tblGrid>
      <w:tr w:rsidR="001D4B8D" w:rsidRPr="006D28D0" w14:paraId="6135F37C" w14:textId="77777777" w:rsidTr="00E02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bookmarkEnd w:id="117"/>
          <w:p w14:paraId="134E478C" w14:textId="653B03A3" w:rsidR="001D4B8D" w:rsidRPr="003413F6" w:rsidRDefault="001D4B8D" w:rsidP="00367D22">
            <w:pPr>
              <w:rPr>
                <w:sz w:val="20"/>
                <w:szCs w:val="20"/>
              </w:rPr>
            </w:pPr>
            <w:r w:rsidRPr="006D28D0">
              <w:t>Option</w:t>
            </w:r>
          </w:p>
        </w:tc>
        <w:tc>
          <w:tcPr>
            <w:tcW w:w="2552" w:type="dxa"/>
          </w:tcPr>
          <w:p w14:paraId="3D1B73CA" w14:textId="213542B0" w:rsidR="001D4B8D" w:rsidRPr="003413F6" w:rsidRDefault="001D4B8D" w:rsidP="00367D22">
            <w:pPr>
              <w:cnfStyle w:val="100000000000" w:firstRow="1" w:lastRow="0" w:firstColumn="0" w:lastColumn="0" w:oddVBand="0" w:evenVBand="0" w:oddHBand="0" w:evenHBand="0" w:firstRowFirstColumn="0" w:firstRowLastColumn="0" w:lastRowFirstColumn="0" w:lastRowLastColumn="0"/>
              <w:rPr>
                <w:sz w:val="20"/>
                <w:szCs w:val="20"/>
              </w:rPr>
            </w:pPr>
            <w:r w:rsidRPr="006D28D0">
              <w:t>Score</w:t>
            </w:r>
          </w:p>
        </w:tc>
      </w:tr>
      <w:tr w:rsidR="001D4B8D" w14:paraId="65CC9FA0" w14:textId="77777777" w:rsidTr="001D4B8D">
        <w:tc>
          <w:tcPr>
            <w:cnfStyle w:val="001000000000" w:firstRow="0" w:lastRow="0" w:firstColumn="1" w:lastColumn="0" w:oddVBand="0" w:evenVBand="0" w:oddHBand="0" w:evenHBand="0" w:firstRowFirstColumn="0" w:firstRowLastColumn="0" w:lastRowFirstColumn="0" w:lastRowLastColumn="0"/>
            <w:tcW w:w="2972" w:type="dxa"/>
          </w:tcPr>
          <w:p w14:paraId="6DCAB37C" w14:textId="19BE514A" w:rsidR="001D4B8D" w:rsidRDefault="001D4B8D" w:rsidP="00367D22">
            <w:r>
              <w:t>Option 1</w:t>
            </w:r>
          </w:p>
        </w:tc>
        <w:tc>
          <w:tcPr>
            <w:tcW w:w="2552" w:type="dxa"/>
            <w:shd w:val="clear" w:color="auto" w:fill="DDF1BF" w:themeFill="accent6" w:themeFillTint="99"/>
          </w:tcPr>
          <w:p w14:paraId="5C0E71EB" w14:textId="67C0BCB2" w:rsidR="001D4B8D" w:rsidRPr="0013678A" w:rsidRDefault="003005AC" w:rsidP="00B478EB">
            <w:pPr>
              <w:cnfStyle w:val="000000000000" w:firstRow="0" w:lastRow="0" w:firstColumn="0" w:lastColumn="0" w:oddVBand="0" w:evenVBand="0" w:oddHBand="0" w:evenHBand="0" w:firstRowFirstColumn="0" w:firstRowLastColumn="0" w:lastRowFirstColumn="0" w:lastRowLastColumn="0"/>
            </w:pPr>
            <w:r>
              <w:rPr>
                <w:b/>
              </w:rPr>
              <w:t>6</w:t>
            </w:r>
          </w:p>
        </w:tc>
      </w:tr>
      <w:tr w:rsidR="001D4B8D" w14:paraId="49B1332D" w14:textId="77777777" w:rsidTr="00E02F9C">
        <w:tc>
          <w:tcPr>
            <w:cnfStyle w:val="001000000000" w:firstRow="0" w:lastRow="0" w:firstColumn="1" w:lastColumn="0" w:oddVBand="0" w:evenVBand="0" w:oddHBand="0" w:evenHBand="0" w:firstRowFirstColumn="0" w:firstRowLastColumn="0" w:lastRowFirstColumn="0" w:lastRowLastColumn="0"/>
            <w:tcW w:w="2972" w:type="dxa"/>
          </w:tcPr>
          <w:p w14:paraId="027A4E44" w14:textId="7B65AA97" w:rsidR="001D4B8D" w:rsidRDefault="001D4B8D" w:rsidP="00367D22">
            <w:r>
              <w:t>Option 2</w:t>
            </w:r>
          </w:p>
        </w:tc>
        <w:tc>
          <w:tcPr>
            <w:tcW w:w="2552" w:type="dxa"/>
            <w:shd w:val="clear" w:color="auto" w:fill="FFFF00"/>
          </w:tcPr>
          <w:p w14:paraId="29194678" w14:textId="69835F05" w:rsidR="001D4B8D" w:rsidRDefault="00D25506" w:rsidP="001D4B8D">
            <w:pPr>
              <w:cnfStyle w:val="000000000000" w:firstRow="0" w:lastRow="0" w:firstColumn="0" w:lastColumn="0" w:oddVBand="0" w:evenVBand="0" w:oddHBand="0" w:evenHBand="0" w:firstRowFirstColumn="0" w:firstRowLastColumn="0" w:lastRowFirstColumn="0" w:lastRowLastColumn="0"/>
              <w:rPr>
                <w:b/>
                <w:bCs/>
              </w:rPr>
            </w:pPr>
            <w:r>
              <w:rPr>
                <w:b/>
                <w:bCs/>
              </w:rPr>
              <w:t>2</w:t>
            </w:r>
          </w:p>
        </w:tc>
      </w:tr>
      <w:tr w:rsidR="001D4B8D" w14:paraId="2C10C4A6" w14:textId="77777777" w:rsidTr="00E02F9C">
        <w:tc>
          <w:tcPr>
            <w:cnfStyle w:val="001000000000" w:firstRow="0" w:lastRow="0" w:firstColumn="1" w:lastColumn="0" w:oddVBand="0" w:evenVBand="0" w:oddHBand="0" w:evenHBand="0" w:firstRowFirstColumn="0" w:firstRowLastColumn="0" w:lastRowFirstColumn="0" w:lastRowLastColumn="0"/>
            <w:tcW w:w="2972" w:type="dxa"/>
          </w:tcPr>
          <w:p w14:paraId="776F0E8A" w14:textId="75CDF7AB" w:rsidR="001D4B8D" w:rsidRDefault="001D4B8D" w:rsidP="00367D22">
            <w:r>
              <w:t>Option 3</w:t>
            </w:r>
          </w:p>
        </w:tc>
        <w:tc>
          <w:tcPr>
            <w:tcW w:w="2552" w:type="dxa"/>
            <w:shd w:val="clear" w:color="auto" w:fill="FF0000"/>
          </w:tcPr>
          <w:p w14:paraId="7A8DC6CE" w14:textId="0EAEDD6B" w:rsidR="001D4B8D" w:rsidRDefault="00D25506" w:rsidP="001D4B8D">
            <w:pPr>
              <w:cnfStyle w:val="000000000000" w:firstRow="0" w:lastRow="0" w:firstColumn="0" w:lastColumn="0" w:oddVBand="0" w:evenVBand="0" w:oddHBand="0" w:evenHBand="0" w:firstRowFirstColumn="0" w:firstRowLastColumn="0" w:lastRowFirstColumn="0" w:lastRowLastColumn="0"/>
              <w:rPr>
                <w:b/>
                <w:bCs/>
              </w:rPr>
            </w:pPr>
            <w:r>
              <w:rPr>
                <w:b/>
                <w:bCs/>
              </w:rPr>
              <w:t>-4</w:t>
            </w:r>
          </w:p>
        </w:tc>
      </w:tr>
    </w:tbl>
    <w:p w14:paraId="264593A8" w14:textId="08608CF4" w:rsidR="00E02F9C" w:rsidRDefault="00495089" w:rsidP="00F47305">
      <w:pPr>
        <w:pStyle w:val="Heading4"/>
      </w:pPr>
      <w:bookmarkStart w:id="118" w:name="_Toc184730592"/>
      <w:r>
        <w:t>Impact on importers and exporters of sunscreens</w:t>
      </w:r>
      <w:bookmarkEnd w:id="118"/>
    </w:p>
    <w:p w14:paraId="5FD9C4DA" w14:textId="59DFA368" w:rsidR="00495089" w:rsidRPr="00495089" w:rsidRDefault="00495089" w:rsidP="00495089">
      <w:pPr>
        <w:keepNext/>
        <w:keepLines/>
        <w:spacing w:before="122" w:line="240" w:lineRule="atLeast"/>
        <w:ind w:left="1"/>
        <w:outlineLvl w:val="5"/>
        <w:rPr>
          <w:rFonts w:eastAsia="Times New Roman" w:cs="Times New Roman"/>
          <w:bCs/>
          <w:color w:val="001871"/>
          <w:sz w:val="24"/>
          <w:szCs w:val="21"/>
        </w:rPr>
      </w:pPr>
      <w:r w:rsidRPr="00495089">
        <w:rPr>
          <w:rFonts w:eastAsia="Times New Roman" w:cs="Times New Roman"/>
          <w:bCs/>
          <w:color w:val="001871"/>
          <w:sz w:val="24"/>
          <w:szCs w:val="21"/>
        </w:rPr>
        <w:t>Importers</w:t>
      </w:r>
    </w:p>
    <w:p w14:paraId="3B3027F1" w14:textId="77777777" w:rsidR="00446652" w:rsidRDefault="00852E25" w:rsidP="00E02F9C">
      <w:r>
        <w:t>Sunscreens are regulated differently across international jurisdictions. In Australia, Canada and the United States of America, they are regulated as therapeutic goods, whereas in Europe they are regulated as cosmetic goods.</w:t>
      </w:r>
      <w:r w:rsidR="00D25506">
        <w:t xml:space="preserve"> </w:t>
      </w:r>
    </w:p>
    <w:p w14:paraId="50EF2701" w14:textId="506B307E" w:rsidR="00852E25" w:rsidRDefault="00D25506" w:rsidP="00E02F9C">
      <w:r>
        <w:t>Each country has its own regulatory requirements and framework for import, export, supply and manufacturing.</w:t>
      </w:r>
      <w:r w:rsidR="00852E25">
        <w:t xml:space="preserve"> </w:t>
      </w:r>
      <w:r w:rsidR="002F0FA8">
        <w:t>Furthermore, even if a model used internationally, such as the SCCS exposure model, were adopted</w:t>
      </w:r>
      <w:r w:rsidR="00A35FBA">
        <w:t xml:space="preserve"> in Australia</w:t>
      </w:r>
      <w:r w:rsidR="002F0FA8">
        <w:t xml:space="preserve">, the approval of an ingredient that can be absorbed into the body (which is based on the MoS calculation) still significantly varies based on how the </w:t>
      </w:r>
      <w:r w:rsidR="00A35FBA">
        <w:t xml:space="preserve">SCCS </w:t>
      </w:r>
      <w:r w:rsidR="002F0FA8">
        <w:t>model is used even if using the same data.</w:t>
      </w:r>
      <w:r w:rsidR="00A35FBA">
        <w:t xml:space="preserve"> As such, this discrepancy leads to misalignment in international regulations and approvals of sunscreen ingredients with the same restrictions, irrespective of which exposure model is adopted.</w:t>
      </w:r>
    </w:p>
    <w:p w14:paraId="30566E5E" w14:textId="515218B9" w:rsidR="00E02F9C" w:rsidRDefault="00852E25" w:rsidP="00E02F9C">
      <w:r>
        <w:t>For p</w:t>
      </w:r>
      <w:r w:rsidR="00C74324">
        <w:t>roducts that are imported into Australia</w:t>
      </w:r>
      <w:r>
        <w:t>, there</w:t>
      </w:r>
      <w:r w:rsidR="00C74324">
        <w:t xml:space="preserve"> are </w:t>
      </w:r>
      <w:r>
        <w:t>specific requirements:</w:t>
      </w:r>
      <w:r w:rsidR="00D25506">
        <w:t xml:space="preserve"> products</w:t>
      </w:r>
      <w:r>
        <w:t xml:space="preserve"> must</w:t>
      </w:r>
      <w:r w:rsidR="00C74324">
        <w:t xml:space="preserve"> have </w:t>
      </w:r>
      <w:r w:rsidR="00D25506">
        <w:t>specific Australian</w:t>
      </w:r>
      <w:r w:rsidR="00C74324">
        <w:t xml:space="preserve"> labelling requirements, </w:t>
      </w:r>
      <w:r w:rsidR="00D25506">
        <w:t xml:space="preserve">be </w:t>
      </w:r>
      <w:r w:rsidR="00C74324">
        <w:t xml:space="preserve">manufactured </w:t>
      </w:r>
      <w:r w:rsidR="00AF421C">
        <w:t xml:space="preserve">in </w:t>
      </w:r>
      <w:r w:rsidR="00C74324">
        <w:t>accord</w:t>
      </w:r>
      <w:r w:rsidR="00AF421C">
        <w:t>ance with the principles of</w:t>
      </w:r>
      <w:r w:rsidR="00C74324">
        <w:t xml:space="preserve"> Good Manufacturing Practice (GMP)</w:t>
      </w:r>
      <w:r w:rsidR="00D25506">
        <w:t xml:space="preserve"> from a facility approved by the TGA</w:t>
      </w:r>
      <w:r>
        <w:t>,</w:t>
      </w:r>
      <w:r w:rsidR="00D25506">
        <w:t xml:space="preserve"> and</w:t>
      </w:r>
      <w:r>
        <w:t xml:space="preserve"> </w:t>
      </w:r>
      <w:r w:rsidR="00C74324">
        <w:t xml:space="preserve">only </w:t>
      </w:r>
      <w:r>
        <w:t>include</w:t>
      </w:r>
      <w:r w:rsidR="00C74324">
        <w:t xml:space="preserve"> ingredients on the Therapeutic Goods (Permissible Ingredients) Determination</w:t>
      </w:r>
      <w:r>
        <w:t xml:space="preserve">. </w:t>
      </w:r>
      <w:r w:rsidR="00D25506">
        <w:t xml:space="preserve">Imported products are also required to have Australian-specific stability testing, due to the higher humidity levels. </w:t>
      </w:r>
      <w:r w:rsidR="00C74324">
        <w:t xml:space="preserve">Additionally, sunscreens </w:t>
      </w:r>
      <w:r>
        <w:t xml:space="preserve">must meet the standards set by the </w:t>
      </w:r>
      <w:r w:rsidR="00C74324">
        <w:t>Australian/New Zealand Sunscreen Standard (AS/NZS) 2604 Sunscreen products – Evaluation and classification</w:t>
      </w:r>
      <w:r w:rsidR="00D25506">
        <w:t xml:space="preserve">, requiring specific testing to comply with the SPF, water resistance and </w:t>
      </w:r>
      <w:r w:rsidR="00545FD7">
        <w:t>broad-spectrum</w:t>
      </w:r>
      <w:r w:rsidR="00D25506">
        <w:t xml:space="preserve"> claims</w:t>
      </w:r>
      <w:r w:rsidR="00C74324">
        <w:t xml:space="preserve">. </w:t>
      </w:r>
      <w:r w:rsidR="00D25506">
        <w:t xml:space="preserve">These requirements apply regardless of ingredient </w:t>
      </w:r>
      <w:r w:rsidR="00B13C31">
        <w:t>exposure model</w:t>
      </w:r>
      <w:r w:rsidR="00D25506">
        <w:t xml:space="preserve"> used. </w:t>
      </w:r>
    </w:p>
    <w:p w14:paraId="2C2187A6" w14:textId="3026E2C4" w:rsidR="00495089" w:rsidRPr="00545FD7" w:rsidRDefault="00495089" w:rsidP="00545FD7">
      <w:pPr>
        <w:keepNext/>
        <w:keepLines/>
        <w:spacing w:before="122" w:line="240" w:lineRule="atLeast"/>
        <w:outlineLvl w:val="5"/>
        <w:rPr>
          <w:rFonts w:eastAsia="Times New Roman" w:cs="Times New Roman"/>
          <w:bCs/>
          <w:color w:val="001871"/>
          <w:sz w:val="24"/>
          <w:szCs w:val="21"/>
        </w:rPr>
      </w:pPr>
      <w:r>
        <w:rPr>
          <w:rFonts w:eastAsia="Times New Roman" w:cs="Times New Roman"/>
          <w:bCs/>
          <w:color w:val="001871"/>
          <w:sz w:val="24"/>
          <w:szCs w:val="21"/>
        </w:rPr>
        <w:t>Exporters</w:t>
      </w:r>
    </w:p>
    <w:p w14:paraId="5D020F1C" w14:textId="5C8C35D9" w:rsidR="00C74324" w:rsidRDefault="00495089" w:rsidP="00E02F9C">
      <w:r>
        <w:t>The TGA does not record information about the proportion of products that are exported</w:t>
      </w:r>
      <w:r w:rsidR="00852E25">
        <w:t>. To obtain this information,</w:t>
      </w:r>
      <w:r w:rsidR="00446652">
        <w:t xml:space="preserve"> we </w:t>
      </w:r>
      <w:r w:rsidR="00852E25">
        <w:t xml:space="preserve">would need to </w:t>
      </w:r>
      <w:r>
        <w:t xml:space="preserve">contact each sponsor individually, </w:t>
      </w:r>
      <w:r w:rsidR="00852E25">
        <w:t xml:space="preserve">and there is no </w:t>
      </w:r>
      <w:r>
        <w:t xml:space="preserve">guarantee that </w:t>
      </w:r>
      <w:r w:rsidR="00852E25">
        <w:t>sponsors would disclose thi</w:t>
      </w:r>
      <w:r>
        <w:t xml:space="preserve">s information. </w:t>
      </w:r>
      <w:r w:rsidR="00852E25">
        <w:t>While a</w:t>
      </w:r>
      <w:r>
        <w:t xml:space="preserve"> search of the ARTG can </w:t>
      </w:r>
      <w:r w:rsidR="00852E25">
        <w:t xml:space="preserve">provide </w:t>
      </w:r>
      <w:r>
        <w:t>the total number of products</w:t>
      </w:r>
      <w:r w:rsidR="00852E25">
        <w:t xml:space="preserve">, </w:t>
      </w:r>
      <w:r>
        <w:t>the number of these that are exported is unknown.</w:t>
      </w:r>
      <w:r w:rsidR="00D25506">
        <w:t xml:space="preserve"> Noting sunscreens are regulated differently internationally and the misalignment of international regulations discussed above which each country having its own framework for import, exposure, supply and manufacturing, exporters will always need to meet the requirements of the importing country</w:t>
      </w:r>
      <w:r w:rsidR="00A35FBA">
        <w:t xml:space="preserve"> which are unlikely to be the same as Australia’s, irrespective of which exposure model is adopted.</w:t>
      </w:r>
      <w:r w:rsidR="00D25506">
        <w:t xml:space="preserve">  </w:t>
      </w:r>
      <w:r>
        <w:t xml:space="preserve"> </w:t>
      </w:r>
    </w:p>
    <w:p w14:paraId="1DB64D0D" w14:textId="345BF053" w:rsidR="00495089" w:rsidRPr="00495089" w:rsidRDefault="00495089" w:rsidP="00495089">
      <w:pPr>
        <w:keepNext/>
        <w:keepLines/>
        <w:spacing w:before="122" w:line="240" w:lineRule="atLeast"/>
        <w:ind w:left="1"/>
        <w:outlineLvl w:val="5"/>
        <w:rPr>
          <w:rFonts w:eastAsia="Times New Roman" w:cs="Times New Roman"/>
          <w:bCs/>
          <w:color w:val="001871"/>
          <w:sz w:val="24"/>
          <w:szCs w:val="21"/>
        </w:rPr>
      </w:pPr>
      <w:r>
        <w:rPr>
          <w:rFonts w:eastAsia="Times New Roman" w:cs="Times New Roman"/>
          <w:bCs/>
          <w:color w:val="001871"/>
          <w:sz w:val="24"/>
          <w:szCs w:val="21"/>
        </w:rPr>
        <w:t xml:space="preserve">Hypothetical examples </w:t>
      </w:r>
    </w:p>
    <w:p w14:paraId="42DDB60C" w14:textId="775CF559" w:rsidR="00A529F1" w:rsidRDefault="00A529F1" w:rsidP="00A529F1">
      <w:r>
        <w:t xml:space="preserve">An ingredient that is known to absorb through the skin is approved in Europe at a certain concentration (based on the SCCS model). If this ingredient is proposed for use in Australia, the ASEM can result in either a more conservative or a less conservative concentration compared to the European number. This is because the SCCS exposure model </w:t>
      </w:r>
      <w:r w:rsidRPr="00803BFE">
        <w:t>can result in approximately a 5-fold difference</w:t>
      </w:r>
      <w:r>
        <w:t xml:space="preserve"> in the </w:t>
      </w:r>
      <w:r w:rsidR="00A35FBA">
        <w:t>MoS number</w:t>
      </w:r>
      <w:r>
        <w:t xml:space="preserve"> generated,</w:t>
      </w:r>
      <w:r w:rsidRPr="00803BFE">
        <w:t xml:space="preserve"> </w:t>
      </w:r>
      <w:r>
        <w:t>based on the analysis</w:t>
      </w:r>
      <w:r w:rsidRPr="00803BFE">
        <w:t xml:space="preserve"> method</w:t>
      </w:r>
      <w:r>
        <w:t xml:space="preserve"> used in the calculations (i.e. Method 1 vs Method 2)</w:t>
      </w:r>
      <w:r w:rsidR="00A35FBA">
        <w:t>, even if using the same data</w:t>
      </w:r>
      <w:r>
        <w:t xml:space="preserve">. While the ASEM lends itself to generate only one number, as discussed in detail in Attachments 3 and 4 in the </w:t>
      </w:r>
      <w:hyperlink r:id="rId49" w:history="1">
        <w:r w:rsidRPr="00C8001B">
          <w:rPr>
            <w:rStyle w:val="Hyperlink"/>
          </w:rPr>
          <w:t>public consultation paper</w:t>
        </w:r>
      </w:hyperlink>
      <w:r w:rsidRPr="00B662EB">
        <w:rPr>
          <w:rStyle w:val="Hyperlink"/>
          <w:u w:val="none"/>
        </w:rPr>
        <w:t>.</w:t>
      </w:r>
      <w:r>
        <w:t xml:space="preserve"> Due to this discrepancy, </w:t>
      </w:r>
      <w:r w:rsidR="00A35FBA">
        <w:t>estimated costs</w:t>
      </w:r>
      <w:r>
        <w:t xml:space="preserve"> cannot </w:t>
      </w:r>
      <w:r w:rsidR="00A35FBA">
        <w:t xml:space="preserve">be </w:t>
      </w:r>
      <w:r>
        <w:t>practically estimate</w:t>
      </w:r>
      <w:r w:rsidR="00A35FBA">
        <w:t>d</w:t>
      </w:r>
      <w:r>
        <w:t>. This was not contested during the ASEM consultation which included responses from European stakeholders.</w:t>
      </w:r>
    </w:p>
    <w:p w14:paraId="781D239D" w14:textId="17D4584F" w:rsidR="00495089" w:rsidRDefault="00A529F1" w:rsidP="00A529F1">
      <w:r>
        <w:t>T</w:t>
      </w:r>
      <w:r w:rsidR="00A35FBA">
        <w:t>he t</w:t>
      </w:r>
      <w:r>
        <w:t xml:space="preserve">able below </w:t>
      </w:r>
      <w:r w:rsidR="00545FD7">
        <w:t>(</w:t>
      </w:r>
      <w:hyperlink w:anchor="Table12" w:history="1">
        <w:r w:rsidR="00545FD7" w:rsidRPr="00545FD7">
          <w:rPr>
            <w:rStyle w:val="Hyperlink"/>
          </w:rPr>
          <w:t>Table 12</w:t>
        </w:r>
      </w:hyperlink>
      <w:r w:rsidR="00545FD7">
        <w:t xml:space="preserve">) </w:t>
      </w:r>
      <w:r>
        <w:t>highlights the potential impact on importers and exporters due to a difference in the approved concentration scenarios.</w:t>
      </w:r>
      <w:r w:rsidDel="00A529F1">
        <w:t xml:space="preserve"> </w:t>
      </w:r>
    </w:p>
    <w:p w14:paraId="267D9BD9" w14:textId="7914A4EC" w:rsidR="00545FD7" w:rsidRDefault="00545FD7" w:rsidP="00545FD7">
      <w:pPr>
        <w:pStyle w:val="Tabletitle"/>
      </w:pPr>
      <w:bookmarkStart w:id="119" w:name="Table12"/>
      <w:r>
        <w:t xml:space="preserve">Table 12: Comparison of potential impacts on importers and exporters of sunscreens </w:t>
      </w:r>
    </w:p>
    <w:tbl>
      <w:tblPr>
        <w:tblStyle w:val="TableTGAblue2023"/>
        <w:tblW w:w="9209" w:type="dxa"/>
        <w:tblLook w:val="04A0" w:firstRow="1" w:lastRow="0" w:firstColumn="1" w:lastColumn="0" w:noHBand="0" w:noVBand="1"/>
      </w:tblPr>
      <w:tblGrid>
        <w:gridCol w:w="2439"/>
        <w:gridCol w:w="3510"/>
        <w:gridCol w:w="3260"/>
      </w:tblGrid>
      <w:tr w:rsidR="00E03CD8" w:rsidRPr="003413F6" w14:paraId="0D555FEC" w14:textId="6924AE22" w:rsidTr="00E03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bookmarkEnd w:id="119"/>
          <w:p w14:paraId="2548C26F" w14:textId="584E32E5" w:rsidR="00E03CD8" w:rsidRPr="003413F6" w:rsidRDefault="00E03CD8" w:rsidP="00C7295E">
            <w:pPr>
              <w:rPr>
                <w:sz w:val="20"/>
                <w:szCs w:val="20"/>
              </w:rPr>
            </w:pPr>
            <w:r w:rsidRPr="003413F6">
              <w:rPr>
                <w:sz w:val="20"/>
                <w:szCs w:val="20"/>
              </w:rPr>
              <w:t>Comparison of ingredient requirements between Europe and Australia</w:t>
            </w:r>
          </w:p>
        </w:tc>
        <w:tc>
          <w:tcPr>
            <w:tcW w:w="3510" w:type="dxa"/>
          </w:tcPr>
          <w:p w14:paraId="7357E0BB" w14:textId="7E4A43A6" w:rsidR="00E03CD8" w:rsidRPr="003413F6" w:rsidRDefault="00E03CD8" w:rsidP="00C7295E">
            <w:pPr>
              <w:cnfStyle w:val="100000000000" w:firstRow="1" w:lastRow="0" w:firstColumn="0" w:lastColumn="0" w:oddVBand="0" w:evenVBand="0" w:oddHBand="0" w:evenHBand="0" w:firstRowFirstColumn="0" w:firstRowLastColumn="0" w:lastRowFirstColumn="0" w:lastRowLastColumn="0"/>
              <w:rPr>
                <w:sz w:val="20"/>
                <w:szCs w:val="20"/>
              </w:rPr>
            </w:pPr>
            <w:r w:rsidRPr="003413F6">
              <w:rPr>
                <w:sz w:val="20"/>
                <w:szCs w:val="20"/>
              </w:rPr>
              <w:t xml:space="preserve">Impact on </w:t>
            </w:r>
            <w:r w:rsidR="00A35FBA" w:rsidRPr="003413F6">
              <w:rPr>
                <w:sz w:val="20"/>
                <w:szCs w:val="20"/>
              </w:rPr>
              <w:t xml:space="preserve">Australian </w:t>
            </w:r>
            <w:r w:rsidRPr="003413F6">
              <w:rPr>
                <w:sz w:val="20"/>
                <w:szCs w:val="20"/>
              </w:rPr>
              <w:t>importers</w:t>
            </w:r>
          </w:p>
        </w:tc>
        <w:tc>
          <w:tcPr>
            <w:tcW w:w="3260" w:type="dxa"/>
          </w:tcPr>
          <w:p w14:paraId="3F393F58" w14:textId="18FE790A" w:rsidR="00E03CD8" w:rsidRPr="003413F6" w:rsidRDefault="00E03CD8" w:rsidP="00C7295E">
            <w:pPr>
              <w:cnfStyle w:val="100000000000" w:firstRow="1" w:lastRow="0" w:firstColumn="0" w:lastColumn="0" w:oddVBand="0" w:evenVBand="0" w:oddHBand="0" w:evenHBand="0" w:firstRowFirstColumn="0" w:firstRowLastColumn="0" w:lastRowFirstColumn="0" w:lastRowLastColumn="0"/>
              <w:rPr>
                <w:sz w:val="20"/>
                <w:szCs w:val="20"/>
              </w:rPr>
            </w:pPr>
            <w:r w:rsidRPr="003413F6">
              <w:rPr>
                <w:sz w:val="20"/>
                <w:szCs w:val="20"/>
              </w:rPr>
              <w:t xml:space="preserve">Impact on </w:t>
            </w:r>
            <w:r w:rsidR="00A35FBA" w:rsidRPr="003413F6">
              <w:rPr>
                <w:sz w:val="20"/>
                <w:szCs w:val="20"/>
              </w:rPr>
              <w:t xml:space="preserve">Australian </w:t>
            </w:r>
            <w:r w:rsidRPr="003413F6">
              <w:rPr>
                <w:sz w:val="20"/>
                <w:szCs w:val="20"/>
              </w:rPr>
              <w:t>exporter</w:t>
            </w:r>
            <w:r w:rsidR="00A35FBA" w:rsidRPr="003413F6">
              <w:rPr>
                <w:sz w:val="20"/>
                <w:szCs w:val="20"/>
              </w:rPr>
              <w:t>s to Europe</w:t>
            </w:r>
          </w:p>
        </w:tc>
      </w:tr>
      <w:tr w:rsidR="001034B0" w14:paraId="56E18EBC" w14:textId="123FE984" w:rsidTr="00E03CD8">
        <w:tc>
          <w:tcPr>
            <w:cnfStyle w:val="001000000000" w:firstRow="0" w:lastRow="0" w:firstColumn="1" w:lastColumn="0" w:oddVBand="0" w:evenVBand="0" w:oddHBand="0" w:evenHBand="0" w:firstRowFirstColumn="0" w:firstRowLastColumn="0" w:lastRowFirstColumn="0" w:lastRowLastColumn="0"/>
            <w:tcW w:w="2439" w:type="dxa"/>
          </w:tcPr>
          <w:p w14:paraId="7C92406D" w14:textId="32BBB7A3" w:rsidR="001034B0" w:rsidRPr="00E03CD8" w:rsidRDefault="00A35FBA" w:rsidP="001034B0">
            <w:pPr>
              <w:rPr>
                <w:u w:val="single"/>
              </w:rPr>
            </w:pPr>
            <w:r>
              <w:rPr>
                <w:u w:val="single"/>
              </w:rPr>
              <w:t>Approved maximum i</w:t>
            </w:r>
            <w:r w:rsidR="001034B0">
              <w:rPr>
                <w:u w:val="single"/>
              </w:rPr>
              <w:t xml:space="preserve">ngredient concentration </w:t>
            </w:r>
            <w:r>
              <w:rPr>
                <w:u w:val="single"/>
              </w:rPr>
              <w:t>i</w:t>
            </w:r>
            <w:r w:rsidR="001034B0">
              <w:rPr>
                <w:u w:val="single"/>
              </w:rPr>
              <w:t xml:space="preserve">n Europe (based on SCCS model) is </w:t>
            </w:r>
            <w:r>
              <w:rPr>
                <w:u w:val="single"/>
              </w:rPr>
              <w:t>lower</w:t>
            </w:r>
            <w:r w:rsidR="001034B0">
              <w:rPr>
                <w:u w:val="single"/>
              </w:rPr>
              <w:t xml:space="preserve"> than in Australia.</w:t>
            </w:r>
          </w:p>
        </w:tc>
        <w:tc>
          <w:tcPr>
            <w:tcW w:w="3510" w:type="dxa"/>
          </w:tcPr>
          <w:p w14:paraId="4212660B" w14:textId="4A4920BC" w:rsidR="001034B0" w:rsidRPr="00803BFE" w:rsidRDefault="001034B0" w:rsidP="001034B0">
            <w:pPr>
              <w:pStyle w:val="Numberbullet2"/>
              <w:cnfStyle w:val="000000000000" w:firstRow="0" w:lastRow="0" w:firstColumn="0" w:lastColumn="0" w:oddVBand="0" w:evenVBand="0" w:oddHBand="0" w:evenHBand="0" w:firstRowFirstColumn="0" w:firstRowLastColumn="0" w:lastRowFirstColumn="0" w:lastRowLastColumn="0"/>
              <w:rPr>
                <w:color w:val="auto"/>
              </w:rPr>
            </w:pPr>
            <w:r>
              <w:rPr>
                <w:color w:val="auto"/>
              </w:rPr>
              <w:t>No effect</w:t>
            </w:r>
            <w:r w:rsidR="00A35FBA">
              <w:rPr>
                <w:color w:val="auto"/>
              </w:rPr>
              <w:t>, if all other ingredient requirements are the same</w:t>
            </w:r>
            <w:r w:rsidR="00A72B6A">
              <w:rPr>
                <w:color w:val="auto"/>
              </w:rPr>
              <w:t>, and exporters also meet the Australian regulatory requirements</w:t>
            </w:r>
            <w:r w:rsidR="00A35FBA">
              <w:rPr>
                <w:color w:val="auto"/>
              </w:rPr>
              <w:t>.</w:t>
            </w:r>
          </w:p>
        </w:tc>
        <w:tc>
          <w:tcPr>
            <w:tcW w:w="3260" w:type="dxa"/>
          </w:tcPr>
          <w:p w14:paraId="38EE1890" w14:textId="65395A9D" w:rsidR="001034B0" w:rsidRPr="00803BFE" w:rsidRDefault="001034B0" w:rsidP="001034B0">
            <w:pPr>
              <w:pStyle w:val="Numberbullet2"/>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May not be able to export products </w:t>
            </w:r>
            <w:r w:rsidR="00A72B6A">
              <w:rPr>
                <w:color w:val="auto"/>
              </w:rPr>
              <w:t xml:space="preserve">with ingredients </w:t>
            </w:r>
            <w:r>
              <w:rPr>
                <w:color w:val="auto"/>
              </w:rPr>
              <w:t>above the European threshold.</w:t>
            </w:r>
            <w:r w:rsidR="00A72B6A">
              <w:rPr>
                <w:color w:val="auto"/>
              </w:rPr>
              <w:t xml:space="preserve"> Noting that exporters must also meet the regulatory requirements of the importing country in Europe where they are regulated as cosmetics and may not contain certain ingredients in the cosmetic annexes (which do not apply in Australia). </w:t>
            </w:r>
          </w:p>
        </w:tc>
      </w:tr>
      <w:tr w:rsidR="001034B0" w14:paraId="30522791" w14:textId="77777777" w:rsidTr="00E03CD8">
        <w:tc>
          <w:tcPr>
            <w:cnfStyle w:val="001000000000" w:firstRow="0" w:lastRow="0" w:firstColumn="1" w:lastColumn="0" w:oddVBand="0" w:evenVBand="0" w:oddHBand="0" w:evenHBand="0" w:firstRowFirstColumn="0" w:firstRowLastColumn="0" w:lastRowFirstColumn="0" w:lastRowLastColumn="0"/>
            <w:tcW w:w="2439" w:type="dxa"/>
          </w:tcPr>
          <w:p w14:paraId="1A6B4EC6" w14:textId="32FB5A12" w:rsidR="001034B0" w:rsidRPr="00E03CD8" w:rsidRDefault="00A35FBA" w:rsidP="001034B0">
            <w:pPr>
              <w:rPr>
                <w:u w:val="single"/>
              </w:rPr>
            </w:pPr>
            <w:r>
              <w:rPr>
                <w:u w:val="single"/>
              </w:rPr>
              <w:t>Approved maximum ingredient concentration in Europe (based on SCCS model) is higher than in Australia.</w:t>
            </w:r>
          </w:p>
        </w:tc>
        <w:tc>
          <w:tcPr>
            <w:tcW w:w="3510" w:type="dxa"/>
          </w:tcPr>
          <w:p w14:paraId="21B9C059" w14:textId="6E895A77" w:rsidR="001034B0" w:rsidRPr="00803BFE" w:rsidRDefault="005475EF" w:rsidP="001034B0">
            <w:pPr>
              <w:pStyle w:val="Numberbullet2"/>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May not be able to import products </w:t>
            </w:r>
            <w:r w:rsidR="00A72B6A">
              <w:rPr>
                <w:color w:val="auto"/>
              </w:rPr>
              <w:t xml:space="preserve">with ingredients </w:t>
            </w:r>
            <w:r>
              <w:rPr>
                <w:color w:val="auto"/>
              </w:rPr>
              <w:t>above the Australian threshold.</w:t>
            </w:r>
            <w:r w:rsidR="00A72B6A">
              <w:rPr>
                <w:color w:val="auto"/>
              </w:rPr>
              <w:t xml:space="preserve"> Noting that exporters must also meet the Australian regulatory requirements where sunscreens are regulated as therapeutic goods not cosmetics in Europe. </w:t>
            </w:r>
          </w:p>
        </w:tc>
        <w:tc>
          <w:tcPr>
            <w:tcW w:w="3260" w:type="dxa"/>
          </w:tcPr>
          <w:p w14:paraId="6E14D592" w14:textId="40E3823A" w:rsidR="001034B0" w:rsidRPr="00803BFE" w:rsidRDefault="001034B0" w:rsidP="001034B0">
            <w:pPr>
              <w:pStyle w:val="Numberbullet2"/>
              <w:cnfStyle w:val="000000000000" w:firstRow="0" w:lastRow="0" w:firstColumn="0" w:lastColumn="0" w:oddVBand="0" w:evenVBand="0" w:oddHBand="0" w:evenHBand="0" w:firstRowFirstColumn="0" w:firstRowLastColumn="0" w:lastRowFirstColumn="0" w:lastRowLastColumn="0"/>
              <w:rPr>
                <w:color w:val="auto"/>
              </w:rPr>
            </w:pPr>
            <w:r>
              <w:rPr>
                <w:color w:val="auto"/>
              </w:rPr>
              <w:t>No effect</w:t>
            </w:r>
            <w:r w:rsidR="00A72B6A">
              <w:rPr>
                <w:color w:val="auto"/>
              </w:rPr>
              <w:t xml:space="preserve">, if all other ingredient requirements are the same, and the exporters also meet the regulatory requirements of the importing country in Europe. </w:t>
            </w:r>
          </w:p>
        </w:tc>
      </w:tr>
    </w:tbl>
    <w:p w14:paraId="3D1884F8" w14:textId="77777777" w:rsidR="00852E25" w:rsidRDefault="00852E25" w:rsidP="00E02F9C"/>
    <w:p w14:paraId="6CD6DA33" w14:textId="5208A2B2" w:rsidR="00A63943" w:rsidRDefault="00A63943" w:rsidP="00F47305">
      <w:pPr>
        <w:pStyle w:val="Heading4"/>
      </w:pPr>
      <w:bookmarkStart w:id="120" w:name="_Comparison_of_qualitative_1"/>
      <w:bookmarkStart w:id="121" w:name="_Toc184730593"/>
      <w:bookmarkEnd w:id="120"/>
      <w:r>
        <w:t>Comparison of qualitative regulatory costs for each option</w:t>
      </w:r>
      <w:bookmarkEnd w:id="121"/>
    </w:p>
    <w:p w14:paraId="5EC2F46D" w14:textId="516B7EC1" w:rsidR="0032674F" w:rsidRDefault="00A63943" w:rsidP="00A63943">
      <w:pPr>
        <w:pStyle w:val="BodyText"/>
        <w:spacing w:before="117" w:line="259" w:lineRule="auto"/>
      </w:pPr>
      <w:r>
        <w:t>In theory</w:t>
      </w:r>
      <w:r w:rsidR="0032674F">
        <w:t>,</w:t>
      </w:r>
      <w:r>
        <w:t xml:space="preserve"> having a clear regulatory process</w:t>
      </w:r>
      <w:r w:rsidR="00EB3829">
        <w:t>,</w:t>
      </w:r>
      <w:r>
        <w:t xml:space="preserve"> that provides certainty and consistency of assessments, enables applicants to develop dossiers and propose limits that will be treated consistently in the TGA assessment process. When not factoring in circumstantial aspects such as the quality of the dossier or the actual safety data, the costs are theoretically decreased with increasing certainty and consistency of regulatory assessments. </w:t>
      </w:r>
    </w:p>
    <w:p w14:paraId="7F3ACC1F" w14:textId="4EFD195D" w:rsidR="00A63943" w:rsidRDefault="00A63943" w:rsidP="00A63943">
      <w:pPr>
        <w:pStyle w:val="BodyText"/>
        <w:spacing w:before="117" w:line="259" w:lineRule="auto"/>
      </w:pPr>
      <w:r>
        <w:t>Under Option 3 (status quo) there is no guidance on calculating the appropriate SED and the applicant would need to provide their own justification and calculations. While Option 3 offers a</w:t>
      </w:r>
      <w:r w:rsidRPr="00C9282D">
        <w:t xml:space="preserve">pplicants </w:t>
      </w:r>
      <w:r>
        <w:t>with</w:t>
      </w:r>
      <w:r w:rsidRPr="00C9282D">
        <w:t xml:space="preserve"> greater flexibility to </w:t>
      </w:r>
      <w:r>
        <w:t>use</w:t>
      </w:r>
      <w:r w:rsidRPr="00C9282D">
        <w:t xml:space="preserve"> diverse scientific justifications</w:t>
      </w:r>
      <w:r>
        <w:t xml:space="preserve">/rationales, there are inherent costs as applicants must furnish robust and substantial justifications. These may necessitate extra research and time investment, each incurring associated costs, to bolster their applications. As the costs for Option 3 are dependent on the quality and merit of an applicant’s justification and time to assess that justification, they cannot be reliably calculated. Similarly, for Option 3, Accord noted </w:t>
      </w:r>
      <w:r w:rsidRPr="00EB7A03">
        <w:rPr>
          <w:lang w:val="en-AU"/>
        </w:rPr>
        <w:t>that there is no transparency on the requirements and therefore the cost and effort</w:t>
      </w:r>
      <w:r>
        <w:rPr>
          <w:lang w:val="en-AU"/>
        </w:rPr>
        <w:t xml:space="preserve"> cannot be estimated</w:t>
      </w:r>
      <w:r w:rsidRPr="00EB7A03">
        <w:rPr>
          <w:lang w:val="en-AU"/>
        </w:rPr>
        <w:t xml:space="preserve">. </w:t>
      </w:r>
      <w:r>
        <w:t xml:space="preserve"> </w:t>
      </w:r>
    </w:p>
    <w:p w14:paraId="52222F06" w14:textId="77777777" w:rsidR="00E00F26" w:rsidRDefault="00A63943" w:rsidP="00E00F26">
      <w:pPr>
        <w:pStyle w:val="BodyText"/>
        <w:spacing w:before="117" w:line="259" w:lineRule="auto"/>
      </w:pPr>
      <w:r w:rsidRPr="00545FD7">
        <w:t>Option 1 and 2 offer a standardised, consistent exposure assumption process in guidance that</w:t>
      </w:r>
      <w:r w:rsidRPr="00803BFE">
        <w:t xml:space="preserve"> require the applicant to read the guidance and input the existing data into a simple formula to calculate the SED. The SED is then used to calculate the M</w:t>
      </w:r>
      <w:r w:rsidR="0032674F" w:rsidRPr="00803BFE">
        <w:t>o</w:t>
      </w:r>
      <w:r w:rsidRPr="00803BFE">
        <w:t xml:space="preserve">S. </w:t>
      </w:r>
    </w:p>
    <w:p w14:paraId="39174348" w14:textId="77777777" w:rsidR="00E00F26" w:rsidRDefault="00A63943" w:rsidP="00E00F26">
      <w:pPr>
        <w:pStyle w:val="BodyText"/>
        <w:spacing w:before="117" w:line="259" w:lineRule="auto"/>
      </w:pPr>
      <w:r w:rsidRPr="00803BFE">
        <w:t>Option 1 offers the greatest consistency and certainty, Option 2 less</w:t>
      </w:r>
      <w:r w:rsidR="0032674F" w:rsidRPr="00803BFE">
        <w:t>, and</w:t>
      </w:r>
      <w:r w:rsidRPr="00803BFE">
        <w:t xml:space="preserve"> Option 3 the least. This is because</w:t>
      </w:r>
      <w:r w:rsidR="0032674F" w:rsidRPr="00803BFE">
        <w:t>:</w:t>
      </w:r>
      <w:r w:rsidR="00972C88" w:rsidRPr="00803BFE">
        <w:t xml:space="preserve"> </w:t>
      </w:r>
    </w:p>
    <w:p w14:paraId="04FFDCA1" w14:textId="72FEEEAC" w:rsidR="0032674F" w:rsidRPr="00C564D3" w:rsidRDefault="00A63943" w:rsidP="006D28D0">
      <w:pPr>
        <w:pStyle w:val="ListBullet-dotick"/>
        <w:numPr>
          <w:ilvl w:val="0"/>
          <w:numId w:val="47"/>
        </w:numPr>
      </w:pPr>
      <w:r w:rsidRPr="00803BFE">
        <w:t xml:space="preserve">Option 1 </w:t>
      </w:r>
      <w:r w:rsidRPr="00C564D3">
        <w:t>calculations for both method</w:t>
      </w:r>
      <w:r w:rsidR="0032674F" w:rsidRPr="00C564D3">
        <w:t>s</w:t>
      </w:r>
      <w:r w:rsidRPr="00C564D3">
        <w:t xml:space="preserve"> 1 and 2 result in very similar, if not the same</w:t>
      </w:r>
      <w:r w:rsidR="0032674F" w:rsidRPr="00C564D3">
        <w:t>,</w:t>
      </w:r>
      <w:r w:rsidRPr="00C564D3">
        <w:t xml:space="preserve"> M</w:t>
      </w:r>
      <w:r w:rsidR="0032674F" w:rsidRPr="00C564D3">
        <w:t>o</w:t>
      </w:r>
      <w:r w:rsidRPr="00C564D3">
        <w:t>S calculations based on the same safety data</w:t>
      </w:r>
    </w:p>
    <w:p w14:paraId="678FDD3E" w14:textId="629EF306" w:rsidR="0032674F" w:rsidRPr="00C564D3" w:rsidRDefault="00A63943" w:rsidP="006D28D0">
      <w:pPr>
        <w:pStyle w:val="ListBullet-dotick"/>
        <w:numPr>
          <w:ilvl w:val="0"/>
          <w:numId w:val="47"/>
        </w:numPr>
      </w:pPr>
      <w:r w:rsidRPr="00C564D3">
        <w:t>Option 2 can result in a</w:t>
      </w:r>
      <w:r w:rsidR="0032674F" w:rsidRPr="00C564D3">
        <w:t>pproximately a 5-fold</w:t>
      </w:r>
      <w:r w:rsidRPr="00C564D3">
        <w:t xml:space="preserve"> difference between method 1 and 2 calculations </w:t>
      </w:r>
    </w:p>
    <w:p w14:paraId="55E4741E" w14:textId="77777777" w:rsidR="0032674F" w:rsidRPr="00803BFE" w:rsidRDefault="00A63943" w:rsidP="006D28D0">
      <w:pPr>
        <w:pStyle w:val="ListBullet-dotick"/>
        <w:numPr>
          <w:ilvl w:val="0"/>
          <w:numId w:val="47"/>
        </w:numPr>
      </w:pPr>
      <w:r w:rsidRPr="00C564D3">
        <w:t>Option 3 is uncertain</w:t>
      </w:r>
      <w:r w:rsidRPr="00803BFE">
        <w:t xml:space="preserve"> and can vary case by case.</w:t>
      </w:r>
    </w:p>
    <w:p w14:paraId="0DB5BBC6" w14:textId="55A2CE5B" w:rsidR="00A63943" w:rsidRDefault="00A63943" w:rsidP="0032674F">
      <w:pPr>
        <w:pStyle w:val="BodyText"/>
        <w:spacing w:before="117" w:line="259" w:lineRule="auto"/>
      </w:pPr>
      <w:r>
        <w:t xml:space="preserve">A comparison of risk assessments using Option 1 and 2 and the real world evidence demonstrating the benefits of Option 1 compared to Option 2 were discussed in detail in Attachments 3 and 4 in the </w:t>
      </w:r>
      <w:hyperlink r:id="rId50" w:history="1">
        <w:r w:rsidRPr="00C8001B">
          <w:rPr>
            <w:rStyle w:val="Hyperlink"/>
          </w:rPr>
          <w:t>public consultation paper</w:t>
        </w:r>
      </w:hyperlink>
      <w:r>
        <w:t xml:space="preserve">.  </w:t>
      </w:r>
    </w:p>
    <w:p w14:paraId="0527A582" w14:textId="33F5E9E7" w:rsidR="007E268B" w:rsidRDefault="00F13D76" w:rsidP="007E268B">
      <w:pPr>
        <w:pStyle w:val="Heading3"/>
      </w:pPr>
      <w:bookmarkStart w:id="122" w:name="_Toc184730594"/>
      <w:r w:rsidRPr="009429F5">
        <w:t>Option 1</w:t>
      </w:r>
      <w:r>
        <w:t xml:space="preserve"> – </w:t>
      </w:r>
      <w:r w:rsidR="007E268B">
        <w:t>Australian Sunscreen Exposure Model (ASEM)</w:t>
      </w:r>
      <w:bookmarkEnd w:id="122"/>
    </w:p>
    <w:p w14:paraId="5D051CA1" w14:textId="2AF5FFC5" w:rsidR="007E268B" w:rsidRDefault="00C057F0" w:rsidP="00F47305">
      <w:pPr>
        <w:pStyle w:val="Heading4"/>
      </w:pPr>
      <w:bookmarkStart w:id="123" w:name="_Toc184730595"/>
      <w:r>
        <w:t>R</w:t>
      </w:r>
      <w:r w:rsidR="007E268B">
        <w:t>easons for Option 1</w:t>
      </w:r>
      <w:bookmarkEnd w:id="123"/>
    </w:p>
    <w:p w14:paraId="6701D64F" w14:textId="77777777" w:rsidR="009729DD" w:rsidRPr="00803BFE" w:rsidRDefault="009729DD" w:rsidP="006D28D0">
      <w:pPr>
        <w:pStyle w:val="ListBullet"/>
      </w:pPr>
      <w:r w:rsidRPr="00803BFE">
        <w:t xml:space="preserve">A standardised method for evaluating sunscreen ingredients reduces discrepancies in risk assessments. This uniform approach guarantees that ingredients are approved based on the same criteria, reducing and overcoming varied outcomes due to different types of data presented, such as those limitations observed with the </w:t>
      </w:r>
      <w:hyperlink w:anchor="_bookmark61" w:history="1">
        <w:r w:rsidRPr="00803BFE">
          <w:t>SCCS method 1 and method 2</w:t>
        </w:r>
      </w:hyperlink>
      <w:r w:rsidRPr="00803BFE">
        <w:t xml:space="preserve"> </w:t>
      </w:r>
      <w:hyperlink w:anchor="_bookmark61" w:history="1">
        <w:r w:rsidRPr="00803BFE">
          <w:t>calculations</w:t>
        </w:r>
      </w:hyperlink>
      <w:r w:rsidRPr="00803BFE">
        <w:t>. It levels the playing field for new ingredient applicants, providing regulatory consistency and certainty for ingredient evaluations, which facilitates the development and introduction of novel ingredients to the Australian market.</w:t>
      </w:r>
    </w:p>
    <w:p w14:paraId="4C878BC3" w14:textId="77777777" w:rsidR="009729DD" w:rsidRPr="00803BFE" w:rsidRDefault="009729DD" w:rsidP="006D28D0">
      <w:pPr>
        <w:pStyle w:val="ListBullet"/>
      </w:pPr>
      <w:r w:rsidRPr="00803BFE">
        <w:t>Evaluations are less likely to be contested, saving time and resources for all stakeholders involved in application decisions. This streamlined process reduces potential delays in introducing new sunscreen ingredients and alleviates the regulatory burden of the processes due to unnecessary contention.</w:t>
      </w:r>
    </w:p>
    <w:p w14:paraId="755EEBCA" w14:textId="77777777" w:rsidR="009729DD" w:rsidRPr="00803BFE" w:rsidRDefault="009729DD" w:rsidP="006D28D0">
      <w:pPr>
        <w:pStyle w:val="ListBullet"/>
      </w:pPr>
      <w:r w:rsidRPr="00803BFE">
        <w:t>The ASEM offers a simpler calculation to determine sunscreen exposure for regulatory purposes. This reduces the complexity of application dossiers that would simply be able to provide the absorption data and simple calculation, rather than discussing suitability in the Australian context or account for different age groups.</w:t>
      </w:r>
    </w:p>
    <w:p w14:paraId="2828335E" w14:textId="28C24221" w:rsidR="007E268B" w:rsidRPr="00803BFE" w:rsidRDefault="007E268B" w:rsidP="006D28D0">
      <w:pPr>
        <w:pStyle w:val="ListBullet"/>
      </w:pPr>
      <w:r w:rsidRPr="00803BFE">
        <w:t>The ASEM has been specifically developed for the Australian context, which has the highest incidence of skin cancer globally and a culture that enjoys outdoor activities. Consequently, Australians are advised to use sunscreen and other sun protection measures more diligently and regularly than in other countries with different circumstances. Moreover, the assessment of all therapeutic goods, including sunscreens, should be based on the amount they are used according to their directions to be effective. Therefore, the ASEM provides a model that accounts for these factors and ensures safety when used correctly. This approach bolsters confidence in sunscreen regulation and allows Australians to trust in using sunscreen as a daily UV</w:t>
      </w:r>
      <w:r w:rsidR="00B034D8" w:rsidRPr="00803BFE">
        <w:t>R</w:t>
      </w:r>
      <w:r w:rsidRPr="00803BFE">
        <w:t xml:space="preserve"> protective measure for the entire family.</w:t>
      </w:r>
    </w:p>
    <w:p w14:paraId="29475FB0" w14:textId="77777777" w:rsidR="007E268B" w:rsidRPr="00803BFE" w:rsidRDefault="007E268B" w:rsidP="006D28D0">
      <w:pPr>
        <w:pStyle w:val="ListBullet"/>
      </w:pPr>
      <w:r w:rsidRPr="00803BFE">
        <w:t xml:space="preserve">The ASEM is grounded in current </w:t>
      </w:r>
      <w:hyperlink w:anchor="_bookmark16" w:history="1">
        <w:r w:rsidRPr="00803BFE">
          <w:t>Australian evidence-based sunscreen use guidelines</w:t>
        </w:r>
      </w:hyperlink>
      <w:r w:rsidRPr="00803BFE">
        <w:t xml:space="preserve"> and </w:t>
      </w:r>
      <w:hyperlink w:anchor="_bookmark9" w:history="1">
        <w:r w:rsidRPr="00803BFE">
          <w:t>research.</w:t>
        </w:r>
      </w:hyperlink>
      <w:r w:rsidRPr="00803BFE">
        <w:t xml:space="preserve"> It models sunscreen exposure based on how sunscreens are directed to be used to achieve effective UV protection. The ASEM models exposure of a sunscreen application thickness of 2 mg/cm2 to attain the labelled SPF, and while this thickness may not be commonly applied by many Australians, it is supported by studies indicating that some participants do apply sunscreen at the correct thickness or even more. This is particularly significant for therapeutic sunscreens in Australia, which are allowed to claim they may assist in preventing some skin cancers, a claim not permitted for sunscreens in Europe where they are considered cosmetics. Use of the ASEM ensures that sunscreens are safe for use according to their instructions, supporting the claims of effectiveness and promoting regular, liberal application as a preventative measure against skin cancer.</w:t>
      </w:r>
    </w:p>
    <w:p w14:paraId="322EA1CE" w14:textId="4FAE1464" w:rsidR="007E268B" w:rsidRPr="00803BFE" w:rsidRDefault="007E268B" w:rsidP="006D28D0">
      <w:pPr>
        <w:pStyle w:val="ListBullet"/>
      </w:pPr>
      <w:r w:rsidRPr="00803BFE">
        <w:t>The ASEM’s reliance on current Australian guidelines means the model takes into account future expected sunscreen use, aligning with efforts</w:t>
      </w:r>
      <w:r w:rsidR="009729DD" w:rsidRPr="00803BFE">
        <w:t xml:space="preserve"> from government and non-government organisations</w:t>
      </w:r>
      <w:r w:rsidRPr="00803BFE">
        <w:t xml:space="preserve"> to promote the correct application of sunscreen</w:t>
      </w:r>
      <w:r w:rsidR="009729DD" w:rsidRPr="00803BFE">
        <w:t xml:space="preserve"> to prevent skin cancer</w:t>
      </w:r>
      <w:r w:rsidRPr="00803BFE">
        <w:t>.</w:t>
      </w:r>
    </w:p>
    <w:p w14:paraId="42021E86" w14:textId="77777777" w:rsidR="007E268B" w:rsidRPr="00803BFE" w:rsidRDefault="007E268B" w:rsidP="006D28D0">
      <w:pPr>
        <w:pStyle w:val="ListBullet"/>
      </w:pPr>
      <w:r w:rsidRPr="00803BFE">
        <w:t>Unlike the SCCS model, which uses for example, a single maximum daily use scenario (18 g/day) based on research from countries that are likely to have a very different context for sunscreen use than Australia, or a maximum full day at the beach daily use scenario (that would amount to ~140 mL application daily), the ASEM employs realistic highest-use Australian scenarios to model the diversity of regular daily use for adults and children. The ASEM caters to the safety of all Australians, especially frequent sunscreen users, while avoiding unnecessarily restricting effective sunscreen ingredients from the Australian market and guaranteeing assessments are fit for purpose.</w:t>
      </w:r>
    </w:p>
    <w:p w14:paraId="6659C77B" w14:textId="77777777" w:rsidR="007E268B" w:rsidRPr="00803BFE" w:rsidRDefault="007E268B" w:rsidP="006D28D0">
      <w:pPr>
        <w:pStyle w:val="ListBullet"/>
      </w:pPr>
      <w:r w:rsidRPr="00803BFE">
        <w:t>Recognising that systemic exposure to a sunscreen ingredient depends on the amount of skin it covers, and that individuals experience varying levels of exposure based on body weight, the ASEM employs skin surface area and body weights representative of the Australian population across all age groups. It places particular emphasis on safeguarding young children, who have the highest skin surface area relative to body weight, thereby affirming the safety of sunscreen use for the entire family in daily life, whether it be for work, school, or leisure activities.</w:t>
      </w:r>
    </w:p>
    <w:p w14:paraId="1DF9F014" w14:textId="1292C22D" w:rsidR="007E268B" w:rsidRDefault="00C057F0" w:rsidP="00F47305">
      <w:pPr>
        <w:pStyle w:val="Heading4"/>
      </w:pPr>
      <w:bookmarkStart w:id="124" w:name="_Toc184730596"/>
      <w:r>
        <w:t>R</w:t>
      </w:r>
      <w:r w:rsidR="007E268B">
        <w:t>easons against Option 1</w:t>
      </w:r>
      <w:bookmarkEnd w:id="124"/>
    </w:p>
    <w:p w14:paraId="187BE66A" w14:textId="77777777" w:rsidR="007E268B" w:rsidRPr="00E01AA1" w:rsidRDefault="007E268B" w:rsidP="006D28D0">
      <w:pPr>
        <w:pStyle w:val="ListBullet"/>
      </w:pPr>
      <w:r w:rsidRPr="00E01AA1">
        <w:t xml:space="preserve">This approach provides estimations of sunscreen use based on Australian evidence-based recommendations and limited research. </w:t>
      </w:r>
      <w:r w:rsidRPr="00F545D7">
        <w:t>However, it is important to note that actual comprehensive</w:t>
      </w:r>
      <w:r w:rsidRPr="00E01AA1">
        <w:t xml:space="preserve"> </w:t>
      </w:r>
      <w:r w:rsidRPr="00F545D7">
        <w:t>Australian</w:t>
      </w:r>
      <w:r w:rsidRPr="00E01AA1">
        <w:t xml:space="preserve"> </w:t>
      </w:r>
      <w:r w:rsidRPr="00F545D7">
        <w:t>sunscreen</w:t>
      </w:r>
      <w:r w:rsidRPr="00E01AA1">
        <w:t xml:space="preserve"> </w:t>
      </w:r>
      <w:r w:rsidRPr="00F545D7">
        <w:t>use</w:t>
      </w:r>
      <w:r w:rsidRPr="00E01AA1">
        <w:t xml:space="preserve"> </w:t>
      </w:r>
      <w:r w:rsidRPr="00F545D7">
        <w:t>data,</w:t>
      </w:r>
      <w:r w:rsidRPr="00E01AA1">
        <w:t xml:space="preserve"> </w:t>
      </w:r>
      <w:r w:rsidRPr="00F545D7">
        <w:t>combined</w:t>
      </w:r>
      <w:r w:rsidRPr="00E01AA1">
        <w:t xml:space="preserve"> </w:t>
      </w:r>
      <w:r w:rsidRPr="00F545D7">
        <w:t>with</w:t>
      </w:r>
      <w:r w:rsidRPr="00E01AA1">
        <w:t xml:space="preserve"> </w:t>
      </w:r>
      <w:r w:rsidRPr="00F545D7">
        <w:t>these</w:t>
      </w:r>
      <w:r w:rsidRPr="00E01AA1">
        <w:t xml:space="preserve"> </w:t>
      </w:r>
      <w:r w:rsidRPr="00F545D7">
        <w:t>recommendations,</w:t>
      </w:r>
      <w:r w:rsidRPr="00E01AA1">
        <w:t xml:space="preserve"> </w:t>
      </w:r>
      <w:r w:rsidRPr="00F545D7">
        <w:t>would provide a more robust model for estimating highest-use exposure in the Australian context. While</w:t>
      </w:r>
      <w:r w:rsidRPr="00E01AA1">
        <w:t xml:space="preserve"> </w:t>
      </w:r>
      <w:r w:rsidRPr="00F545D7">
        <w:t>gathering</w:t>
      </w:r>
      <w:r w:rsidRPr="00E01AA1">
        <w:t xml:space="preserve"> </w:t>
      </w:r>
      <w:r w:rsidRPr="00F545D7">
        <w:t>such</w:t>
      </w:r>
      <w:r w:rsidRPr="00E01AA1">
        <w:t xml:space="preserve"> </w:t>
      </w:r>
      <w:r w:rsidRPr="00F545D7">
        <w:t>extensive</w:t>
      </w:r>
      <w:r w:rsidRPr="00E01AA1">
        <w:t xml:space="preserve"> </w:t>
      </w:r>
      <w:r w:rsidRPr="00F545D7">
        <w:t>data</w:t>
      </w:r>
      <w:r w:rsidRPr="00E01AA1">
        <w:t xml:space="preserve"> </w:t>
      </w:r>
      <w:r w:rsidRPr="00F545D7">
        <w:t>that</w:t>
      </w:r>
      <w:r w:rsidRPr="00E01AA1">
        <w:t xml:space="preserve"> </w:t>
      </w:r>
      <w:r w:rsidRPr="00F545D7">
        <w:t>would</w:t>
      </w:r>
      <w:r w:rsidRPr="00E01AA1">
        <w:t xml:space="preserve"> </w:t>
      </w:r>
      <w:r w:rsidRPr="00F545D7">
        <w:t>be</w:t>
      </w:r>
      <w:r w:rsidRPr="00E01AA1">
        <w:t xml:space="preserve"> </w:t>
      </w:r>
      <w:r w:rsidRPr="00F545D7">
        <w:t>statistically</w:t>
      </w:r>
      <w:r w:rsidRPr="00E01AA1">
        <w:t xml:space="preserve"> </w:t>
      </w:r>
      <w:r w:rsidRPr="00F545D7">
        <w:t>representative</w:t>
      </w:r>
      <w:r w:rsidRPr="00E01AA1">
        <w:t xml:space="preserve"> </w:t>
      </w:r>
      <w:r w:rsidRPr="00F545D7">
        <w:t>of</w:t>
      </w:r>
      <w:r w:rsidRPr="00E01AA1">
        <w:t xml:space="preserve"> </w:t>
      </w:r>
      <w:r w:rsidRPr="00F545D7">
        <w:t>all</w:t>
      </w:r>
      <w:r w:rsidRPr="00E01AA1">
        <w:t xml:space="preserve"> </w:t>
      </w:r>
      <w:r w:rsidRPr="00F545D7">
        <w:t>Australians poses challenges, the ASEM scenarios and variables are derived from the best available information to date.</w:t>
      </w:r>
    </w:p>
    <w:p w14:paraId="64433E5B" w14:textId="77777777" w:rsidR="007E268B" w:rsidRPr="00F545D7" w:rsidRDefault="007E268B" w:rsidP="006D28D0">
      <w:pPr>
        <w:pStyle w:val="ListBullet"/>
        <w:rPr>
          <w:rFonts w:ascii="Symbol" w:hAnsi="Symbol"/>
          <w:color w:val="333E47"/>
        </w:rPr>
      </w:pPr>
      <w:bookmarkStart w:id="125" w:name="_Hlk177118932"/>
      <w:r w:rsidRPr="00F545D7">
        <w:t>The formal adoption of ASEM would not align with international jurisdictions that use the SCCS estimation of sunscreen use for risk assessments. This could lead to discrepancies where</w:t>
      </w:r>
      <w:r w:rsidRPr="00F545D7">
        <w:rPr>
          <w:spacing w:val="-4"/>
        </w:rPr>
        <w:t xml:space="preserve"> </w:t>
      </w:r>
      <w:r w:rsidRPr="00F545D7">
        <w:t>certain</w:t>
      </w:r>
      <w:r w:rsidRPr="00F545D7">
        <w:rPr>
          <w:spacing w:val="-4"/>
        </w:rPr>
        <w:t xml:space="preserve"> </w:t>
      </w:r>
      <w:r w:rsidRPr="00F545D7">
        <w:t>sunscreen</w:t>
      </w:r>
      <w:r w:rsidRPr="00F545D7">
        <w:rPr>
          <w:spacing w:val="-2"/>
        </w:rPr>
        <w:t xml:space="preserve"> </w:t>
      </w:r>
      <w:r w:rsidRPr="00F545D7">
        <w:t>ingredients</w:t>
      </w:r>
      <w:r w:rsidRPr="00F545D7">
        <w:rPr>
          <w:spacing w:val="-3"/>
        </w:rPr>
        <w:t xml:space="preserve"> </w:t>
      </w:r>
      <w:r w:rsidRPr="00F545D7">
        <w:t>are</w:t>
      </w:r>
      <w:r w:rsidRPr="00F545D7">
        <w:rPr>
          <w:spacing w:val="-2"/>
        </w:rPr>
        <w:t xml:space="preserve"> </w:t>
      </w:r>
      <w:r w:rsidRPr="00F545D7">
        <w:t>permitted</w:t>
      </w:r>
      <w:r w:rsidRPr="00F545D7">
        <w:rPr>
          <w:spacing w:val="-2"/>
        </w:rPr>
        <w:t xml:space="preserve"> </w:t>
      </w:r>
      <w:r w:rsidRPr="00F545D7">
        <w:t>overseas</w:t>
      </w:r>
      <w:r w:rsidRPr="00F545D7">
        <w:rPr>
          <w:spacing w:val="-3"/>
        </w:rPr>
        <w:t xml:space="preserve"> </w:t>
      </w:r>
      <w:r w:rsidRPr="00F545D7">
        <w:t>but</w:t>
      </w:r>
      <w:r w:rsidRPr="00F545D7">
        <w:rPr>
          <w:spacing w:val="-4"/>
        </w:rPr>
        <w:t xml:space="preserve"> </w:t>
      </w:r>
      <w:r w:rsidRPr="00F545D7">
        <w:t>restricted</w:t>
      </w:r>
      <w:r w:rsidRPr="00F545D7">
        <w:rPr>
          <w:spacing w:val="-4"/>
        </w:rPr>
        <w:t xml:space="preserve"> </w:t>
      </w:r>
      <w:r w:rsidRPr="00F545D7">
        <w:t>or</w:t>
      </w:r>
      <w:r w:rsidRPr="00F545D7">
        <w:rPr>
          <w:spacing w:val="-1"/>
        </w:rPr>
        <w:t xml:space="preserve"> </w:t>
      </w:r>
      <w:r w:rsidRPr="00F545D7">
        <w:t>limited</w:t>
      </w:r>
      <w:r w:rsidRPr="00F545D7">
        <w:rPr>
          <w:spacing w:val="-4"/>
        </w:rPr>
        <w:t xml:space="preserve"> </w:t>
      </w:r>
      <w:r w:rsidRPr="00F545D7">
        <w:t>to</w:t>
      </w:r>
      <w:r w:rsidRPr="00F545D7">
        <w:rPr>
          <w:spacing w:val="-2"/>
        </w:rPr>
        <w:t xml:space="preserve"> </w:t>
      </w:r>
      <w:r w:rsidRPr="00F545D7">
        <w:t xml:space="preserve">lower or higher maximum concentrations in therapeutic sunscreens in Australia. </w:t>
      </w:r>
      <w:bookmarkEnd w:id="125"/>
      <w:r w:rsidRPr="00F545D7">
        <w:t>While the TGA recognises</w:t>
      </w:r>
      <w:r w:rsidRPr="00F545D7">
        <w:rPr>
          <w:spacing w:val="-4"/>
        </w:rPr>
        <w:t xml:space="preserve"> </w:t>
      </w:r>
      <w:r w:rsidRPr="00F545D7">
        <w:t>the</w:t>
      </w:r>
      <w:r w:rsidRPr="00F545D7">
        <w:rPr>
          <w:spacing w:val="-3"/>
        </w:rPr>
        <w:t xml:space="preserve"> </w:t>
      </w:r>
      <w:r w:rsidRPr="00F545D7">
        <w:t>SCCS</w:t>
      </w:r>
      <w:r w:rsidRPr="00F545D7">
        <w:rPr>
          <w:spacing w:val="-6"/>
        </w:rPr>
        <w:t xml:space="preserve"> </w:t>
      </w:r>
      <w:r w:rsidRPr="00F545D7">
        <w:t>as</w:t>
      </w:r>
      <w:r w:rsidRPr="00F545D7">
        <w:rPr>
          <w:spacing w:val="-4"/>
        </w:rPr>
        <w:t xml:space="preserve"> </w:t>
      </w:r>
      <w:r w:rsidRPr="00F545D7">
        <w:t xml:space="preserve">a </w:t>
      </w:r>
      <w:hyperlink r:id="rId51">
        <w:r w:rsidRPr="00F545D7">
          <w:rPr>
            <w:color w:val="0000FF"/>
            <w:u w:val="single" w:color="0000FF"/>
          </w:rPr>
          <w:t>Comparable</w:t>
        </w:r>
        <w:r w:rsidRPr="00F545D7">
          <w:rPr>
            <w:color w:val="0000FF"/>
            <w:spacing w:val="-5"/>
            <w:u w:val="single" w:color="0000FF"/>
          </w:rPr>
          <w:t xml:space="preserve"> </w:t>
        </w:r>
        <w:r w:rsidRPr="00F545D7">
          <w:rPr>
            <w:color w:val="0000FF"/>
            <w:u w:val="single" w:color="0000FF"/>
          </w:rPr>
          <w:t>Overseas</w:t>
        </w:r>
        <w:r w:rsidRPr="00F545D7">
          <w:rPr>
            <w:color w:val="0000FF"/>
            <w:spacing w:val="-1"/>
            <w:u w:val="single" w:color="0000FF"/>
          </w:rPr>
          <w:t xml:space="preserve"> </w:t>
        </w:r>
        <w:r w:rsidRPr="00F545D7">
          <w:rPr>
            <w:color w:val="0000FF"/>
            <w:u w:val="single" w:color="0000FF"/>
          </w:rPr>
          <w:t>Body</w:t>
        </w:r>
      </w:hyperlink>
      <w:r w:rsidRPr="00F545D7">
        <w:rPr>
          <w:color w:val="0000FF"/>
          <w:spacing w:val="-3"/>
        </w:rPr>
        <w:t xml:space="preserve"> </w:t>
      </w:r>
      <w:r w:rsidRPr="00F545D7">
        <w:t>(COB)</w:t>
      </w:r>
      <w:r w:rsidRPr="00F545D7">
        <w:rPr>
          <w:spacing w:val="-4"/>
        </w:rPr>
        <w:t xml:space="preserve"> </w:t>
      </w:r>
      <w:r w:rsidRPr="00F545D7">
        <w:t>where</w:t>
      </w:r>
      <w:r w:rsidRPr="00F545D7">
        <w:rPr>
          <w:spacing w:val="-3"/>
        </w:rPr>
        <w:t xml:space="preserve"> </w:t>
      </w:r>
      <w:r w:rsidRPr="00F545D7">
        <w:t>evaluation</w:t>
      </w:r>
      <w:r w:rsidRPr="00F545D7">
        <w:rPr>
          <w:spacing w:val="-5"/>
        </w:rPr>
        <w:t xml:space="preserve"> </w:t>
      </w:r>
      <w:r w:rsidRPr="00F545D7">
        <w:t>reports</w:t>
      </w:r>
      <w:r w:rsidRPr="00F545D7">
        <w:rPr>
          <w:spacing w:val="-4"/>
        </w:rPr>
        <w:t xml:space="preserve"> </w:t>
      </w:r>
      <w:r w:rsidRPr="00F545D7">
        <w:t xml:space="preserve">can be used for abridged evaluations, </w:t>
      </w:r>
      <w:r w:rsidRPr="00F545D7">
        <w:rPr>
          <w:color w:val="333E47"/>
        </w:rPr>
        <w:t xml:space="preserve">the </w:t>
      </w:r>
      <w:hyperlink r:id="rId52">
        <w:r w:rsidRPr="00F545D7">
          <w:rPr>
            <w:color w:val="0000FF"/>
            <w:u w:val="single" w:color="0000FF"/>
          </w:rPr>
          <w:t>Guidance on using evaluation reports from COBs</w:t>
        </w:r>
      </w:hyperlink>
      <w:r w:rsidRPr="00F545D7">
        <w:rPr>
          <w:color w:val="0000FF"/>
        </w:rPr>
        <w:t xml:space="preserve"> </w:t>
      </w:r>
      <w:r w:rsidRPr="00F545D7">
        <w:rPr>
          <w:color w:val="333E47"/>
        </w:rPr>
        <w:t xml:space="preserve">clarifies that that use of a product or substance in the Australian context may differ from </w:t>
      </w:r>
      <w:r w:rsidRPr="00F545D7">
        <w:t xml:space="preserve">international use. The guidance further clarifies that the TGA retains the final regulatory decision to ensure safety, quality, and efficacy in accordance with the Australian regulatory </w:t>
      </w:r>
      <w:r w:rsidRPr="00F545D7">
        <w:rPr>
          <w:spacing w:val="-2"/>
        </w:rPr>
        <w:t>framework.</w:t>
      </w:r>
    </w:p>
    <w:p w14:paraId="760D9CAC" w14:textId="4B81B858" w:rsidR="00F13D76" w:rsidRDefault="00F13D76" w:rsidP="00F13D76">
      <w:pPr>
        <w:pStyle w:val="Heading3"/>
      </w:pPr>
      <w:bookmarkStart w:id="126" w:name="_Toc184730597"/>
      <w:r>
        <w:t>Option 2 – SCCS sunscreen exposure model</w:t>
      </w:r>
      <w:bookmarkEnd w:id="126"/>
    </w:p>
    <w:p w14:paraId="2673DAB1" w14:textId="15E89941" w:rsidR="00C3563A" w:rsidRDefault="00C057F0" w:rsidP="00F47305">
      <w:pPr>
        <w:pStyle w:val="Heading4"/>
      </w:pPr>
      <w:bookmarkStart w:id="127" w:name="_Toc184730598"/>
      <w:r>
        <w:t>R</w:t>
      </w:r>
      <w:r w:rsidR="007A3C5E">
        <w:t>easons for Option 2</w:t>
      </w:r>
      <w:bookmarkEnd w:id="127"/>
    </w:p>
    <w:p w14:paraId="6EDE2327" w14:textId="77777777" w:rsidR="002D790E" w:rsidRPr="002D790E" w:rsidRDefault="002D790E" w:rsidP="006D28D0">
      <w:pPr>
        <w:pStyle w:val="ListBullet"/>
        <w:rPr>
          <w:rFonts w:ascii="Symbol" w:hAnsi="Symbol"/>
        </w:rPr>
      </w:pPr>
      <w:r w:rsidRPr="002D790E">
        <w:t>The</w:t>
      </w:r>
      <w:r w:rsidRPr="002D790E">
        <w:rPr>
          <w:spacing w:val="-4"/>
        </w:rPr>
        <w:t xml:space="preserve"> </w:t>
      </w:r>
      <w:r w:rsidRPr="002D790E">
        <w:t>SCCS</w:t>
      </w:r>
      <w:r w:rsidRPr="002D790E">
        <w:rPr>
          <w:spacing w:val="-2"/>
        </w:rPr>
        <w:t xml:space="preserve"> </w:t>
      </w:r>
      <w:r w:rsidRPr="002D790E">
        <w:t>model</w:t>
      </w:r>
      <w:r w:rsidRPr="002D790E">
        <w:rPr>
          <w:spacing w:val="-3"/>
        </w:rPr>
        <w:t xml:space="preserve"> </w:t>
      </w:r>
      <w:r w:rsidRPr="002D790E">
        <w:t>is</w:t>
      </w:r>
      <w:r w:rsidRPr="002D790E">
        <w:rPr>
          <w:spacing w:val="-3"/>
        </w:rPr>
        <w:t xml:space="preserve"> </w:t>
      </w:r>
      <w:r w:rsidRPr="002D790E">
        <w:t>recognised</w:t>
      </w:r>
      <w:r w:rsidRPr="002D790E">
        <w:rPr>
          <w:spacing w:val="-4"/>
        </w:rPr>
        <w:t xml:space="preserve"> </w:t>
      </w:r>
      <w:r w:rsidRPr="002D790E">
        <w:t>by</w:t>
      </w:r>
      <w:r w:rsidRPr="002D790E">
        <w:rPr>
          <w:spacing w:val="-1"/>
        </w:rPr>
        <w:t xml:space="preserve"> </w:t>
      </w:r>
      <w:r w:rsidRPr="002D790E">
        <w:t>European</w:t>
      </w:r>
      <w:r w:rsidRPr="002D790E">
        <w:rPr>
          <w:spacing w:val="-4"/>
        </w:rPr>
        <w:t xml:space="preserve"> </w:t>
      </w:r>
      <w:r w:rsidRPr="002D790E">
        <w:t>nations</w:t>
      </w:r>
      <w:r w:rsidRPr="002D790E">
        <w:rPr>
          <w:spacing w:val="-3"/>
        </w:rPr>
        <w:t xml:space="preserve"> </w:t>
      </w:r>
      <w:r w:rsidRPr="002D790E">
        <w:t>and</w:t>
      </w:r>
      <w:r w:rsidRPr="002D790E">
        <w:rPr>
          <w:spacing w:val="-4"/>
        </w:rPr>
        <w:t xml:space="preserve"> </w:t>
      </w:r>
      <w:r w:rsidRPr="002D790E">
        <w:t>other</w:t>
      </w:r>
      <w:r w:rsidRPr="002D790E">
        <w:rPr>
          <w:spacing w:val="-3"/>
        </w:rPr>
        <w:t xml:space="preserve"> </w:t>
      </w:r>
      <w:r w:rsidRPr="002D790E">
        <w:t>international</w:t>
      </w:r>
      <w:r w:rsidRPr="002D790E">
        <w:rPr>
          <w:spacing w:val="-5"/>
        </w:rPr>
        <w:t xml:space="preserve"> </w:t>
      </w:r>
      <w:r w:rsidRPr="002D790E">
        <w:t>regions</w:t>
      </w:r>
      <w:r w:rsidRPr="002D790E">
        <w:rPr>
          <w:spacing w:val="-3"/>
        </w:rPr>
        <w:t xml:space="preserve"> </w:t>
      </w:r>
      <w:r w:rsidRPr="002D790E">
        <w:t>where sunscreens are regulated as cosmetic products. Adopting the SCCS model would align regulatory risk assessments of sunscreen ingredients with these international jurisdictions.</w:t>
      </w:r>
    </w:p>
    <w:p w14:paraId="5AF78301" w14:textId="77777777" w:rsidR="002D790E" w:rsidRPr="002D790E" w:rsidRDefault="002D790E" w:rsidP="006D28D0">
      <w:pPr>
        <w:pStyle w:val="ListBullet"/>
        <w:rPr>
          <w:rFonts w:ascii="Symbol" w:hAnsi="Symbol"/>
          <w:color w:val="333E47"/>
        </w:rPr>
      </w:pPr>
      <w:r w:rsidRPr="002D790E">
        <w:t xml:space="preserve">The SCCS model has been employed in previous TGA assessments and the current </w:t>
      </w:r>
      <w:hyperlink r:id="rId53">
        <w:r w:rsidRPr="002D790E">
          <w:rPr>
            <w:color w:val="0000FF"/>
            <w:u w:val="single" w:color="0000FF"/>
          </w:rPr>
          <w:t>Application requirements for new substances in listed medicines</w:t>
        </w:r>
      </w:hyperlink>
      <w:r w:rsidRPr="002D790E">
        <w:rPr>
          <w:color w:val="0000FF"/>
        </w:rPr>
        <w:t xml:space="preserve"> </w:t>
      </w:r>
      <w:r w:rsidRPr="002D790E">
        <w:t>(ARNS) guidance recommends</w:t>
      </w:r>
      <w:r w:rsidRPr="002D790E">
        <w:rPr>
          <w:spacing w:val="-4"/>
        </w:rPr>
        <w:t xml:space="preserve"> </w:t>
      </w:r>
      <w:r w:rsidRPr="002D790E">
        <w:t>using</w:t>
      </w:r>
      <w:r w:rsidRPr="002D790E">
        <w:rPr>
          <w:spacing w:val="-3"/>
        </w:rPr>
        <w:t xml:space="preserve"> </w:t>
      </w:r>
      <w:r w:rsidRPr="002D790E">
        <w:t>appropriate</w:t>
      </w:r>
      <w:r w:rsidRPr="002D790E">
        <w:rPr>
          <w:spacing w:val="-3"/>
        </w:rPr>
        <w:t xml:space="preserve"> </w:t>
      </w:r>
      <w:r w:rsidRPr="002D790E">
        <w:t>dermal</w:t>
      </w:r>
      <w:r w:rsidRPr="002D790E">
        <w:rPr>
          <w:spacing w:val="-3"/>
        </w:rPr>
        <w:t xml:space="preserve"> </w:t>
      </w:r>
      <w:r w:rsidRPr="002D790E">
        <w:t>exposure</w:t>
      </w:r>
      <w:r w:rsidRPr="002D790E">
        <w:rPr>
          <w:spacing w:val="-3"/>
        </w:rPr>
        <w:t xml:space="preserve"> </w:t>
      </w:r>
      <w:r w:rsidRPr="002D790E">
        <w:t>models</w:t>
      </w:r>
      <w:r w:rsidRPr="002D790E">
        <w:rPr>
          <w:spacing w:val="-4"/>
        </w:rPr>
        <w:t xml:space="preserve"> </w:t>
      </w:r>
      <w:r w:rsidRPr="002D790E">
        <w:t>from</w:t>
      </w:r>
      <w:r w:rsidRPr="002D790E">
        <w:rPr>
          <w:spacing w:val="-5"/>
        </w:rPr>
        <w:t xml:space="preserve"> </w:t>
      </w:r>
      <w:r w:rsidRPr="002D790E">
        <w:t>the</w:t>
      </w:r>
      <w:r w:rsidRPr="002D790E">
        <w:rPr>
          <w:spacing w:val="-3"/>
        </w:rPr>
        <w:t xml:space="preserve"> </w:t>
      </w:r>
      <w:r w:rsidRPr="002D790E">
        <w:t>SCCS's</w:t>
      </w:r>
      <w:r w:rsidRPr="002D790E">
        <w:rPr>
          <w:spacing w:val="-4"/>
        </w:rPr>
        <w:t xml:space="preserve"> </w:t>
      </w:r>
      <w:r w:rsidRPr="002D790E">
        <w:t>11</w:t>
      </w:r>
      <w:r w:rsidRPr="002D790E">
        <w:rPr>
          <w:position w:val="6"/>
          <w:sz w:val="13"/>
        </w:rPr>
        <w:t>th</w:t>
      </w:r>
      <w:r w:rsidRPr="002D790E">
        <w:rPr>
          <w:spacing w:val="14"/>
          <w:position w:val="6"/>
          <w:sz w:val="13"/>
        </w:rPr>
        <w:t xml:space="preserve"> </w:t>
      </w:r>
      <w:r w:rsidRPr="002D790E">
        <w:t xml:space="preserve">revision guidance </w:t>
      </w:r>
      <w:r w:rsidRPr="002D790E">
        <w:rPr>
          <w:color w:val="333E47"/>
        </w:rPr>
        <w:t>to calculate the maximum daily exposure for dermally applied ingredients.</w:t>
      </w:r>
    </w:p>
    <w:p w14:paraId="6469B6AC" w14:textId="77777777" w:rsidR="002D790E" w:rsidRPr="002D790E" w:rsidRDefault="002D790E" w:rsidP="006D28D0">
      <w:pPr>
        <w:pStyle w:val="ListBullet"/>
        <w:rPr>
          <w:rFonts w:ascii="Symbol" w:hAnsi="Symbol"/>
          <w:color w:val="333E47"/>
        </w:rPr>
      </w:pPr>
      <w:r w:rsidRPr="002D790E">
        <w:t xml:space="preserve">The SCCS is recognised by the TGA as a </w:t>
      </w:r>
      <w:hyperlink r:id="rId54">
        <w:r w:rsidRPr="002D790E">
          <w:rPr>
            <w:color w:val="0000FF"/>
            <w:u w:val="single" w:color="0000FF"/>
          </w:rPr>
          <w:t>Comparable Overseas Body</w:t>
        </w:r>
      </w:hyperlink>
      <w:r w:rsidRPr="002D790E">
        <w:rPr>
          <w:color w:val="0000FF"/>
        </w:rPr>
        <w:t xml:space="preserve"> </w:t>
      </w:r>
      <w:r w:rsidRPr="002D790E">
        <w:t xml:space="preserve">(COB) where evaluation reports can be used for abridged evaluations. However </w:t>
      </w:r>
      <w:r w:rsidRPr="002D790E">
        <w:rPr>
          <w:color w:val="333E47"/>
        </w:rPr>
        <w:t xml:space="preserve">the </w:t>
      </w:r>
      <w:hyperlink r:id="rId55">
        <w:r w:rsidRPr="002D790E">
          <w:rPr>
            <w:color w:val="0000FF"/>
            <w:u w:val="single" w:color="0000FF"/>
          </w:rPr>
          <w:t>Guidance on using</w:t>
        </w:r>
      </w:hyperlink>
      <w:r w:rsidRPr="002D790E">
        <w:rPr>
          <w:color w:val="0000FF"/>
        </w:rPr>
        <w:t xml:space="preserve"> </w:t>
      </w:r>
      <w:hyperlink r:id="rId56">
        <w:r w:rsidRPr="002D790E">
          <w:rPr>
            <w:color w:val="0000FF"/>
            <w:u w:val="single" w:color="0000FF"/>
          </w:rPr>
          <w:t>evaluation</w:t>
        </w:r>
        <w:r w:rsidRPr="002D790E">
          <w:rPr>
            <w:color w:val="0000FF"/>
            <w:spacing w:val="-4"/>
            <w:u w:val="single" w:color="0000FF"/>
          </w:rPr>
          <w:t xml:space="preserve"> </w:t>
        </w:r>
        <w:r w:rsidRPr="002D790E">
          <w:rPr>
            <w:color w:val="0000FF"/>
            <w:u w:val="single" w:color="0000FF"/>
          </w:rPr>
          <w:t>reports</w:t>
        </w:r>
        <w:r w:rsidRPr="002D790E">
          <w:rPr>
            <w:color w:val="0000FF"/>
            <w:spacing w:val="-3"/>
            <w:u w:val="single" w:color="0000FF"/>
          </w:rPr>
          <w:t xml:space="preserve"> </w:t>
        </w:r>
        <w:r w:rsidRPr="002D790E">
          <w:rPr>
            <w:color w:val="0000FF"/>
            <w:u w:val="single" w:color="0000FF"/>
          </w:rPr>
          <w:t>from</w:t>
        </w:r>
        <w:r w:rsidRPr="002D790E">
          <w:rPr>
            <w:color w:val="0000FF"/>
            <w:spacing w:val="-2"/>
            <w:u w:val="single" w:color="0000FF"/>
          </w:rPr>
          <w:t xml:space="preserve"> </w:t>
        </w:r>
        <w:r w:rsidRPr="002D790E">
          <w:rPr>
            <w:color w:val="0000FF"/>
            <w:u w:val="single" w:color="0000FF"/>
          </w:rPr>
          <w:t>COBs</w:t>
        </w:r>
      </w:hyperlink>
      <w:r w:rsidRPr="002D790E">
        <w:rPr>
          <w:color w:val="0000FF"/>
          <w:spacing w:val="-2"/>
        </w:rPr>
        <w:t xml:space="preserve"> </w:t>
      </w:r>
      <w:r w:rsidRPr="002D790E">
        <w:rPr>
          <w:color w:val="333E47"/>
        </w:rPr>
        <w:t>clarifies</w:t>
      </w:r>
      <w:r w:rsidRPr="002D790E">
        <w:rPr>
          <w:color w:val="333E47"/>
          <w:spacing w:val="-3"/>
        </w:rPr>
        <w:t xml:space="preserve"> </w:t>
      </w:r>
      <w:r w:rsidRPr="002D790E">
        <w:rPr>
          <w:color w:val="333E47"/>
        </w:rPr>
        <w:t>that</w:t>
      </w:r>
      <w:r w:rsidRPr="002D790E">
        <w:rPr>
          <w:color w:val="333E47"/>
          <w:spacing w:val="-4"/>
        </w:rPr>
        <w:t xml:space="preserve"> </w:t>
      </w:r>
      <w:r w:rsidRPr="002D790E">
        <w:rPr>
          <w:color w:val="333E47"/>
        </w:rPr>
        <w:t>that</w:t>
      </w:r>
      <w:r w:rsidRPr="002D790E">
        <w:rPr>
          <w:color w:val="333E47"/>
          <w:spacing w:val="-2"/>
        </w:rPr>
        <w:t xml:space="preserve"> </w:t>
      </w:r>
      <w:r w:rsidRPr="002D790E">
        <w:rPr>
          <w:color w:val="333E47"/>
        </w:rPr>
        <w:t>use</w:t>
      </w:r>
      <w:r w:rsidRPr="002D790E">
        <w:rPr>
          <w:color w:val="333E47"/>
          <w:spacing w:val="-4"/>
        </w:rPr>
        <w:t xml:space="preserve"> </w:t>
      </w:r>
      <w:r w:rsidRPr="002D790E">
        <w:rPr>
          <w:color w:val="333E47"/>
        </w:rPr>
        <w:t>of a</w:t>
      </w:r>
      <w:r w:rsidRPr="002D790E">
        <w:rPr>
          <w:color w:val="333E47"/>
          <w:spacing w:val="-4"/>
        </w:rPr>
        <w:t xml:space="preserve"> </w:t>
      </w:r>
      <w:r w:rsidRPr="002D790E">
        <w:rPr>
          <w:color w:val="333E47"/>
        </w:rPr>
        <w:t>product</w:t>
      </w:r>
      <w:r w:rsidRPr="002D790E">
        <w:rPr>
          <w:color w:val="333E47"/>
          <w:spacing w:val="-4"/>
        </w:rPr>
        <w:t xml:space="preserve"> </w:t>
      </w:r>
      <w:r w:rsidRPr="002D790E">
        <w:rPr>
          <w:color w:val="333E47"/>
        </w:rPr>
        <w:t>or</w:t>
      </w:r>
      <w:r w:rsidRPr="002D790E">
        <w:rPr>
          <w:color w:val="333E47"/>
          <w:spacing w:val="-3"/>
        </w:rPr>
        <w:t xml:space="preserve"> </w:t>
      </w:r>
      <w:r w:rsidRPr="002D790E">
        <w:rPr>
          <w:color w:val="333E47"/>
        </w:rPr>
        <w:t>substance</w:t>
      </w:r>
      <w:r w:rsidRPr="002D790E">
        <w:rPr>
          <w:color w:val="333E47"/>
          <w:spacing w:val="-4"/>
        </w:rPr>
        <w:t xml:space="preserve"> </w:t>
      </w:r>
      <w:r w:rsidRPr="002D790E">
        <w:rPr>
          <w:color w:val="333E47"/>
        </w:rPr>
        <w:t>in</w:t>
      </w:r>
      <w:r w:rsidRPr="002D790E">
        <w:rPr>
          <w:color w:val="333E47"/>
          <w:spacing w:val="-4"/>
        </w:rPr>
        <w:t xml:space="preserve"> </w:t>
      </w:r>
      <w:r w:rsidRPr="002D790E">
        <w:rPr>
          <w:color w:val="333E47"/>
        </w:rPr>
        <w:t>the</w:t>
      </w:r>
      <w:r w:rsidRPr="002D790E">
        <w:rPr>
          <w:color w:val="333E47"/>
          <w:spacing w:val="-4"/>
        </w:rPr>
        <w:t xml:space="preserve"> </w:t>
      </w:r>
      <w:r w:rsidRPr="002D790E">
        <w:rPr>
          <w:color w:val="333E47"/>
        </w:rPr>
        <w:t xml:space="preserve">Australian context may differ from </w:t>
      </w:r>
      <w:r w:rsidRPr="002D790E">
        <w:t>international use and the TGA retains the final regulatory decision to ensure safety, quality, and efficacy in accordance with the Australian regulatory framework.</w:t>
      </w:r>
    </w:p>
    <w:p w14:paraId="4691C13F" w14:textId="77777777" w:rsidR="002D790E" w:rsidRPr="002D790E" w:rsidRDefault="002D790E" w:rsidP="006D28D0">
      <w:pPr>
        <w:pStyle w:val="ListBullet"/>
        <w:rPr>
          <w:rFonts w:ascii="Symbol" w:hAnsi="Symbol"/>
        </w:rPr>
      </w:pPr>
      <w:r w:rsidRPr="002D790E">
        <w:t>Evaluations may be less prone to being challenged/contested, reducing time and resources expended by all stakeholders in debating application decisions that are not based on a consistent methodology. This reduces potential delay of the introduction of new sunscreen ingredients</w:t>
      </w:r>
      <w:r w:rsidRPr="002D790E">
        <w:rPr>
          <w:spacing w:val="-4"/>
        </w:rPr>
        <w:t xml:space="preserve"> </w:t>
      </w:r>
      <w:r w:rsidRPr="002D790E">
        <w:t>but</w:t>
      </w:r>
      <w:r w:rsidRPr="002D790E">
        <w:rPr>
          <w:spacing w:val="-4"/>
        </w:rPr>
        <w:t xml:space="preserve"> </w:t>
      </w:r>
      <w:r w:rsidRPr="002D790E">
        <w:t>and</w:t>
      </w:r>
      <w:r w:rsidRPr="002D790E">
        <w:rPr>
          <w:spacing w:val="-5"/>
        </w:rPr>
        <w:t xml:space="preserve"> </w:t>
      </w:r>
      <w:r w:rsidRPr="002D790E">
        <w:t>reduces</w:t>
      </w:r>
      <w:r w:rsidRPr="002D790E">
        <w:rPr>
          <w:spacing w:val="-4"/>
        </w:rPr>
        <w:t xml:space="preserve"> </w:t>
      </w:r>
      <w:r w:rsidRPr="002D790E">
        <w:t>burden</w:t>
      </w:r>
      <w:r w:rsidRPr="002D790E">
        <w:rPr>
          <w:spacing w:val="-3"/>
        </w:rPr>
        <w:t xml:space="preserve"> </w:t>
      </w:r>
      <w:r w:rsidRPr="002D790E">
        <w:t>on</w:t>
      </w:r>
      <w:r w:rsidRPr="002D790E">
        <w:rPr>
          <w:spacing w:val="-4"/>
        </w:rPr>
        <w:t xml:space="preserve"> </w:t>
      </w:r>
      <w:r w:rsidRPr="002D790E">
        <w:t>the</w:t>
      </w:r>
      <w:r w:rsidRPr="002D790E">
        <w:rPr>
          <w:spacing w:val="-5"/>
        </w:rPr>
        <w:t xml:space="preserve"> </w:t>
      </w:r>
      <w:r w:rsidRPr="002D790E">
        <w:t>regulatory</w:t>
      </w:r>
      <w:r w:rsidRPr="002D790E">
        <w:rPr>
          <w:spacing w:val="-4"/>
        </w:rPr>
        <w:t xml:space="preserve"> </w:t>
      </w:r>
      <w:r w:rsidRPr="002D790E">
        <w:t>process</w:t>
      </w:r>
      <w:r w:rsidRPr="002D790E">
        <w:rPr>
          <w:spacing w:val="-4"/>
        </w:rPr>
        <w:t xml:space="preserve"> </w:t>
      </w:r>
      <w:r w:rsidRPr="002D790E">
        <w:t>from</w:t>
      </w:r>
      <w:r w:rsidRPr="002D790E">
        <w:rPr>
          <w:spacing w:val="-4"/>
        </w:rPr>
        <w:t xml:space="preserve"> </w:t>
      </w:r>
      <w:r w:rsidRPr="002D790E">
        <w:t>unnecessary</w:t>
      </w:r>
      <w:r w:rsidRPr="002D790E">
        <w:rPr>
          <w:spacing w:val="-4"/>
        </w:rPr>
        <w:t xml:space="preserve"> </w:t>
      </w:r>
      <w:r w:rsidRPr="002D790E">
        <w:t>contention.</w:t>
      </w:r>
    </w:p>
    <w:p w14:paraId="2AA9FE07" w14:textId="69CEBF3E" w:rsidR="002D790E" w:rsidRDefault="002D790E" w:rsidP="00F47305">
      <w:pPr>
        <w:pStyle w:val="Heading4"/>
      </w:pPr>
      <w:bookmarkStart w:id="128" w:name="_Toc184730599"/>
      <w:r>
        <w:t>Reasons against Option 2</w:t>
      </w:r>
      <w:bookmarkEnd w:id="128"/>
    </w:p>
    <w:p w14:paraId="4ADDA1BA" w14:textId="005AF545" w:rsidR="007559FB" w:rsidRPr="00803BFE" w:rsidRDefault="005B3861" w:rsidP="006D28D0">
      <w:pPr>
        <w:pStyle w:val="ListBullet"/>
      </w:pPr>
      <w:r w:rsidRPr="00803BFE">
        <w:t>One of the estimated daily sunscreen exposure values used by the SCCS is 18 g per day, a figure derived from studies outside Australia. Some of the supporting data for example, appears</w:t>
      </w:r>
      <w:r w:rsidRPr="00803BFE">
        <w:rPr>
          <w:spacing w:val="-3"/>
        </w:rPr>
        <w:t xml:space="preserve"> </w:t>
      </w:r>
      <w:r w:rsidRPr="00803BFE">
        <w:t>to</w:t>
      </w:r>
      <w:r w:rsidRPr="00803BFE">
        <w:rPr>
          <w:spacing w:val="-4"/>
        </w:rPr>
        <w:t xml:space="preserve"> </w:t>
      </w:r>
      <w:r w:rsidRPr="00803BFE">
        <w:t>be</w:t>
      </w:r>
      <w:r w:rsidRPr="00803BFE">
        <w:rPr>
          <w:spacing w:val="-4"/>
        </w:rPr>
        <w:t xml:space="preserve"> </w:t>
      </w:r>
      <w:r w:rsidRPr="00803BFE">
        <w:t>predominantly</w:t>
      </w:r>
      <w:r w:rsidRPr="00803BFE">
        <w:rPr>
          <w:spacing w:val="-3"/>
        </w:rPr>
        <w:t xml:space="preserve"> </w:t>
      </w:r>
      <w:r w:rsidRPr="00803BFE">
        <w:t>from</w:t>
      </w:r>
      <w:r w:rsidRPr="00803BFE">
        <w:rPr>
          <w:spacing w:val="-4"/>
        </w:rPr>
        <w:t xml:space="preserve"> </w:t>
      </w:r>
      <w:r w:rsidRPr="00803BFE">
        <w:t>Mauritius</w:t>
      </w:r>
      <w:r w:rsidRPr="00803BFE">
        <w:rPr>
          <w:spacing w:val="-3"/>
        </w:rPr>
        <w:t xml:space="preserve"> </w:t>
      </w:r>
      <w:r w:rsidRPr="00803BFE">
        <w:t>(57</w:t>
      </w:r>
      <w:r w:rsidRPr="00803BFE">
        <w:rPr>
          <w:spacing w:val="-4"/>
        </w:rPr>
        <w:t xml:space="preserve"> </w:t>
      </w:r>
      <w:r w:rsidRPr="00803BFE">
        <w:t>studies),</w:t>
      </w:r>
      <w:r w:rsidRPr="00803BFE">
        <w:rPr>
          <w:spacing w:val="-4"/>
        </w:rPr>
        <w:t xml:space="preserve"> </w:t>
      </w:r>
      <w:r w:rsidRPr="00803BFE">
        <w:t>which,</w:t>
      </w:r>
      <w:r w:rsidRPr="00803BFE">
        <w:rPr>
          <w:spacing w:val="-2"/>
        </w:rPr>
        <w:t xml:space="preserve"> </w:t>
      </w:r>
      <w:r w:rsidRPr="00803BFE">
        <w:t>like</w:t>
      </w:r>
      <w:r w:rsidRPr="00803BFE">
        <w:rPr>
          <w:spacing w:val="-2"/>
        </w:rPr>
        <w:t xml:space="preserve"> </w:t>
      </w:r>
      <w:r w:rsidRPr="00803BFE">
        <w:t>other</w:t>
      </w:r>
      <w:r w:rsidRPr="00803BFE">
        <w:rPr>
          <w:spacing w:val="-3"/>
        </w:rPr>
        <w:t xml:space="preserve"> </w:t>
      </w:r>
      <w:r w:rsidRPr="00803BFE">
        <w:t>countries</w:t>
      </w:r>
      <w:r w:rsidRPr="00803BFE">
        <w:rPr>
          <w:spacing w:val="-3"/>
        </w:rPr>
        <w:t xml:space="preserve"> </w:t>
      </w:r>
      <w:r w:rsidRPr="00803BFE">
        <w:t>in</w:t>
      </w:r>
      <w:r w:rsidRPr="00803BFE">
        <w:rPr>
          <w:spacing w:val="-2"/>
        </w:rPr>
        <w:t xml:space="preserve"> </w:t>
      </w:r>
      <w:r w:rsidRPr="00803BFE">
        <w:t>Europe, has significantly lower skin cancer incidence rates compared to Australia. For example, in 2022, Mauritius had a melanoma and non-melanoma skin cancer age-standard incidence rate</w:t>
      </w:r>
      <w:r w:rsidR="007559FB" w:rsidRPr="00803BFE">
        <w:t xml:space="preserve"> per 100,000</w:t>
      </w:r>
      <w:r w:rsidR="008F7671" w:rsidRPr="00803BFE">
        <w:rPr>
          <w:rStyle w:val="FootnoteReference"/>
        </w:rPr>
        <w:footnoteReference w:id="25"/>
      </w:r>
      <w:r w:rsidR="007559FB" w:rsidRPr="00803BFE">
        <w:rPr>
          <w:spacing w:val="20"/>
          <w:position w:val="6"/>
          <w:sz w:val="13"/>
        </w:rPr>
        <w:t xml:space="preserve"> </w:t>
      </w:r>
      <w:r w:rsidR="007559FB" w:rsidRPr="00803BFE">
        <w:t>for both sexes of 0.24 and 4.2 respectively, compared with Australia which was 37</w:t>
      </w:r>
      <w:r w:rsidR="007559FB" w:rsidRPr="00803BFE">
        <w:rPr>
          <w:spacing w:val="-2"/>
        </w:rPr>
        <w:t xml:space="preserve"> </w:t>
      </w:r>
      <w:r w:rsidR="007559FB" w:rsidRPr="00803BFE">
        <w:t>and</w:t>
      </w:r>
      <w:r w:rsidR="007559FB" w:rsidRPr="00803BFE">
        <w:rPr>
          <w:spacing w:val="-2"/>
        </w:rPr>
        <w:t xml:space="preserve"> </w:t>
      </w:r>
      <w:r w:rsidR="007559FB" w:rsidRPr="00803BFE">
        <w:t>140.1,</w:t>
      </w:r>
      <w:r w:rsidR="007559FB" w:rsidRPr="00803BFE">
        <w:rPr>
          <w:spacing w:val="-2"/>
        </w:rPr>
        <w:t xml:space="preserve"> </w:t>
      </w:r>
      <w:r w:rsidR="007559FB" w:rsidRPr="00803BFE">
        <w:t>the</w:t>
      </w:r>
      <w:r w:rsidR="007559FB" w:rsidRPr="00803BFE">
        <w:rPr>
          <w:spacing w:val="-2"/>
        </w:rPr>
        <w:t xml:space="preserve"> </w:t>
      </w:r>
      <w:r w:rsidR="007559FB" w:rsidRPr="00803BFE">
        <w:t>highest</w:t>
      </w:r>
      <w:r w:rsidR="007559FB" w:rsidRPr="00803BFE">
        <w:rPr>
          <w:spacing w:val="-2"/>
        </w:rPr>
        <w:t xml:space="preserve"> </w:t>
      </w:r>
      <w:r w:rsidR="007559FB" w:rsidRPr="00803BFE">
        <w:t>rates</w:t>
      </w:r>
      <w:r w:rsidR="007559FB" w:rsidRPr="00803BFE">
        <w:rPr>
          <w:spacing w:val="-1"/>
        </w:rPr>
        <w:t xml:space="preserve"> </w:t>
      </w:r>
      <w:r w:rsidR="007559FB" w:rsidRPr="00803BFE">
        <w:t>out</w:t>
      </w:r>
      <w:r w:rsidR="007559FB" w:rsidRPr="00803BFE">
        <w:rPr>
          <w:spacing w:val="-2"/>
        </w:rPr>
        <w:t xml:space="preserve"> </w:t>
      </w:r>
      <w:r w:rsidR="007559FB" w:rsidRPr="00803BFE">
        <w:t>of all</w:t>
      </w:r>
      <w:r w:rsidR="007559FB" w:rsidRPr="00803BFE">
        <w:rPr>
          <w:spacing w:val="-3"/>
        </w:rPr>
        <w:t xml:space="preserve"> </w:t>
      </w:r>
      <w:r w:rsidR="007559FB" w:rsidRPr="00803BFE">
        <w:t>countries</w:t>
      </w:r>
      <w:r w:rsidR="007559FB" w:rsidRPr="00803BFE">
        <w:rPr>
          <w:spacing w:val="-1"/>
        </w:rPr>
        <w:t xml:space="preserve"> </w:t>
      </w:r>
      <w:r w:rsidR="007559FB" w:rsidRPr="00803BFE">
        <w:t>(IARC</w:t>
      </w:r>
      <w:r w:rsidR="007559FB" w:rsidRPr="00803BFE">
        <w:rPr>
          <w:spacing w:val="-2"/>
        </w:rPr>
        <w:t xml:space="preserve"> </w:t>
      </w:r>
      <w:r w:rsidR="007559FB" w:rsidRPr="00803BFE">
        <w:t>2024b).</w:t>
      </w:r>
      <w:r w:rsidR="007559FB" w:rsidRPr="00803BFE">
        <w:rPr>
          <w:spacing w:val="17"/>
          <w:position w:val="6"/>
          <w:sz w:val="13"/>
        </w:rPr>
        <w:t xml:space="preserve"> </w:t>
      </w:r>
      <w:r w:rsidR="007559FB" w:rsidRPr="00803BFE">
        <w:t>Given Australia's</w:t>
      </w:r>
      <w:r w:rsidR="007559FB" w:rsidRPr="00803BFE">
        <w:rPr>
          <w:spacing w:val="-1"/>
        </w:rPr>
        <w:t xml:space="preserve"> </w:t>
      </w:r>
      <w:r w:rsidR="007559FB" w:rsidRPr="00803BFE">
        <w:t>high</w:t>
      </w:r>
      <w:r w:rsidR="007559FB" w:rsidRPr="00803BFE">
        <w:rPr>
          <w:spacing w:val="-2"/>
        </w:rPr>
        <w:t xml:space="preserve"> </w:t>
      </w:r>
      <w:r w:rsidR="007559FB" w:rsidRPr="00803BFE">
        <w:t>skin cancer rates and a culture that emphasises outdoor activities, the suitability of the 18 g</w:t>
      </w:r>
      <w:r w:rsidR="00CE7656" w:rsidRPr="00803BFE">
        <w:t xml:space="preserve"> per </w:t>
      </w:r>
      <w:r w:rsidR="007559FB" w:rsidRPr="00803BFE">
        <w:t>day exposure calculation is uncertain as Australians are encouraged to apply sunscreen more frequently, thoroughly, and diligently, as part of a broader sun protection strategy, which includes policies implemented in settings like childcare. The Australia context is likely to be very different from other countries with a lower incidence of skin cancer.</w:t>
      </w:r>
    </w:p>
    <w:p w14:paraId="626C6CE1" w14:textId="289961A7" w:rsidR="00AA463D" w:rsidRPr="00803BFE" w:rsidRDefault="00AA463D" w:rsidP="006D28D0">
      <w:pPr>
        <w:pStyle w:val="ListBullet"/>
        <w:rPr>
          <w:rFonts w:ascii="Symbol" w:hAnsi="Symbol"/>
        </w:rPr>
      </w:pPr>
      <w:r w:rsidRPr="00803BFE">
        <w:t>The SCCS sunscreen exposure value of 18 grams per day is used for risk assessments but is not intended as a consumer usage recommendation (p. 98, SCCS 2023). The European Commission acknowledges that to achieve the claimed SPF protection level, sunscreen must be applied at the same density used in testing, approximately 2 mg/cm², equating to around</w:t>
      </w:r>
      <w:r w:rsidRPr="00803BFE">
        <w:rPr>
          <w:spacing w:val="40"/>
        </w:rPr>
        <w:t xml:space="preserve"> </w:t>
      </w:r>
      <w:r w:rsidRPr="00803BFE">
        <w:t>36 grams for an average adult's full body (European Commission 2006). Furthermore, the European Commission recommends that sunscreen products should include instructions to ensure adequate application for effective protection, along with a warning about the risks of insufficient application, such as 'Warning: reducing this quantity will significantly lower the</w:t>
      </w:r>
      <w:r w:rsidRPr="00803BFE">
        <w:rPr>
          <w:spacing w:val="40"/>
        </w:rPr>
        <w:t xml:space="preserve"> </w:t>
      </w:r>
      <w:r w:rsidRPr="00803BFE">
        <w:t>level of protection' (European Commission 2006). While it is likely that many Australians may not apply sunscreen at the recommended thickness of 2mg/cm², it is reasonable to assume there</w:t>
      </w:r>
      <w:r w:rsidRPr="00803BFE">
        <w:rPr>
          <w:spacing w:val="-3"/>
        </w:rPr>
        <w:t xml:space="preserve"> </w:t>
      </w:r>
      <w:r w:rsidRPr="00803BFE">
        <w:t>are</w:t>
      </w:r>
      <w:r w:rsidRPr="00803BFE">
        <w:rPr>
          <w:spacing w:val="-3"/>
        </w:rPr>
        <w:t xml:space="preserve"> </w:t>
      </w:r>
      <w:r w:rsidRPr="00803BFE">
        <w:t>individuals</w:t>
      </w:r>
      <w:r w:rsidRPr="00803BFE">
        <w:rPr>
          <w:spacing w:val="-2"/>
        </w:rPr>
        <w:t xml:space="preserve"> </w:t>
      </w:r>
      <w:r w:rsidRPr="00803BFE">
        <w:t>who</w:t>
      </w:r>
      <w:r w:rsidRPr="00803BFE">
        <w:rPr>
          <w:spacing w:val="-3"/>
        </w:rPr>
        <w:t xml:space="preserve"> </w:t>
      </w:r>
      <w:r w:rsidRPr="00803BFE">
        <w:t>would</w:t>
      </w:r>
      <w:r w:rsidRPr="00803BFE">
        <w:rPr>
          <w:spacing w:val="-3"/>
        </w:rPr>
        <w:t xml:space="preserve"> </w:t>
      </w:r>
      <w:r w:rsidRPr="00803BFE">
        <w:t>achieve</w:t>
      </w:r>
      <w:r w:rsidRPr="00803BFE">
        <w:rPr>
          <w:spacing w:val="-3"/>
        </w:rPr>
        <w:t xml:space="preserve"> </w:t>
      </w:r>
      <w:r w:rsidRPr="00803BFE">
        <w:t>the</w:t>
      </w:r>
      <w:r w:rsidRPr="00803BFE">
        <w:rPr>
          <w:spacing w:val="-3"/>
        </w:rPr>
        <w:t xml:space="preserve"> </w:t>
      </w:r>
      <w:r w:rsidRPr="00803BFE">
        <w:t>intended</w:t>
      </w:r>
      <w:r w:rsidRPr="00803BFE">
        <w:rPr>
          <w:spacing w:val="-3"/>
        </w:rPr>
        <w:t xml:space="preserve"> </w:t>
      </w:r>
      <w:r w:rsidRPr="00803BFE">
        <w:t>SPF</w:t>
      </w:r>
      <w:r w:rsidRPr="00803BFE">
        <w:rPr>
          <w:spacing w:val="-2"/>
        </w:rPr>
        <w:t xml:space="preserve"> </w:t>
      </w:r>
      <w:r w:rsidRPr="00803BFE">
        <w:t>rating,</w:t>
      </w:r>
      <w:r w:rsidRPr="00803BFE">
        <w:rPr>
          <w:spacing w:val="-1"/>
        </w:rPr>
        <w:t xml:space="preserve"> </w:t>
      </w:r>
      <w:r w:rsidRPr="00803BFE">
        <w:t>and</w:t>
      </w:r>
      <w:r w:rsidRPr="00803BFE">
        <w:rPr>
          <w:spacing w:val="-3"/>
        </w:rPr>
        <w:t xml:space="preserve"> </w:t>
      </w:r>
      <w:r w:rsidRPr="00803BFE">
        <w:t>this</w:t>
      </w:r>
      <w:r w:rsidRPr="00803BFE">
        <w:rPr>
          <w:spacing w:val="-2"/>
        </w:rPr>
        <w:t xml:space="preserve"> </w:t>
      </w:r>
      <w:r w:rsidRPr="00803BFE">
        <w:t>application</w:t>
      </w:r>
      <w:r w:rsidRPr="00803BFE">
        <w:rPr>
          <w:spacing w:val="-1"/>
        </w:rPr>
        <w:t xml:space="preserve"> </w:t>
      </w:r>
      <w:r w:rsidRPr="00803BFE">
        <w:t>rate</w:t>
      </w:r>
      <w:r w:rsidRPr="00803BFE">
        <w:rPr>
          <w:spacing w:val="-1"/>
        </w:rPr>
        <w:t xml:space="preserve"> </w:t>
      </w:r>
      <w:r w:rsidRPr="00803BFE">
        <w:t>is also</w:t>
      </w:r>
      <w:r w:rsidRPr="00803BFE">
        <w:rPr>
          <w:spacing w:val="-4"/>
        </w:rPr>
        <w:t xml:space="preserve"> </w:t>
      </w:r>
      <w:r w:rsidRPr="00803BFE">
        <w:t>shown</w:t>
      </w:r>
      <w:r w:rsidRPr="00803BFE">
        <w:rPr>
          <w:spacing w:val="-3"/>
        </w:rPr>
        <w:t xml:space="preserve"> </w:t>
      </w:r>
      <w:r w:rsidRPr="00803BFE">
        <w:t>in</w:t>
      </w:r>
      <w:r w:rsidRPr="00803BFE">
        <w:rPr>
          <w:spacing w:val="-4"/>
        </w:rPr>
        <w:t xml:space="preserve"> </w:t>
      </w:r>
      <w:r w:rsidRPr="00803BFE">
        <w:t>the</w:t>
      </w:r>
      <w:r w:rsidRPr="00803BFE">
        <w:rPr>
          <w:spacing w:val="-3"/>
        </w:rPr>
        <w:t xml:space="preserve"> </w:t>
      </w:r>
      <w:r w:rsidRPr="00803BFE">
        <w:t>limited</w:t>
      </w:r>
      <w:r w:rsidRPr="00803BFE">
        <w:rPr>
          <w:spacing w:val="-3"/>
        </w:rPr>
        <w:t xml:space="preserve"> </w:t>
      </w:r>
      <w:r w:rsidRPr="00803BFE">
        <w:t>Australian</w:t>
      </w:r>
      <w:r w:rsidRPr="00803BFE">
        <w:rPr>
          <w:spacing w:val="-4"/>
        </w:rPr>
        <w:t xml:space="preserve"> </w:t>
      </w:r>
      <w:r w:rsidRPr="00803BFE">
        <w:t>research</w:t>
      </w:r>
      <w:r w:rsidRPr="00803BFE">
        <w:rPr>
          <w:spacing w:val="-3"/>
        </w:rPr>
        <w:t xml:space="preserve"> </w:t>
      </w:r>
      <w:r w:rsidRPr="00803BFE">
        <w:t>discussed above. The</w:t>
      </w:r>
      <w:r w:rsidRPr="00803BFE">
        <w:rPr>
          <w:spacing w:val="-3"/>
        </w:rPr>
        <w:t xml:space="preserve"> </w:t>
      </w:r>
      <w:r w:rsidRPr="00803BFE">
        <w:t>assessment</w:t>
      </w:r>
      <w:r w:rsidRPr="00803BFE">
        <w:rPr>
          <w:spacing w:val="-3"/>
        </w:rPr>
        <w:t xml:space="preserve"> </w:t>
      </w:r>
      <w:r w:rsidRPr="00803BFE">
        <w:t>of</w:t>
      </w:r>
      <w:r w:rsidRPr="00803BFE">
        <w:rPr>
          <w:spacing w:val="-4"/>
        </w:rPr>
        <w:t xml:space="preserve"> </w:t>
      </w:r>
      <w:r w:rsidRPr="00803BFE">
        <w:t>therapeutic goods,</w:t>
      </w:r>
      <w:r w:rsidRPr="00803BFE">
        <w:rPr>
          <w:spacing w:val="-1"/>
        </w:rPr>
        <w:t xml:space="preserve"> </w:t>
      </w:r>
      <w:r w:rsidRPr="00803BFE">
        <w:t>including</w:t>
      </w:r>
      <w:r w:rsidRPr="00803BFE">
        <w:rPr>
          <w:spacing w:val="-3"/>
        </w:rPr>
        <w:t xml:space="preserve"> </w:t>
      </w:r>
      <w:r w:rsidRPr="00803BFE">
        <w:t>sunscreens,</w:t>
      </w:r>
      <w:r w:rsidRPr="00803BFE">
        <w:rPr>
          <w:spacing w:val="-3"/>
        </w:rPr>
        <w:t xml:space="preserve"> </w:t>
      </w:r>
      <w:r w:rsidRPr="00803BFE">
        <w:t>must</w:t>
      </w:r>
      <w:r w:rsidRPr="00803BFE">
        <w:rPr>
          <w:spacing w:val="-3"/>
        </w:rPr>
        <w:t xml:space="preserve"> </w:t>
      </w:r>
      <w:r w:rsidRPr="00803BFE">
        <w:t>be</w:t>
      </w:r>
      <w:r w:rsidRPr="00803BFE">
        <w:rPr>
          <w:spacing w:val="-1"/>
        </w:rPr>
        <w:t xml:space="preserve"> </w:t>
      </w:r>
      <w:r w:rsidRPr="00803BFE">
        <w:t>based</w:t>
      </w:r>
      <w:r w:rsidRPr="00803BFE">
        <w:rPr>
          <w:spacing w:val="-3"/>
        </w:rPr>
        <w:t xml:space="preserve"> </w:t>
      </w:r>
      <w:r w:rsidRPr="00803BFE">
        <w:t>on</w:t>
      </w:r>
      <w:r w:rsidRPr="00803BFE">
        <w:rPr>
          <w:spacing w:val="-3"/>
        </w:rPr>
        <w:t xml:space="preserve"> </w:t>
      </w:r>
      <w:r w:rsidRPr="00803BFE">
        <w:t>how</w:t>
      </w:r>
      <w:r w:rsidRPr="00803BFE">
        <w:rPr>
          <w:spacing w:val="-3"/>
        </w:rPr>
        <w:t xml:space="preserve"> </w:t>
      </w:r>
      <w:r w:rsidRPr="00803BFE">
        <w:t>much</w:t>
      </w:r>
      <w:r w:rsidRPr="00803BFE">
        <w:rPr>
          <w:spacing w:val="-3"/>
        </w:rPr>
        <w:t xml:space="preserve"> </w:t>
      </w:r>
      <w:r w:rsidRPr="00803BFE">
        <w:t>is</w:t>
      </w:r>
      <w:r w:rsidRPr="00803BFE">
        <w:rPr>
          <w:spacing w:val="-2"/>
        </w:rPr>
        <w:t xml:space="preserve"> </w:t>
      </w:r>
      <w:r w:rsidRPr="00803BFE">
        <w:t>applied</w:t>
      </w:r>
      <w:r w:rsidRPr="00803BFE">
        <w:rPr>
          <w:spacing w:val="-3"/>
        </w:rPr>
        <w:t xml:space="preserve"> </w:t>
      </w:r>
      <w:r w:rsidRPr="00803BFE">
        <w:t>to</w:t>
      </w:r>
      <w:r w:rsidRPr="00803BFE">
        <w:rPr>
          <w:spacing w:val="-1"/>
        </w:rPr>
        <w:t xml:space="preserve"> </w:t>
      </w:r>
      <w:r w:rsidRPr="00803BFE">
        <w:t>be</w:t>
      </w:r>
      <w:r w:rsidRPr="00803BFE">
        <w:rPr>
          <w:spacing w:val="-1"/>
        </w:rPr>
        <w:t xml:space="preserve"> </w:t>
      </w:r>
      <w:r w:rsidRPr="00803BFE">
        <w:t>effective</w:t>
      </w:r>
      <w:r w:rsidRPr="00803BFE">
        <w:rPr>
          <w:spacing w:val="-3"/>
        </w:rPr>
        <w:t xml:space="preserve"> </w:t>
      </w:r>
      <w:r w:rsidRPr="00803BFE">
        <w:t>as</w:t>
      </w:r>
      <w:r w:rsidRPr="00803BFE">
        <w:rPr>
          <w:spacing w:val="-2"/>
        </w:rPr>
        <w:t xml:space="preserve"> </w:t>
      </w:r>
      <w:r w:rsidRPr="00803BFE">
        <w:t>per</w:t>
      </w:r>
      <w:r w:rsidRPr="00803BFE">
        <w:rPr>
          <w:spacing w:val="-2"/>
        </w:rPr>
        <w:t xml:space="preserve"> </w:t>
      </w:r>
      <w:r w:rsidRPr="00803BFE">
        <w:t>the directions provided. However, the applicability of the SCCS model for Australians who correctly use sunscreen, or its alignment with initiatives promoting correct sunscreen application in Australia, remains to unclear.</w:t>
      </w:r>
    </w:p>
    <w:p w14:paraId="66D64157" w14:textId="77777777" w:rsidR="00CE7656" w:rsidRPr="00803BFE" w:rsidRDefault="00CE7656" w:rsidP="006D28D0">
      <w:pPr>
        <w:pStyle w:val="ListBullet"/>
        <w:rPr>
          <w:rFonts w:ascii="Symbol" w:hAnsi="Symbol"/>
        </w:rPr>
      </w:pPr>
      <w:r w:rsidRPr="00803BFE">
        <w:t>While the SCCS method is established, it has limitations that may lead to inconsistencies in risk assessments. Depending on the available data, the SCCS exposure calculation method can yield considerable differences in the MoS calculation for the same ingredient. This discrepancy could result in the same ingredient being approved under one set of data but rejected if presented in a different way. Such inconsistencies raise concerns about the appropriate calculation method for regulatory</w:t>
      </w:r>
      <w:r w:rsidRPr="00803BFE">
        <w:rPr>
          <w:spacing w:val="-4"/>
        </w:rPr>
        <w:t xml:space="preserve"> </w:t>
      </w:r>
      <w:r w:rsidRPr="00803BFE">
        <w:t>approvals</w:t>
      </w:r>
      <w:r w:rsidRPr="00803BFE">
        <w:rPr>
          <w:spacing w:val="-1"/>
        </w:rPr>
        <w:t xml:space="preserve"> </w:t>
      </w:r>
      <w:r w:rsidRPr="00803BFE">
        <w:t>and</w:t>
      </w:r>
      <w:r w:rsidRPr="00803BFE">
        <w:rPr>
          <w:spacing w:val="-3"/>
        </w:rPr>
        <w:t xml:space="preserve"> </w:t>
      </w:r>
      <w:r w:rsidRPr="00803BFE">
        <w:t>the</w:t>
      </w:r>
      <w:r w:rsidRPr="00803BFE">
        <w:rPr>
          <w:spacing w:val="-5"/>
        </w:rPr>
        <w:t xml:space="preserve"> </w:t>
      </w:r>
      <w:r w:rsidRPr="00803BFE">
        <w:t>potential</w:t>
      </w:r>
      <w:r w:rsidRPr="00803BFE">
        <w:rPr>
          <w:spacing w:val="-6"/>
        </w:rPr>
        <w:t xml:space="preserve"> </w:t>
      </w:r>
      <w:r w:rsidRPr="00803BFE">
        <w:t>for</w:t>
      </w:r>
      <w:r w:rsidRPr="00803BFE">
        <w:rPr>
          <w:spacing w:val="-4"/>
        </w:rPr>
        <w:t xml:space="preserve"> </w:t>
      </w:r>
      <w:r w:rsidRPr="00803BFE">
        <w:t>regulatory</w:t>
      </w:r>
      <w:r w:rsidRPr="00803BFE">
        <w:rPr>
          <w:spacing w:val="-4"/>
        </w:rPr>
        <w:t xml:space="preserve"> </w:t>
      </w:r>
      <w:r w:rsidRPr="00803BFE">
        <w:t>uncertainty</w:t>
      </w:r>
      <w:r w:rsidRPr="00803BFE">
        <w:rPr>
          <w:spacing w:val="-1"/>
        </w:rPr>
        <w:t xml:space="preserve"> </w:t>
      </w:r>
      <w:r w:rsidRPr="00803BFE">
        <w:t>if</w:t>
      </w:r>
      <w:r w:rsidRPr="00803BFE">
        <w:rPr>
          <w:spacing w:val="-5"/>
        </w:rPr>
        <w:t xml:space="preserve"> </w:t>
      </w:r>
      <w:r w:rsidRPr="00803BFE">
        <w:t>absorption</w:t>
      </w:r>
      <w:r w:rsidRPr="00803BFE">
        <w:rPr>
          <w:spacing w:val="-3"/>
        </w:rPr>
        <w:t xml:space="preserve"> </w:t>
      </w:r>
      <w:r w:rsidRPr="00803BFE">
        <w:t>data</w:t>
      </w:r>
      <w:r w:rsidRPr="00803BFE">
        <w:rPr>
          <w:spacing w:val="-3"/>
        </w:rPr>
        <w:t xml:space="preserve"> </w:t>
      </w:r>
      <w:r w:rsidRPr="00803BFE">
        <w:t>is</w:t>
      </w:r>
      <w:r w:rsidRPr="00803BFE">
        <w:rPr>
          <w:spacing w:val="-4"/>
        </w:rPr>
        <w:t xml:space="preserve"> </w:t>
      </w:r>
      <w:r w:rsidRPr="00803BFE">
        <w:t>presented in both % and ug/cm</w:t>
      </w:r>
      <w:r w:rsidRPr="00803BFE">
        <w:rPr>
          <w:position w:val="6"/>
          <w:sz w:val="13"/>
        </w:rPr>
        <w:t>2</w:t>
      </w:r>
      <w:r w:rsidRPr="00803BFE">
        <w:rPr>
          <w:spacing w:val="27"/>
          <w:position w:val="6"/>
          <w:sz w:val="13"/>
        </w:rPr>
        <w:t xml:space="preserve"> </w:t>
      </w:r>
      <w:r w:rsidRPr="00803BFE">
        <w:t xml:space="preserve">requiring expert judgement for which calculation method will be most </w:t>
      </w:r>
      <w:r w:rsidRPr="00803BFE">
        <w:rPr>
          <w:spacing w:val="-2"/>
        </w:rPr>
        <w:t>suitable.</w:t>
      </w:r>
    </w:p>
    <w:p w14:paraId="7499D67E" w14:textId="77777777" w:rsidR="00AA463D" w:rsidRPr="00803BFE" w:rsidRDefault="00AA463D" w:rsidP="006D28D0">
      <w:pPr>
        <w:pStyle w:val="ListBullet"/>
        <w:rPr>
          <w:rFonts w:ascii="Symbol" w:hAnsi="Symbol"/>
        </w:rPr>
      </w:pPr>
      <w:r w:rsidRPr="00803BFE">
        <w:t>In</w:t>
      </w:r>
      <w:r w:rsidRPr="00803BFE">
        <w:rPr>
          <w:spacing w:val="-4"/>
        </w:rPr>
        <w:t xml:space="preserve"> </w:t>
      </w:r>
      <w:r w:rsidRPr="00803BFE">
        <w:t>Australia,</w:t>
      </w:r>
      <w:r w:rsidRPr="00803BFE">
        <w:rPr>
          <w:spacing w:val="-4"/>
        </w:rPr>
        <w:t xml:space="preserve"> </w:t>
      </w:r>
      <w:r w:rsidRPr="00803BFE">
        <w:t>therapeutic</w:t>
      </w:r>
      <w:r w:rsidRPr="00803BFE">
        <w:rPr>
          <w:spacing w:val="-3"/>
        </w:rPr>
        <w:t xml:space="preserve"> </w:t>
      </w:r>
      <w:r w:rsidRPr="00803BFE">
        <w:t>sunscreens</w:t>
      </w:r>
      <w:r w:rsidRPr="00803BFE">
        <w:rPr>
          <w:spacing w:val="-3"/>
        </w:rPr>
        <w:t xml:space="preserve"> </w:t>
      </w:r>
      <w:r w:rsidRPr="00803BFE">
        <w:t>are</w:t>
      </w:r>
      <w:r w:rsidRPr="00803BFE">
        <w:rPr>
          <w:spacing w:val="-4"/>
        </w:rPr>
        <w:t xml:space="preserve"> </w:t>
      </w:r>
      <w:r w:rsidRPr="00803BFE">
        <w:t>permitted</w:t>
      </w:r>
      <w:r w:rsidRPr="00803BFE">
        <w:rPr>
          <w:spacing w:val="-2"/>
        </w:rPr>
        <w:t xml:space="preserve"> </w:t>
      </w:r>
      <w:r w:rsidRPr="00803BFE">
        <w:t>to</w:t>
      </w:r>
      <w:r w:rsidRPr="00803BFE">
        <w:rPr>
          <w:spacing w:val="-4"/>
        </w:rPr>
        <w:t xml:space="preserve"> </w:t>
      </w:r>
      <w:r w:rsidRPr="00803BFE">
        <w:t>claim</w:t>
      </w:r>
      <w:r w:rsidRPr="00803BFE">
        <w:rPr>
          <w:spacing w:val="-4"/>
        </w:rPr>
        <w:t xml:space="preserve"> </w:t>
      </w:r>
      <w:r w:rsidRPr="00803BFE">
        <w:t>to</w:t>
      </w:r>
      <w:r w:rsidRPr="00803BFE">
        <w:rPr>
          <w:spacing w:val="-2"/>
        </w:rPr>
        <w:t xml:space="preserve"> </w:t>
      </w:r>
      <w:r w:rsidRPr="00803BFE">
        <w:t>'assist</w:t>
      </w:r>
      <w:r w:rsidRPr="00803BFE">
        <w:rPr>
          <w:spacing w:val="-4"/>
        </w:rPr>
        <w:t xml:space="preserve"> </w:t>
      </w:r>
      <w:r w:rsidRPr="00803BFE">
        <w:t>in</w:t>
      </w:r>
      <w:r w:rsidRPr="00803BFE">
        <w:rPr>
          <w:spacing w:val="-4"/>
        </w:rPr>
        <w:t xml:space="preserve"> </w:t>
      </w:r>
      <w:r w:rsidRPr="00803BFE">
        <w:t>preventing</w:t>
      </w:r>
      <w:r w:rsidRPr="00803BFE">
        <w:rPr>
          <w:spacing w:val="-2"/>
        </w:rPr>
        <w:t xml:space="preserve"> </w:t>
      </w:r>
      <w:r w:rsidRPr="00803BFE">
        <w:t>some</w:t>
      </w:r>
      <w:r w:rsidRPr="00803BFE">
        <w:rPr>
          <w:spacing w:val="-4"/>
        </w:rPr>
        <w:t xml:space="preserve"> </w:t>
      </w:r>
      <w:r w:rsidRPr="00803BFE">
        <w:t>skin cancers' and 'reduce the risk of some skin cancers,' which is not permitted for cosmetic sunscreens in Europe. The efficacy of therapeutic goods, including sunscreens, should be evaluated</w:t>
      </w:r>
      <w:r w:rsidRPr="00803BFE">
        <w:rPr>
          <w:spacing w:val="-2"/>
        </w:rPr>
        <w:t xml:space="preserve"> </w:t>
      </w:r>
      <w:r w:rsidRPr="00803BFE">
        <w:t>based</w:t>
      </w:r>
      <w:r w:rsidRPr="00803BFE">
        <w:rPr>
          <w:spacing w:val="-4"/>
        </w:rPr>
        <w:t xml:space="preserve"> </w:t>
      </w:r>
      <w:r w:rsidRPr="00803BFE">
        <w:t>on</w:t>
      </w:r>
      <w:r w:rsidRPr="00803BFE">
        <w:rPr>
          <w:spacing w:val="-4"/>
        </w:rPr>
        <w:t xml:space="preserve"> </w:t>
      </w:r>
      <w:r w:rsidRPr="00803BFE">
        <w:t>the</w:t>
      </w:r>
      <w:r w:rsidRPr="00803BFE">
        <w:rPr>
          <w:spacing w:val="-4"/>
        </w:rPr>
        <w:t xml:space="preserve"> </w:t>
      </w:r>
      <w:r w:rsidRPr="00803BFE">
        <w:t>recommended</w:t>
      </w:r>
      <w:r w:rsidRPr="00803BFE">
        <w:rPr>
          <w:spacing w:val="-4"/>
        </w:rPr>
        <w:t xml:space="preserve"> </w:t>
      </w:r>
      <w:r w:rsidRPr="00803BFE">
        <w:t>usage</w:t>
      </w:r>
      <w:r w:rsidRPr="00803BFE">
        <w:rPr>
          <w:spacing w:val="-4"/>
        </w:rPr>
        <w:t xml:space="preserve"> </w:t>
      </w:r>
      <w:r w:rsidRPr="00803BFE">
        <w:t>to</w:t>
      </w:r>
      <w:r w:rsidRPr="00803BFE">
        <w:rPr>
          <w:spacing w:val="-4"/>
        </w:rPr>
        <w:t xml:space="preserve"> </w:t>
      </w:r>
      <w:r w:rsidRPr="00803BFE">
        <w:t>achieve</w:t>
      </w:r>
      <w:r w:rsidRPr="00803BFE">
        <w:rPr>
          <w:spacing w:val="-4"/>
        </w:rPr>
        <w:t xml:space="preserve"> </w:t>
      </w:r>
      <w:r w:rsidRPr="00803BFE">
        <w:t>their</w:t>
      </w:r>
      <w:r w:rsidRPr="00803BFE">
        <w:rPr>
          <w:spacing w:val="-3"/>
        </w:rPr>
        <w:t xml:space="preserve"> </w:t>
      </w:r>
      <w:r w:rsidRPr="00803BFE">
        <w:t>stated</w:t>
      </w:r>
      <w:r w:rsidRPr="00803BFE">
        <w:rPr>
          <w:spacing w:val="-2"/>
        </w:rPr>
        <w:t xml:space="preserve"> </w:t>
      </w:r>
      <w:r w:rsidRPr="00803BFE">
        <w:t>indications,</w:t>
      </w:r>
      <w:r w:rsidRPr="00803BFE">
        <w:rPr>
          <w:spacing w:val="-2"/>
        </w:rPr>
        <w:t xml:space="preserve"> </w:t>
      </w:r>
      <w:r w:rsidRPr="00803BFE">
        <w:t>a</w:t>
      </w:r>
      <w:r w:rsidRPr="00803BFE">
        <w:rPr>
          <w:spacing w:val="-4"/>
        </w:rPr>
        <w:t xml:space="preserve"> </w:t>
      </w:r>
      <w:r w:rsidRPr="00803BFE">
        <w:t>factor</w:t>
      </w:r>
      <w:r w:rsidRPr="00803BFE">
        <w:rPr>
          <w:spacing w:val="-3"/>
        </w:rPr>
        <w:t xml:space="preserve"> </w:t>
      </w:r>
      <w:r w:rsidRPr="00803BFE">
        <w:t>not considered in the SCCS model.</w:t>
      </w:r>
    </w:p>
    <w:p w14:paraId="4CC6890C" w14:textId="1DD8CA5B" w:rsidR="00AA463D" w:rsidRPr="00296D39" w:rsidRDefault="00AA463D" w:rsidP="006D28D0">
      <w:pPr>
        <w:pStyle w:val="ListBullet"/>
        <w:rPr>
          <w:color w:val="232323"/>
        </w:rPr>
      </w:pPr>
      <w:r w:rsidRPr="00E01AA1">
        <w:t>While</w:t>
      </w:r>
      <w:r>
        <w:rPr>
          <w:color w:val="333E47"/>
        </w:rPr>
        <w:t xml:space="preserve"> the </w:t>
      </w:r>
      <w:hyperlink r:id="rId57">
        <w:r>
          <w:rPr>
            <w:color w:val="0000FF"/>
            <w:u w:val="single" w:color="0000FF"/>
          </w:rPr>
          <w:t>ARNS</w:t>
        </w:r>
      </w:hyperlink>
      <w:r>
        <w:rPr>
          <w:color w:val="0000FF"/>
        </w:rPr>
        <w:t xml:space="preserve"> </w:t>
      </w:r>
      <w:r>
        <w:rPr>
          <w:color w:val="333E47"/>
        </w:rPr>
        <w:t>refers to the SCCS 11</w:t>
      </w:r>
      <w:r>
        <w:rPr>
          <w:color w:val="333E47"/>
          <w:position w:val="6"/>
          <w:sz w:val="13"/>
        </w:rPr>
        <w:t>th</w:t>
      </w:r>
      <w:r>
        <w:rPr>
          <w:color w:val="333E47"/>
          <w:spacing w:val="28"/>
          <w:position w:val="6"/>
          <w:sz w:val="13"/>
        </w:rPr>
        <w:t xml:space="preserve"> </w:t>
      </w:r>
      <w:r>
        <w:rPr>
          <w:color w:val="333E47"/>
        </w:rPr>
        <w:t xml:space="preserve">revision for calculating the maximum daily exposure of dermal substances, and the SCCS is included in the </w:t>
      </w:r>
      <w:hyperlink r:id="rId58">
        <w:r>
          <w:rPr>
            <w:color w:val="0000FF"/>
            <w:u w:val="single" w:color="0000FF"/>
          </w:rPr>
          <w:t>list of COBs</w:t>
        </w:r>
        <w:r>
          <w:rPr>
            <w:color w:val="333E47"/>
          </w:rPr>
          <w:t>,</w:t>
        </w:r>
      </w:hyperlink>
      <w:r>
        <w:rPr>
          <w:color w:val="333E47"/>
        </w:rPr>
        <w:t xml:space="preserve"> </w:t>
      </w:r>
      <w:r>
        <w:rPr>
          <w:color w:val="232323"/>
        </w:rPr>
        <w:t>clarity is still needed on expectations for ingredient evaluations, particularly concerning the suitability of the SCCS model</w:t>
      </w:r>
      <w:r>
        <w:rPr>
          <w:color w:val="232323"/>
          <w:spacing w:val="-6"/>
        </w:rPr>
        <w:t xml:space="preserve"> </w:t>
      </w:r>
      <w:r>
        <w:rPr>
          <w:color w:val="232323"/>
        </w:rPr>
        <w:t>for</w:t>
      </w:r>
      <w:r>
        <w:rPr>
          <w:color w:val="232323"/>
          <w:spacing w:val="-4"/>
        </w:rPr>
        <w:t xml:space="preserve"> </w:t>
      </w:r>
      <w:r>
        <w:rPr>
          <w:color w:val="232323"/>
        </w:rPr>
        <w:t>the</w:t>
      </w:r>
      <w:r>
        <w:rPr>
          <w:color w:val="232323"/>
          <w:spacing w:val="-3"/>
        </w:rPr>
        <w:t xml:space="preserve"> </w:t>
      </w:r>
      <w:r>
        <w:rPr>
          <w:color w:val="232323"/>
        </w:rPr>
        <w:t>Australian</w:t>
      </w:r>
      <w:r>
        <w:rPr>
          <w:color w:val="232323"/>
          <w:spacing w:val="-5"/>
        </w:rPr>
        <w:t xml:space="preserve"> </w:t>
      </w:r>
      <w:r>
        <w:rPr>
          <w:color w:val="232323"/>
        </w:rPr>
        <w:t>context</w:t>
      </w:r>
      <w:r>
        <w:rPr>
          <w:color w:val="232323"/>
          <w:spacing w:val="-5"/>
        </w:rPr>
        <w:t xml:space="preserve"> </w:t>
      </w:r>
      <w:r>
        <w:rPr>
          <w:color w:val="232323"/>
        </w:rPr>
        <w:t>considering</w:t>
      </w:r>
      <w:r>
        <w:rPr>
          <w:color w:val="232323"/>
          <w:spacing w:val="-5"/>
        </w:rPr>
        <w:t xml:space="preserve"> </w:t>
      </w:r>
      <w:r w:rsidRPr="00296D39">
        <w:rPr>
          <w:color w:val="232323"/>
        </w:rPr>
        <w:t xml:space="preserve">current Australian evidence-based sunscreen use guidelines and </w:t>
      </w:r>
      <w:r w:rsidRPr="00CE7656">
        <w:rPr>
          <w:color w:val="232323"/>
        </w:rPr>
        <w:t xml:space="preserve">research discussed </w:t>
      </w:r>
      <w:r w:rsidR="00CE7656" w:rsidRPr="00CE7656">
        <w:rPr>
          <w:color w:val="232323"/>
        </w:rPr>
        <w:t>above</w:t>
      </w:r>
      <w:r w:rsidRPr="00CE7656">
        <w:rPr>
          <w:color w:val="232323"/>
        </w:rPr>
        <w:t xml:space="preserve"> </w:t>
      </w:r>
      <w:r>
        <w:rPr>
          <w:color w:val="232323"/>
        </w:rPr>
        <w:t>for all populations, including children</w:t>
      </w:r>
      <w:r w:rsidRPr="00296D39">
        <w:rPr>
          <w:color w:val="232323"/>
        </w:rPr>
        <w:t>.</w:t>
      </w:r>
    </w:p>
    <w:p w14:paraId="753200AE" w14:textId="1F4404B5" w:rsidR="005B3861" w:rsidRPr="008F0D02" w:rsidRDefault="00AA463D" w:rsidP="006D28D0">
      <w:pPr>
        <w:pStyle w:val="ListBullet"/>
        <w:rPr>
          <w:rFonts w:ascii="Symbol" w:hAnsi="Symbol"/>
        </w:rPr>
      </w:pPr>
      <w:r>
        <w:t>Australia experiences higher UV</w:t>
      </w:r>
      <w:r w:rsidR="00B034D8">
        <w:t>R</w:t>
      </w:r>
      <w:r>
        <w:t xml:space="preserve"> levels than any country in the European Union (WHO 2013)</w:t>
      </w:r>
      <w:r>
        <w:rPr>
          <w:spacing w:val="-13"/>
        </w:rPr>
        <w:t xml:space="preserve"> </w:t>
      </w:r>
      <w:r>
        <w:t>and has the highest incidence of skin cancer worldwide. Given the Australian outdoor</w:t>
      </w:r>
      <w:r>
        <w:rPr>
          <w:spacing w:val="-3"/>
        </w:rPr>
        <w:t xml:space="preserve"> </w:t>
      </w:r>
      <w:r>
        <w:t>lifestyle,</w:t>
      </w:r>
      <w:r>
        <w:rPr>
          <w:spacing w:val="-2"/>
        </w:rPr>
        <w:t xml:space="preserve"> </w:t>
      </w:r>
      <w:r>
        <w:t>it</w:t>
      </w:r>
      <w:r>
        <w:rPr>
          <w:spacing w:val="-4"/>
        </w:rPr>
        <w:t xml:space="preserve"> </w:t>
      </w:r>
      <w:r>
        <w:t>is</w:t>
      </w:r>
      <w:r>
        <w:rPr>
          <w:spacing w:val="-3"/>
        </w:rPr>
        <w:t xml:space="preserve"> </w:t>
      </w:r>
      <w:r>
        <w:t>reasonable</w:t>
      </w:r>
      <w:r>
        <w:rPr>
          <w:spacing w:val="-4"/>
        </w:rPr>
        <w:t xml:space="preserve"> </w:t>
      </w:r>
      <w:r>
        <w:t>to</w:t>
      </w:r>
      <w:r>
        <w:rPr>
          <w:spacing w:val="-4"/>
        </w:rPr>
        <w:t xml:space="preserve"> </w:t>
      </w:r>
      <w:r>
        <w:t>assume</w:t>
      </w:r>
      <w:r>
        <w:rPr>
          <w:spacing w:val="-4"/>
        </w:rPr>
        <w:t xml:space="preserve"> </w:t>
      </w:r>
      <w:r>
        <w:t>that</w:t>
      </w:r>
      <w:r>
        <w:rPr>
          <w:spacing w:val="-4"/>
        </w:rPr>
        <w:t xml:space="preserve"> </w:t>
      </w:r>
      <w:r>
        <w:t>Australians</w:t>
      </w:r>
      <w:r>
        <w:rPr>
          <w:spacing w:val="-3"/>
        </w:rPr>
        <w:t xml:space="preserve"> </w:t>
      </w:r>
      <w:r>
        <w:t>use,</w:t>
      </w:r>
      <w:r>
        <w:rPr>
          <w:spacing w:val="-2"/>
        </w:rPr>
        <w:t xml:space="preserve"> </w:t>
      </w:r>
      <w:r>
        <w:t>or</w:t>
      </w:r>
      <w:r>
        <w:rPr>
          <w:spacing w:val="-3"/>
        </w:rPr>
        <w:t xml:space="preserve"> </w:t>
      </w:r>
      <w:r>
        <w:t>should</w:t>
      </w:r>
      <w:r>
        <w:rPr>
          <w:spacing w:val="-2"/>
        </w:rPr>
        <w:t xml:space="preserve"> </w:t>
      </w:r>
      <w:r>
        <w:t>at</w:t>
      </w:r>
      <w:r>
        <w:rPr>
          <w:spacing w:val="-2"/>
        </w:rPr>
        <w:t xml:space="preserve"> </w:t>
      </w:r>
      <w:r>
        <w:t>least</w:t>
      </w:r>
      <w:r>
        <w:rPr>
          <w:spacing w:val="-4"/>
        </w:rPr>
        <w:t xml:space="preserve"> </w:t>
      </w:r>
      <w:r>
        <w:t>use,</w:t>
      </w:r>
      <w:r>
        <w:rPr>
          <w:spacing w:val="-4"/>
        </w:rPr>
        <w:t xml:space="preserve"> </w:t>
      </w:r>
      <w:r>
        <w:t>more sunscreen</w:t>
      </w:r>
      <w:r>
        <w:rPr>
          <w:spacing w:val="-2"/>
        </w:rPr>
        <w:t xml:space="preserve"> </w:t>
      </w:r>
      <w:r>
        <w:t>than</w:t>
      </w:r>
      <w:r>
        <w:rPr>
          <w:spacing w:val="-2"/>
        </w:rPr>
        <w:t xml:space="preserve"> </w:t>
      </w:r>
      <w:r>
        <w:t>other</w:t>
      </w:r>
      <w:r>
        <w:rPr>
          <w:spacing w:val="-1"/>
        </w:rPr>
        <w:t xml:space="preserve"> </w:t>
      </w:r>
      <w:r>
        <w:t>nations.</w:t>
      </w:r>
      <w:r>
        <w:rPr>
          <w:spacing w:val="-2"/>
        </w:rPr>
        <w:t xml:space="preserve"> </w:t>
      </w:r>
      <w:r>
        <w:t>Sunscreen</w:t>
      </w:r>
      <w:r>
        <w:rPr>
          <w:spacing w:val="-2"/>
        </w:rPr>
        <w:t xml:space="preserve"> </w:t>
      </w:r>
      <w:r>
        <w:t>in Australia play</w:t>
      </w:r>
      <w:r>
        <w:rPr>
          <w:spacing w:val="-1"/>
        </w:rPr>
        <w:t xml:space="preserve"> </w:t>
      </w:r>
      <w:r>
        <w:t>a vital</w:t>
      </w:r>
      <w:r>
        <w:rPr>
          <w:spacing w:val="-3"/>
        </w:rPr>
        <w:t xml:space="preserve"> </w:t>
      </w:r>
      <w:r>
        <w:t>role in</w:t>
      </w:r>
      <w:r>
        <w:rPr>
          <w:spacing w:val="-2"/>
        </w:rPr>
        <w:t xml:space="preserve"> </w:t>
      </w:r>
      <w:r>
        <w:t>public</w:t>
      </w:r>
      <w:r>
        <w:rPr>
          <w:spacing w:val="-1"/>
        </w:rPr>
        <w:t xml:space="preserve"> </w:t>
      </w:r>
      <w:r>
        <w:t>health and</w:t>
      </w:r>
      <w:r>
        <w:rPr>
          <w:spacing w:val="-1"/>
        </w:rPr>
        <w:t xml:space="preserve"> </w:t>
      </w:r>
      <w:r>
        <w:t>are permitted to make claims relating to preventing skin cancer and are regulated as therapeutic goods under stricter standards than in some international jurisdictions where they are classified as cosmetics. Continued reliance on a European exposure model, rather than developing a tailored Australian approach based on current evidence, could undermine</w:t>
      </w:r>
      <w:r w:rsidR="008F0D02">
        <w:t xml:space="preserve"> confidence in sunscreen regulation and its use as a protective measure against UV</w:t>
      </w:r>
      <w:r w:rsidR="00B034D8">
        <w:t>R</w:t>
      </w:r>
      <w:r w:rsidR="008F0D02">
        <w:t xml:space="preserve"> in Australia. </w:t>
      </w:r>
    </w:p>
    <w:p w14:paraId="063EE704" w14:textId="4A89F49D" w:rsidR="007E268B" w:rsidRDefault="00F13D76" w:rsidP="007E268B">
      <w:pPr>
        <w:pStyle w:val="Heading3"/>
      </w:pPr>
      <w:bookmarkStart w:id="129" w:name="_Toc184730600"/>
      <w:r>
        <w:t>Option 3 –</w:t>
      </w:r>
      <w:r w:rsidR="007E268B">
        <w:t xml:space="preserve"> Status Quo</w:t>
      </w:r>
      <w:bookmarkEnd w:id="129"/>
    </w:p>
    <w:p w14:paraId="36312652" w14:textId="2A177116" w:rsidR="007E268B" w:rsidRDefault="007E268B" w:rsidP="00F47305">
      <w:pPr>
        <w:pStyle w:val="Heading4"/>
      </w:pPr>
      <w:bookmarkStart w:id="130" w:name="_Toc184730601"/>
      <w:r>
        <w:t>Reasons for Option 3</w:t>
      </w:r>
      <w:bookmarkEnd w:id="130"/>
    </w:p>
    <w:p w14:paraId="1697F587" w14:textId="77777777" w:rsidR="007E268B" w:rsidRPr="00C9282D" w:rsidRDefault="007E268B" w:rsidP="006D28D0">
      <w:pPr>
        <w:pStyle w:val="ListBullet"/>
        <w:rPr>
          <w:rFonts w:ascii="Symbol" w:hAnsi="Symbol"/>
        </w:rPr>
      </w:pPr>
      <w:r w:rsidRPr="00C9282D">
        <w:t>Applicants have greater flexibility to employ diverse scientific justifications to support evaluations of new sunscreen ingredients. This may better account for technological advancements,</w:t>
      </w:r>
      <w:r w:rsidRPr="00C9282D">
        <w:rPr>
          <w:spacing w:val="-6"/>
        </w:rPr>
        <w:t xml:space="preserve"> </w:t>
      </w:r>
      <w:r w:rsidRPr="00C9282D">
        <w:t>changes</w:t>
      </w:r>
      <w:r w:rsidRPr="00C9282D">
        <w:rPr>
          <w:spacing w:val="-5"/>
        </w:rPr>
        <w:t xml:space="preserve"> </w:t>
      </w:r>
      <w:r w:rsidRPr="00C9282D">
        <w:t>in</w:t>
      </w:r>
      <w:r w:rsidRPr="00C9282D">
        <w:rPr>
          <w:spacing w:val="-1"/>
        </w:rPr>
        <w:t xml:space="preserve"> </w:t>
      </w:r>
      <w:r w:rsidRPr="00C9282D">
        <w:t>public</w:t>
      </w:r>
      <w:r w:rsidRPr="00C9282D">
        <w:rPr>
          <w:spacing w:val="-5"/>
        </w:rPr>
        <w:t xml:space="preserve"> </w:t>
      </w:r>
      <w:r w:rsidRPr="00C9282D">
        <w:t>behaviour,</w:t>
      </w:r>
      <w:r w:rsidRPr="00C9282D">
        <w:rPr>
          <w:spacing w:val="-4"/>
        </w:rPr>
        <w:t xml:space="preserve"> </w:t>
      </w:r>
      <w:r w:rsidRPr="00C9282D">
        <w:t>and</w:t>
      </w:r>
      <w:r w:rsidRPr="00C9282D">
        <w:rPr>
          <w:spacing w:val="-4"/>
        </w:rPr>
        <w:t xml:space="preserve"> </w:t>
      </w:r>
      <w:r w:rsidRPr="00C9282D">
        <w:t>emerging</w:t>
      </w:r>
      <w:r w:rsidRPr="00C9282D">
        <w:rPr>
          <w:spacing w:val="-6"/>
        </w:rPr>
        <w:t xml:space="preserve"> </w:t>
      </w:r>
      <w:r w:rsidRPr="00C9282D">
        <w:t>scientific</w:t>
      </w:r>
      <w:r w:rsidRPr="00C9282D">
        <w:rPr>
          <w:spacing w:val="-5"/>
        </w:rPr>
        <w:t xml:space="preserve"> </w:t>
      </w:r>
      <w:r w:rsidRPr="00C9282D">
        <w:t>evidence</w:t>
      </w:r>
      <w:r w:rsidRPr="00C9282D">
        <w:rPr>
          <w:spacing w:val="-4"/>
        </w:rPr>
        <w:t xml:space="preserve"> </w:t>
      </w:r>
      <w:r w:rsidRPr="00C9282D">
        <w:t>and</w:t>
      </w:r>
      <w:r w:rsidRPr="00C9282D">
        <w:rPr>
          <w:spacing w:val="-4"/>
        </w:rPr>
        <w:t xml:space="preserve"> </w:t>
      </w:r>
      <w:r w:rsidRPr="00C9282D">
        <w:t>sunscreen use guidelines and risk assessments.</w:t>
      </w:r>
    </w:p>
    <w:p w14:paraId="5EB2F86F" w14:textId="7E7F9101" w:rsidR="007E268B" w:rsidRDefault="007E268B" w:rsidP="00F47305">
      <w:pPr>
        <w:pStyle w:val="Heading4"/>
      </w:pPr>
      <w:bookmarkStart w:id="131" w:name="_Toc184730602"/>
      <w:r>
        <w:t>Reasons against Option 3</w:t>
      </w:r>
      <w:bookmarkEnd w:id="131"/>
    </w:p>
    <w:p w14:paraId="5B1E064A" w14:textId="77777777" w:rsidR="007E268B" w:rsidRPr="002B2B83" w:rsidRDefault="007E268B" w:rsidP="006D28D0">
      <w:pPr>
        <w:pStyle w:val="ListBullet"/>
        <w:rPr>
          <w:rFonts w:ascii="Symbol" w:hAnsi="Symbol"/>
        </w:rPr>
      </w:pPr>
      <w:r w:rsidRPr="002B2B83">
        <w:t>The current approach has resulted in regulatory inconsistencies, leading to confusion and uncertainty. This is problematic given the lengthy research and development process required to bring new ingredients to market, with tests that may need to be conducted at the proposed concentration for final products. Uncertainty about the concentration that may be approved by the</w:t>
      </w:r>
      <w:r w:rsidRPr="002B2B83">
        <w:rPr>
          <w:spacing w:val="-4"/>
        </w:rPr>
        <w:t xml:space="preserve"> </w:t>
      </w:r>
      <w:r w:rsidRPr="002B2B83">
        <w:t>TGA,</w:t>
      </w:r>
      <w:r w:rsidRPr="002B2B83">
        <w:rPr>
          <w:spacing w:val="-2"/>
        </w:rPr>
        <w:t xml:space="preserve"> </w:t>
      </w:r>
      <w:r w:rsidRPr="002B2B83">
        <w:t>based</w:t>
      </w:r>
      <w:r w:rsidRPr="002B2B83">
        <w:rPr>
          <w:spacing w:val="-4"/>
        </w:rPr>
        <w:t xml:space="preserve"> </w:t>
      </w:r>
      <w:r w:rsidRPr="002B2B83">
        <w:t>on</w:t>
      </w:r>
      <w:r w:rsidRPr="002B2B83">
        <w:rPr>
          <w:spacing w:val="-4"/>
        </w:rPr>
        <w:t xml:space="preserve"> </w:t>
      </w:r>
      <w:r w:rsidRPr="002B2B83">
        <w:t>the</w:t>
      </w:r>
      <w:r w:rsidRPr="002B2B83">
        <w:rPr>
          <w:spacing w:val="-4"/>
        </w:rPr>
        <w:t xml:space="preserve"> </w:t>
      </w:r>
      <w:r w:rsidRPr="002B2B83">
        <w:t>assessment</w:t>
      </w:r>
      <w:r w:rsidRPr="002B2B83">
        <w:rPr>
          <w:spacing w:val="-2"/>
        </w:rPr>
        <w:t xml:space="preserve"> </w:t>
      </w:r>
      <w:r w:rsidRPr="002B2B83">
        <w:t>methodology,</w:t>
      </w:r>
      <w:r w:rsidRPr="002B2B83">
        <w:rPr>
          <w:spacing w:val="-4"/>
        </w:rPr>
        <w:t xml:space="preserve"> </w:t>
      </w:r>
      <w:r w:rsidRPr="002B2B83">
        <w:t>can</w:t>
      </w:r>
      <w:r w:rsidRPr="002B2B83">
        <w:rPr>
          <w:spacing w:val="-2"/>
        </w:rPr>
        <w:t xml:space="preserve"> </w:t>
      </w:r>
      <w:r w:rsidRPr="002B2B83">
        <w:t>stifle</w:t>
      </w:r>
      <w:r w:rsidRPr="002B2B83">
        <w:rPr>
          <w:spacing w:val="-2"/>
        </w:rPr>
        <w:t xml:space="preserve"> </w:t>
      </w:r>
      <w:r w:rsidRPr="002B2B83">
        <w:t>innovation</w:t>
      </w:r>
      <w:r w:rsidRPr="002B2B83">
        <w:rPr>
          <w:spacing w:val="-2"/>
        </w:rPr>
        <w:t xml:space="preserve"> </w:t>
      </w:r>
      <w:r w:rsidRPr="002B2B83">
        <w:t>and</w:t>
      </w:r>
      <w:r w:rsidRPr="002B2B83">
        <w:rPr>
          <w:spacing w:val="-4"/>
        </w:rPr>
        <w:t xml:space="preserve"> </w:t>
      </w:r>
      <w:r w:rsidRPr="002B2B83">
        <w:t>the</w:t>
      </w:r>
      <w:r w:rsidRPr="002B2B83">
        <w:rPr>
          <w:spacing w:val="-4"/>
        </w:rPr>
        <w:t xml:space="preserve"> </w:t>
      </w:r>
      <w:r w:rsidRPr="002B2B83">
        <w:t>development</w:t>
      </w:r>
      <w:r w:rsidRPr="002B2B83">
        <w:rPr>
          <w:spacing w:val="-4"/>
        </w:rPr>
        <w:t xml:space="preserve"> </w:t>
      </w:r>
      <w:r w:rsidRPr="002B2B83">
        <w:t>of new sunscreen ingredients.</w:t>
      </w:r>
    </w:p>
    <w:p w14:paraId="29E41954" w14:textId="77777777" w:rsidR="007E268B" w:rsidRPr="002B2B83" w:rsidRDefault="007E268B" w:rsidP="006D28D0">
      <w:pPr>
        <w:pStyle w:val="ListBullet"/>
        <w:rPr>
          <w:rFonts w:ascii="Symbol" w:hAnsi="Symbol"/>
        </w:rPr>
      </w:pPr>
      <w:r w:rsidRPr="002B2B83">
        <w:t>The absence of an agreed estimated daily sunscreen exposure value means there is no standardised</w:t>
      </w:r>
      <w:r w:rsidRPr="002B2B83">
        <w:rPr>
          <w:spacing w:val="-4"/>
        </w:rPr>
        <w:t xml:space="preserve"> </w:t>
      </w:r>
      <w:r w:rsidRPr="002B2B83">
        <w:t>method</w:t>
      </w:r>
      <w:r w:rsidRPr="002B2B83">
        <w:rPr>
          <w:spacing w:val="-4"/>
        </w:rPr>
        <w:t xml:space="preserve"> </w:t>
      </w:r>
      <w:r w:rsidRPr="002B2B83">
        <w:t>for</w:t>
      </w:r>
      <w:r w:rsidRPr="002B2B83">
        <w:rPr>
          <w:spacing w:val="-5"/>
        </w:rPr>
        <w:t xml:space="preserve"> </w:t>
      </w:r>
      <w:r w:rsidRPr="002B2B83">
        <w:t>evaluating</w:t>
      </w:r>
      <w:r w:rsidRPr="002B2B83">
        <w:rPr>
          <w:spacing w:val="-6"/>
        </w:rPr>
        <w:t xml:space="preserve"> </w:t>
      </w:r>
      <w:r w:rsidRPr="002B2B83">
        <w:t>sunscreen</w:t>
      </w:r>
      <w:r w:rsidRPr="002B2B83">
        <w:rPr>
          <w:spacing w:val="-6"/>
        </w:rPr>
        <w:t xml:space="preserve"> </w:t>
      </w:r>
      <w:r w:rsidRPr="002B2B83">
        <w:t>ingredients,</w:t>
      </w:r>
      <w:r w:rsidRPr="002B2B83">
        <w:rPr>
          <w:spacing w:val="-6"/>
        </w:rPr>
        <w:t xml:space="preserve"> </w:t>
      </w:r>
      <w:r w:rsidRPr="002B2B83">
        <w:t>potentially</w:t>
      </w:r>
      <w:r w:rsidRPr="002B2B83">
        <w:rPr>
          <w:spacing w:val="-5"/>
        </w:rPr>
        <w:t xml:space="preserve"> </w:t>
      </w:r>
      <w:r w:rsidRPr="002B2B83">
        <w:t>leading</w:t>
      </w:r>
      <w:r w:rsidRPr="002B2B83">
        <w:rPr>
          <w:spacing w:val="-6"/>
        </w:rPr>
        <w:t xml:space="preserve"> </w:t>
      </w:r>
      <w:r w:rsidRPr="002B2B83">
        <w:t>to</w:t>
      </w:r>
      <w:r w:rsidRPr="002B2B83">
        <w:rPr>
          <w:spacing w:val="-4"/>
        </w:rPr>
        <w:t xml:space="preserve"> </w:t>
      </w:r>
      <w:r w:rsidRPr="002B2B83">
        <w:t>discrepancies in risk assessments where some may be overly conservative, while others may not be conservative enough.</w:t>
      </w:r>
    </w:p>
    <w:p w14:paraId="2EAC7A31" w14:textId="77777777" w:rsidR="007E268B" w:rsidRPr="002B2B83" w:rsidRDefault="007E268B" w:rsidP="006D28D0">
      <w:pPr>
        <w:pStyle w:val="ListBullet"/>
        <w:rPr>
          <w:rFonts w:ascii="Symbol" w:hAnsi="Symbol"/>
        </w:rPr>
      </w:pPr>
      <w:r w:rsidRPr="002B2B83">
        <w:t>Without a universally accepted approach, evaluations are more prone to being challenged, leading to increased time and resources expended by all stakeholders in debating application decisions.</w:t>
      </w:r>
      <w:r w:rsidRPr="002B2B83">
        <w:rPr>
          <w:spacing w:val="-4"/>
        </w:rPr>
        <w:t xml:space="preserve"> </w:t>
      </w:r>
      <w:r w:rsidRPr="002B2B83">
        <w:t>This</w:t>
      </w:r>
      <w:r w:rsidRPr="002B2B83">
        <w:rPr>
          <w:spacing w:val="-3"/>
        </w:rPr>
        <w:t xml:space="preserve"> </w:t>
      </w:r>
      <w:r w:rsidRPr="002B2B83">
        <w:t>not</w:t>
      </w:r>
      <w:r w:rsidRPr="002B2B83">
        <w:rPr>
          <w:spacing w:val="-2"/>
        </w:rPr>
        <w:t xml:space="preserve"> </w:t>
      </w:r>
      <w:r w:rsidRPr="002B2B83">
        <w:t>only</w:t>
      </w:r>
      <w:r w:rsidRPr="002B2B83">
        <w:rPr>
          <w:spacing w:val="-3"/>
        </w:rPr>
        <w:t xml:space="preserve"> </w:t>
      </w:r>
      <w:r w:rsidRPr="002B2B83">
        <w:t>delays</w:t>
      </w:r>
      <w:r w:rsidRPr="002B2B83">
        <w:rPr>
          <w:spacing w:val="-3"/>
        </w:rPr>
        <w:t xml:space="preserve"> </w:t>
      </w:r>
      <w:r w:rsidRPr="002B2B83">
        <w:t>the</w:t>
      </w:r>
      <w:r w:rsidRPr="002B2B83">
        <w:rPr>
          <w:spacing w:val="-4"/>
        </w:rPr>
        <w:t xml:space="preserve"> </w:t>
      </w:r>
      <w:r w:rsidRPr="002B2B83">
        <w:t>introduction</w:t>
      </w:r>
      <w:r w:rsidRPr="002B2B83">
        <w:rPr>
          <w:spacing w:val="-4"/>
        </w:rPr>
        <w:t xml:space="preserve"> </w:t>
      </w:r>
      <w:r w:rsidRPr="002B2B83">
        <w:t>of</w:t>
      </w:r>
      <w:r w:rsidRPr="002B2B83">
        <w:rPr>
          <w:spacing w:val="-2"/>
        </w:rPr>
        <w:t xml:space="preserve"> </w:t>
      </w:r>
      <w:r w:rsidRPr="002B2B83">
        <w:t>new sunscreen</w:t>
      </w:r>
      <w:r w:rsidRPr="002B2B83">
        <w:rPr>
          <w:spacing w:val="-4"/>
        </w:rPr>
        <w:t xml:space="preserve"> </w:t>
      </w:r>
      <w:r w:rsidRPr="002B2B83">
        <w:t>ingredients</w:t>
      </w:r>
      <w:r w:rsidRPr="002B2B83">
        <w:rPr>
          <w:spacing w:val="-3"/>
        </w:rPr>
        <w:t xml:space="preserve"> </w:t>
      </w:r>
      <w:r w:rsidRPr="002B2B83">
        <w:t>but also</w:t>
      </w:r>
      <w:r w:rsidRPr="002B2B83">
        <w:rPr>
          <w:spacing w:val="-4"/>
        </w:rPr>
        <w:t xml:space="preserve"> </w:t>
      </w:r>
      <w:r w:rsidRPr="002B2B83">
        <w:t>burdens the regulatory process with unnecessary contention.</w:t>
      </w:r>
    </w:p>
    <w:p w14:paraId="29D87900" w14:textId="77777777" w:rsidR="007E268B" w:rsidRPr="00972C88" w:rsidRDefault="007E268B" w:rsidP="006D28D0">
      <w:pPr>
        <w:pStyle w:val="ListBullet"/>
        <w:rPr>
          <w:rFonts w:ascii="Symbol" w:hAnsi="Symbol"/>
        </w:rPr>
      </w:pPr>
      <w:r w:rsidRPr="002B2B83">
        <w:t>Applicants</w:t>
      </w:r>
      <w:r w:rsidRPr="002B2B83">
        <w:rPr>
          <w:spacing w:val="-3"/>
        </w:rPr>
        <w:t xml:space="preserve"> </w:t>
      </w:r>
      <w:r w:rsidRPr="002B2B83">
        <w:t>may be</w:t>
      </w:r>
      <w:r w:rsidRPr="002B2B83">
        <w:rPr>
          <w:spacing w:val="-4"/>
        </w:rPr>
        <w:t xml:space="preserve"> </w:t>
      </w:r>
      <w:r w:rsidRPr="002B2B83">
        <w:t>required</w:t>
      </w:r>
      <w:r w:rsidRPr="002B2B83">
        <w:rPr>
          <w:spacing w:val="-2"/>
        </w:rPr>
        <w:t xml:space="preserve"> </w:t>
      </w:r>
      <w:r w:rsidRPr="002B2B83">
        <w:t>to</w:t>
      </w:r>
      <w:r w:rsidRPr="002B2B83">
        <w:rPr>
          <w:spacing w:val="-4"/>
        </w:rPr>
        <w:t xml:space="preserve"> </w:t>
      </w:r>
      <w:r w:rsidRPr="002B2B83">
        <w:t>provide</w:t>
      </w:r>
      <w:r w:rsidRPr="002B2B83">
        <w:rPr>
          <w:spacing w:val="-4"/>
        </w:rPr>
        <w:t xml:space="preserve"> </w:t>
      </w:r>
      <w:r w:rsidRPr="002B2B83">
        <w:t>scientifically</w:t>
      </w:r>
      <w:r w:rsidRPr="002B2B83">
        <w:rPr>
          <w:spacing w:val="-3"/>
        </w:rPr>
        <w:t xml:space="preserve"> </w:t>
      </w:r>
      <w:r w:rsidRPr="002B2B83">
        <w:t>robust</w:t>
      </w:r>
      <w:r w:rsidRPr="002B2B83">
        <w:rPr>
          <w:spacing w:val="-4"/>
        </w:rPr>
        <w:t xml:space="preserve"> </w:t>
      </w:r>
      <w:r w:rsidRPr="002B2B83">
        <w:t>arguments</w:t>
      </w:r>
      <w:r w:rsidRPr="002B2B83">
        <w:rPr>
          <w:spacing w:val="-3"/>
        </w:rPr>
        <w:t xml:space="preserve"> </w:t>
      </w:r>
      <w:r w:rsidRPr="002B2B83">
        <w:t>to</w:t>
      </w:r>
      <w:r w:rsidRPr="002B2B83">
        <w:rPr>
          <w:spacing w:val="-4"/>
        </w:rPr>
        <w:t xml:space="preserve"> </w:t>
      </w:r>
      <w:r w:rsidRPr="002B2B83">
        <w:t>support</w:t>
      </w:r>
      <w:r w:rsidRPr="002B2B83">
        <w:rPr>
          <w:spacing w:val="-4"/>
        </w:rPr>
        <w:t xml:space="preserve"> </w:t>
      </w:r>
      <w:r w:rsidRPr="002B2B83">
        <w:t>their</w:t>
      </w:r>
      <w:r w:rsidRPr="002B2B83">
        <w:rPr>
          <w:spacing w:val="-3"/>
        </w:rPr>
        <w:t xml:space="preserve"> </w:t>
      </w:r>
      <w:r w:rsidRPr="002B2B83">
        <w:t>chosen approach, which may not be supported by the TGA evaluator if not well-founded. Given the complexity of assessing</w:t>
      </w:r>
      <w:r w:rsidRPr="002B2B83">
        <w:rPr>
          <w:spacing w:val="-1"/>
        </w:rPr>
        <w:t xml:space="preserve"> </w:t>
      </w:r>
      <w:r w:rsidRPr="002B2B83">
        <w:t>sunscreen</w:t>
      </w:r>
      <w:r w:rsidRPr="002B2B83">
        <w:rPr>
          <w:spacing w:val="-1"/>
        </w:rPr>
        <w:t xml:space="preserve"> </w:t>
      </w:r>
      <w:r w:rsidRPr="002B2B83">
        <w:t>exposure,</w:t>
      </w:r>
      <w:r w:rsidRPr="002B2B83">
        <w:rPr>
          <w:spacing w:val="-1"/>
        </w:rPr>
        <w:t xml:space="preserve"> </w:t>
      </w:r>
      <w:r w:rsidRPr="002B2B83">
        <w:t>this could</w:t>
      </w:r>
      <w:r w:rsidRPr="002B2B83">
        <w:rPr>
          <w:spacing w:val="-1"/>
        </w:rPr>
        <w:t xml:space="preserve"> </w:t>
      </w:r>
      <w:r w:rsidRPr="002B2B83">
        <w:t>pose</w:t>
      </w:r>
      <w:r w:rsidRPr="002B2B83">
        <w:rPr>
          <w:spacing w:val="-1"/>
        </w:rPr>
        <w:t xml:space="preserve"> </w:t>
      </w:r>
      <w:r w:rsidRPr="002B2B83">
        <w:t>significant</w:t>
      </w:r>
      <w:r w:rsidRPr="002B2B83">
        <w:rPr>
          <w:spacing w:val="-1"/>
        </w:rPr>
        <w:t xml:space="preserve"> </w:t>
      </w:r>
      <w:r w:rsidRPr="002B2B83">
        <w:t>challenges and add unnecessary regulatory costs for new ingredient applicants.</w:t>
      </w:r>
    </w:p>
    <w:p w14:paraId="1B4534F5" w14:textId="3E8C4420" w:rsidR="00606BA0" w:rsidRPr="00CD2711" w:rsidRDefault="00606BA0" w:rsidP="006D28D0">
      <w:pPr>
        <w:pStyle w:val="ListBullet"/>
        <w:rPr>
          <w:rFonts w:ascii="Symbol" w:hAnsi="Symbol"/>
        </w:rPr>
      </w:pPr>
      <w:r w:rsidRPr="002B2B83">
        <w:t>Some estimated daily sunscreen exposure values proposed by applicants, and those ultimately employed</w:t>
      </w:r>
      <w:r w:rsidRPr="002B2B83">
        <w:rPr>
          <w:spacing w:val="-4"/>
        </w:rPr>
        <w:t xml:space="preserve"> </w:t>
      </w:r>
      <w:r w:rsidRPr="002B2B83">
        <w:t>may not</w:t>
      </w:r>
      <w:r w:rsidRPr="002B2B83">
        <w:rPr>
          <w:spacing w:val="-4"/>
        </w:rPr>
        <w:t xml:space="preserve"> </w:t>
      </w:r>
      <w:r w:rsidRPr="002B2B83">
        <w:t>adequately</w:t>
      </w:r>
      <w:r w:rsidRPr="002B2B83">
        <w:rPr>
          <w:spacing w:val="-3"/>
        </w:rPr>
        <w:t xml:space="preserve"> </w:t>
      </w:r>
      <w:r w:rsidRPr="002B2B83">
        <w:t>reflect</w:t>
      </w:r>
      <w:r w:rsidRPr="002B2B83">
        <w:rPr>
          <w:spacing w:val="-4"/>
        </w:rPr>
        <w:t xml:space="preserve"> </w:t>
      </w:r>
      <w:r w:rsidRPr="002B2B83">
        <w:t>the</w:t>
      </w:r>
      <w:r w:rsidRPr="002B2B83">
        <w:rPr>
          <w:spacing w:val="-4"/>
        </w:rPr>
        <w:t xml:space="preserve"> </w:t>
      </w:r>
      <w:r w:rsidRPr="002B2B83">
        <w:t>unique</w:t>
      </w:r>
      <w:r w:rsidRPr="002B2B83">
        <w:rPr>
          <w:spacing w:val="-4"/>
        </w:rPr>
        <w:t xml:space="preserve"> </w:t>
      </w:r>
      <w:r w:rsidRPr="002B2B83">
        <w:t>Australian</w:t>
      </w:r>
      <w:r w:rsidRPr="002B2B83">
        <w:rPr>
          <w:spacing w:val="-4"/>
        </w:rPr>
        <w:t xml:space="preserve"> </w:t>
      </w:r>
      <w:r w:rsidRPr="002B2B83">
        <w:t>context,</w:t>
      </w:r>
      <w:r w:rsidRPr="002B2B83">
        <w:rPr>
          <w:spacing w:val="-4"/>
        </w:rPr>
        <w:t xml:space="preserve"> </w:t>
      </w:r>
      <w:r w:rsidRPr="002B2B83">
        <w:t>such</w:t>
      </w:r>
      <w:r w:rsidRPr="002B2B83">
        <w:rPr>
          <w:spacing w:val="-4"/>
        </w:rPr>
        <w:t xml:space="preserve"> </w:t>
      </w:r>
      <w:r w:rsidRPr="002B2B83">
        <w:t>as</w:t>
      </w:r>
      <w:r w:rsidRPr="002B2B83">
        <w:rPr>
          <w:spacing w:val="-3"/>
        </w:rPr>
        <w:t xml:space="preserve"> </w:t>
      </w:r>
      <w:r w:rsidRPr="002B2B83">
        <w:t>the higher levels of UV exposure and adherence to current evidence-based guidelines for effective sun protection. The methods employed may not account for Australian practices today for the most frequent sunscreen users.</w:t>
      </w:r>
    </w:p>
    <w:p w14:paraId="38E34923" w14:textId="77777777" w:rsidR="00CD2711" w:rsidRDefault="00CD2711" w:rsidP="00CD2711">
      <w:pPr>
        <w:pStyle w:val="Heading3"/>
      </w:pPr>
      <w:bookmarkStart w:id="132" w:name="_Toc184730603"/>
      <w:r>
        <w:t>Consideration of regulatory cost</w:t>
      </w:r>
      <w:bookmarkEnd w:id="132"/>
    </w:p>
    <w:p w14:paraId="0AEFA6D7" w14:textId="62DFE741" w:rsidR="004B6E0D" w:rsidRDefault="00613D5C" w:rsidP="004B6E0D">
      <w:r>
        <w:t>A</w:t>
      </w:r>
      <w:r w:rsidR="004B6E0D">
        <w:t xml:space="preserve"> meaningful </w:t>
      </w:r>
      <w:r w:rsidR="0002183D">
        <w:t xml:space="preserve">or comprehensive </w:t>
      </w:r>
      <w:r w:rsidR="004B6E0D">
        <w:t xml:space="preserve">regulatory burden estimate cannot be calculated due the absence of data, the large number of </w:t>
      </w:r>
      <w:r>
        <w:t xml:space="preserve">associated </w:t>
      </w:r>
      <w:r w:rsidR="004B6E0D">
        <w:t xml:space="preserve">uncertainties </w:t>
      </w:r>
      <w:r w:rsidR="005E3E24">
        <w:t>and circumstantial aspects</w:t>
      </w:r>
      <w:r w:rsidR="004B6E0D">
        <w:t xml:space="preserve">. </w:t>
      </w:r>
      <w:r>
        <w:t>I</w:t>
      </w:r>
      <w:r w:rsidR="005E3E24">
        <w:t>nformation to quantify the impacts were also not able to be provided by the</w:t>
      </w:r>
      <w:r w:rsidR="004B6E0D">
        <w:t xml:space="preserve"> industry. </w:t>
      </w:r>
    </w:p>
    <w:p w14:paraId="26E0414D" w14:textId="58003DB6" w:rsidR="004B6E0D" w:rsidRDefault="00160D2B" w:rsidP="004B6E0D">
      <w:r>
        <w:t>As such, f</w:t>
      </w:r>
      <w:r w:rsidR="004B6E0D">
        <w:t>or the purposes of the IA, a</w:t>
      </w:r>
      <w:r>
        <w:t xml:space="preserve"> purely</w:t>
      </w:r>
      <w:r w:rsidR="004B6E0D">
        <w:t xml:space="preserve"> hypothetical</w:t>
      </w:r>
      <w:r>
        <w:t>, wo</w:t>
      </w:r>
      <w:r w:rsidR="00DB0E76">
        <w:t>r</w:t>
      </w:r>
      <w:r>
        <w:t>st-case</w:t>
      </w:r>
      <w:r w:rsidR="004B6E0D">
        <w:t xml:space="preserve"> example is provided below to demonstrate what the potential regulatory burden</w:t>
      </w:r>
      <w:r w:rsidR="00F47305">
        <w:t xml:space="preserve"> for applicants</w:t>
      </w:r>
      <w:r w:rsidR="004B6E0D">
        <w:t xml:space="preserve"> may be for</w:t>
      </w:r>
      <w:r w:rsidR="00002685">
        <w:t xml:space="preserve"> having regulatory certainty about the exposure calculation that would be used (Option 1), and that would result in approval of the ingredient at the first application attempt</w:t>
      </w:r>
      <w:r w:rsidR="004B6E0D">
        <w:t>.</w:t>
      </w:r>
      <w:r>
        <w:t xml:space="preserve"> </w:t>
      </w:r>
      <w:r w:rsidR="0002183D">
        <w:t xml:space="preserve">The cost of preparing an application using each option is considered, on the basis that the data (e.g. the toxicity and skin absorption studies) would be the same in each application, and only the exposure calculation and or accompanying justification differs for each option considered. </w:t>
      </w:r>
    </w:p>
    <w:p w14:paraId="70541088" w14:textId="72543648" w:rsidR="00925E3F" w:rsidRDefault="00160D2B" w:rsidP="00C564D3">
      <w:r>
        <w:t>Option 1 is the only choice that guarantees certainty about the exposure calculation used to determine the maximum permitted concentration. Option 2 has two methods that can result in significant discrepancies in the Margin of Safety (MoS), even when using the same data. Option 3 provides no certainty at all.</w:t>
      </w:r>
      <w:r w:rsidR="00AF5B2A">
        <w:t xml:space="preserve"> This also means no scientific justifications are required by an applicant using Option 1, whereas </w:t>
      </w:r>
      <w:r w:rsidR="00F940AA">
        <w:t xml:space="preserve">Options </w:t>
      </w:r>
      <w:r w:rsidR="00AF5B2A">
        <w:t xml:space="preserve">2 and 3 are likely to need justification to support the validity of the approach taken by the applicant. Justifications are often supported with literature or references to relevant guidance or data. </w:t>
      </w:r>
      <w:r>
        <w:t xml:space="preserve">A regulatory cost would only apply to an ingredient that has been shown to be absorbed through the skin. The exposure model is not relevant for assessing ingredients that are not absorbed through the skin, as there is no systemic </w:t>
      </w:r>
      <w:r w:rsidR="00862AB3">
        <w:t>exposure. Between</w:t>
      </w:r>
      <w:r>
        <w:t xml:space="preserve"> 2021 and 2024, the TGA received only </w:t>
      </w:r>
      <w:r w:rsidR="004E4125">
        <w:t>3</w:t>
      </w:r>
      <w:r>
        <w:t xml:space="preserve"> applications to evaluate new ingredients for use in sunscreens that are absorbed and require consideration of exposure</w:t>
      </w:r>
      <w:r w:rsidR="00A64531">
        <w:t xml:space="preserve">. As such, for the purposes of calculating the regulatory burden </w:t>
      </w:r>
      <w:r w:rsidR="006D28D0">
        <w:t xml:space="preserve">estimates </w:t>
      </w:r>
      <w:r w:rsidR="00A64531">
        <w:t xml:space="preserve">and consistent with the </w:t>
      </w:r>
      <w:r w:rsidR="006D28D0">
        <w:t>O</w:t>
      </w:r>
      <w:r w:rsidR="00A64531">
        <w:t>IA guidelines, the assumption is that over a 10-year period a total of 7.5 applications would be received.</w:t>
      </w:r>
    </w:p>
    <w:p w14:paraId="23292582" w14:textId="08D03B17" w:rsidR="00160D2B" w:rsidRDefault="00160D2B" w:rsidP="00C564D3">
      <w:r>
        <w:t>The scenario</w:t>
      </w:r>
      <w:r w:rsidR="0002183D">
        <w:t>s</w:t>
      </w:r>
      <w:r>
        <w:t xml:space="preserve"> below </w:t>
      </w:r>
      <w:r w:rsidR="0002183D">
        <w:t>are</w:t>
      </w:r>
      <w:r>
        <w:t xml:space="preserve"> based on an ingredient evaluation failing due to the exposure calculation. This means a subsequent application for ingredient approval would be required because the proposed maximum concentration for the ingredient was not considered safe based on the exposure model calculation, not due to the quality of the application or any other factors. The scenario assumes the worst-case outcome where the ingredient is not approved because the exposure assessment is not agreed upon between the TGA evaluator and the applicant based on the guidance for each option.</w:t>
      </w:r>
    </w:p>
    <w:p w14:paraId="3464EB5A" w14:textId="574BEC79" w:rsidR="004B6E0D" w:rsidRPr="00803BFE" w:rsidRDefault="004B6E0D" w:rsidP="00C564D3">
      <w:r w:rsidRPr="00803BFE">
        <w:t>The evaluation fees are based on the current TGA Fees and Charges Summary</w:t>
      </w:r>
      <w:r w:rsidR="00A64531">
        <w:rPr>
          <w:rStyle w:val="FootnoteReference"/>
        </w:rPr>
        <w:footnoteReference w:id="26"/>
      </w:r>
      <w:r w:rsidR="005E6F98">
        <w:t xml:space="preserve">. We are using the highest fee application, </w:t>
      </w:r>
      <w:r w:rsidR="00862AB3">
        <w:t>i.e.</w:t>
      </w:r>
      <w:r w:rsidR="005E6F98">
        <w:t xml:space="preserve"> IN4, as most new sunscreen </w:t>
      </w:r>
      <w:r w:rsidR="00862AB3">
        <w:t>ingredients</w:t>
      </w:r>
      <w:r w:rsidR="005E6F98">
        <w:t xml:space="preserve"> that are novel would require this category. </w:t>
      </w:r>
      <w:r w:rsidR="00862AB3">
        <w:t>An IN4 application</w:t>
      </w:r>
      <w:r w:rsidR="005E6F98">
        <w:t xml:space="preserve"> </w:t>
      </w:r>
      <w:r w:rsidR="00862AB3">
        <w:t>has the maximum</w:t>
      </w:r>
      <w:r w:rsidR="005E6F98">
        <w:t xml:space="preserve"> data </w:t>
      </w:r>
      <w:r w:rsidR="00862AB3">
        <w:t xml:space="preserve">requirement </w:t>
      </w:r>
      <w:r w:rsidR="005E6F98">
        <w:t xml:space="preserve">and </w:t>
      </w:r>
      <w:r w:rsidR="00862AB3">
        <w:t>is charged at $3</w:t>
      </w:r>
      <w:r w:rsidR="00CD73B2">
        <w:t>,</w:t>
      </w:r>
      <w:r w:rsidR="00862AB3">
        <w:t xml:space="preserve">356 (Application fee) + $27,800 (Evaluation fee) = </w:t>
      </w:r>
      <w:r w:rsidR="00862AB3" w:rsidRPr="00C564D3">
        <w:t>$31,156</w:t>
      </w:r>
      <w:r w:rsidR="00862AB3">
        <w:t xml:space="preserve"> </w:t>
      </w:r>
      <w:r w:rsidR="00613D5C">
        <w:t>total</w:t>
      </w:r>
      <w:r w:rsidR="00862AB3">
        <w:t>.</w:t>
      </w:r>
      <w:r w:rsidR="005E6F98">
        <w:t xml:space="preserve"> </w:t>
      </w:r>
    </w:p>
    <w:p w14:paraId="45A5A54F" w14:textId="3F62C417" w:rsidR="00B76225" w:rsidRPr="00957234" w:rsidRDefault="00B76225" w:rsidP="00B76225">
      <w:pPr>
        <w:pStyle w:val="Heading4"/>
      </w:pPr>
      <w:bookmarkStart w:id="133" w:name="_Toc184730604"/>
      <w:r w:rsidRPr="00957234">
        <w:t>Cost of preparing new sunscreen ingredient application:</w:t>
      </w:r>
      <w:bookmarkEnd w:id="133"/>
    </w:p>
    <w:p w14:paraId="315A4394" w14:textId="1FE409D1" w:rsidR="00B736EC" w:rsidRDefault="00B736EC" w:rsidP="00B76225">
      <w:r w:rsidRPr="00957234">
        <w:t xml:space="preserve">In </w:t>
      </w:r>
      <w:r w:rsidR="0047714E">
        <w:t xml:space="preserve">the </w:t>
      </w:r>
      <w:r w:rsidRPr="00957234">
        <w:t>majority of cases the new substance applications received by the TGA are prepared and submitted by regulatory affairs consultants that are contracted by the sponsors (companies/industry). These consultants charge fees</w:t>
      </w:r>
      <w:r w:rsidR="00957234">
        <w:t xml:space="preserve">, based on the complexities associated with different aspects of the dossier, </w:t>
      </w:r>
      <w:r w:rsidRPr="00957234">
        <w:t xml:space="preserve">for the preparation of ingredient applications. </w:t>
      </w:r>
    </w:p>
    <w:p w14:paraId="17F7BFB5" w14:textId="519DE4EE" w:rsidR="00185343" w:rsidRDefault="00957234" w:rsidP="00B76225">
      <w:r w:rsidRPr="00957234">
        <w:t xml:space="preserve">The TGA has contacted a network of regulatory affairs consultants to ascertain an average fee for </w:t>
      </w:r>
      <w:r>
        <w:t>preparing</w:t>
      </w:r>
      <w:r w:rsidRPr="00957234">
        <w:t xml:space="preserve"> an ingredient application</w:t>
      </w:r>
      <w:r w:rsidR="003B67B2">
        <w:t xml:space="preserve"> at the highest IN4 application </w:t>
      </w:r>
      <w:r w:rsidR="00F940AA">
        <w:t>category and</w:t>
      </w:r>
      <w:r>
        <w:t xml:space="preserve"> tried to </w:t>
      </w:r>
      <w:r w:rsidR="00185343">
        <w:t xml:space="preserve">utilise that to </w:t>
      </w:r>
      <w:r>
        <w:t xml:space="preserve">establish relevant regulatory costs for the different options where varying level of uncertainties exist with regards to the </w:t>
      </w:r>
      <w:r w:rsidR="00185343">
        <w:t xml:space="preserve">appropriate </w:t>
      </w:r>
      <w:r>
        <w:t>exposure estimation.</w:t>
      </w:r>
    </w:p>
    <w:p w14:paraId="78A3A1C5" w14:textId="6F065F90" w:rsidR="00185343" w:rsidRDefault="00185343" w:rsidP="00A37044">
      <w:r>
        <w:t xml:space="preserve">Essentially, when uncertainties exist a justification based on scientific evidence/literature is required as per TGA’s guidance for </w:t>
      </w:r>
      <w:hyperlink r:id="rId59" w:history="1">
        <w:r w:rsidRPr="001F7C22">
          <w:rPr>
            <w:rStyle w:val="Hyperlink"/>
          </w:rPr>
          <w:t>understanding the requirements for new substance applications</w:t>
        </w:r>
      </w:hyperlink>
      <w:r>
        <w:t>. Briefly,</w:t>
      </w:r>
      <w:r w:rsidR="00A37044">
        <w:t xml:space="preserve"> a </w:t>
      </w:r>
      <w:r>
        <w:t>justification</w:t>
      </w:r>
      <w:r w:rsidR="00A37044">
        <w:t xml:space="preserve"> regarding the appropriate exposure calculation used should</w:t>
      </w:r>
      <w:r>
        <w:t xml:space="preserve"> </w:t>
      </w:r>
      <w:r w:rsidR="00A37044">
        <w:t xml:space="preserve">present how the </w:t>
      </w:r>
      <w:r w:rsidRPr="00185343">
        <w:t>requirement or guideline is met or addressed in a different way, in order for the application to be accepted by the TGA for evaluation</w:t>
      </w:r>
      <w:r w:rsidR="00A37044">
        <w:t xml:space="preserve"> and later suitable to assess the ingredient as safe or low risk. S</w:t>
      </w:r>
      <w:r w:rsidR="00A37044" w:rsidRPr="00185343">
        <w:t xml:space="preserve">upporting reasons </w:t>
      </w:r>
      <w:r w:rsidR="00A37044">
        <w:t>for why the approach would be valid is normally required</w:t>
      </w:r>
      <w:r w:rsidR="00A37044" w:rsidRPr="00185343">
        <w:t xml:space="preserve"> with full text citations of relevant papers if applicable</w:t>
      </w:r>
      <w:r w:rsidR="00F940AA">
        <w:t>.</w:t>
      </w:r>
      <w:r w:rsidR="00A37044">
        <w:t xml:space="preserve"> </w:t>
      </w:r>
      <w:r w:rsidRPr="00185343">
        <w:t>Justifications that are not complete and/or sound may result in an application being rejected after evaluation.</w:t>
      </w:r>
    </w:p>
    <w:p w14:paraId="7EC39612" w14:textId="13D6C542" w:rsidR="00B76225" w:rsidRPr="00957234" w:rsidRDefault="00B76225" w:rsidP="00B76225">
      <w:pPr>
        <w:rPr>
          <w:b/>
          <w:bCs/>
        </w:rPr>
      </w:pPr>
      <w:r w:rsidRPr="00957234">
        <w:rPr>
          <w:b/>
          <w:bCs/>
        </w:rPr>
        <w:t>Option 3 (Status Quo):</w:t>
      </w:r>
    </w:p>
    <w:p w14:paraId="1239BE77" w14:textId="5A435166" w:rsidR="00DD3279" w:rsidRDefault="00DD3279" w:rsidP="00185343">
      <w:r>
        <w:t xml:space="preserve">For Option 3 we assume </w:t>
      </w:r>
      <w:r w:rsidRPr="00DD3279">
        <w:t>a</w:t>
      </w:r>
      <w:r>
        <w:t>n</w:t>
      </w:r>
      <w:r w:rsidRPr="00DD3279">
        <w:t xml:space="preserve"> </w:t>
      </w:r>
      <w:r>
        <w:t xml:space="preserve">initial </w:t>
      </w:r>
      <w:r w:rsidRPr="00DD3279">
        <w:t xml:space="preserve">justification would need to be provided </w:t>
      </w:r>
      <w:r w:rsidR="00A37044" w:rsidRPr="00DD3279">
        <w:t xml:space="preserve">based </w:t>
      </w:r>
      <w:r w:rsidR="00A37044">
        <w:t>on</w:t>
      </w:r>
      <w:r w:rsidR="00A37044" w:rsidRPr="00DD3279">
        <w:t xml:space="preserve"> </w:t>
      </w:r>
      <w:r w:rsidR="00A37044">
        <w:t xml:space="preserve">good </w:t>
      </w:r>
      <w:r w:rsidR="00A37044" w:rsidRPr="00DD3279">
        <w:t xml:space="preserve">scientific </w:t>
      </w:r>
      <w:r w:rsidR="00A37044">
        <w:t>information/</w:t>
      </w:r>
      <w:r w:rsidR="00A37044" w:rsidRPr="00DD3279">
        <w:t xml:space="preserve">literature </w:t>
      </w:r>
      <w:r w:rsidRPr="00DD3279">
        <w:t>for which exposure calculation is used</w:t>
      </w:r>
      <w:r w:rsidR="00A37044">
        <w:t xml:space="preserve"> as there is currently no formal guidance or exposure model adopted in Australia. It is assumed that</w:t>
      </w:r>
      <w:r>
        <w:t xml:space="preserve"> a subsequent justification for further clarification during evaluation</w:t>
      </w:r>
      <w:r w:rsidRPr="00DD3279">
        <w:t xml:space="preserve"> would need </w:t>
      </w:r>
      <w:r w:rsidR="00A37044">
        <w:t xml:space="preserve">in the worst case </w:t>
      </w:r>
      <w:r w:rsidRPr="00DD3279">
        <w:t>to be.</w:t>
      </w:r>
    </w:p>
    <w:p w14:paraId="40A22D1B" w14:textId="16BBCDC1" w:rsidR="00185343" w:rsidRDefault="00185343" w:rsidP="00185343">
      <w:r>
        <w:t>Based on the information we have received</w:t>
      </w:r>
      <w:r w:rsidR="00A37044">
        <w:t xml:space="preserve"> from regulatory affairs consultants,</w:t>
      </w:r>
      <w:r>
        <w:t xml:space="preserve"> an average cost of preparing a dossier under status quo (Option 3), with uncertainties around the appropriate exposure estimation to use, is approximately $45,000. </w:t>
      </w:r>
      <w:r w:rsidR="00D12507">
        <w:t xml:space="preserve">This amount includes the cost of an initial justification which has been advised to be $2100, and $500 for a subsequent justification or clarification provided to the TGA if required. </w:t>
      </w:r>
      <w:r w:rsidR="00CE0174">
        <w:t>Therefore:</w:t>
      </w:r>
    </w:p>
    <w:p w14:paraId="228F0851" w14:textId="628D047B" w:rsidR="00B736EC" w:rsidRPr="006D28D0" w:rsidRDefault="00D12507" w:rsidP="006D28D0">
      <w:pPr>
        <w:pStyle w:val="ListParagraph"/>
        <w:numPr>
          <w:ilvl w:val="0"/>
          <w:numId w:val="34"/>
        </w:numPr>
      </w:pPr>
      <w:r w:rsidRPr="006D28D0">
        <w:t>t</w:t>
      </w:r>
      <w:r w:rsidR="00DD3279" w:rsidRPr="006D28D0">
        <w:t>he a</w:t>
      </w:r>
      <w:r w:rsidR="00B736EC" w:rsidRPr="006D28D0">
        <w:t xml:space="preserve">verage cost of preparing a new ingredient application dossier </w:t>
      </w:r>
      <w:r w:rsidRPr="006D28D0">
        <w:t xml:space="preserve">under Option 3 is </w:t>
      </w:r>
      <w:r w:rsidR="00B736EC" w:rsidRPr="006D28D0">
        <w:rPr>
          <w:b/>
          <w:bCs/>
        </w:rPr>
        <w:t>$</w:t>
      </w:r>
      <w:r w:rsidR="00DD3279" w:rsidRPr="006D28D0">
        <w:rPr>
          <w:b/>
          <w:bCs/>
        </w:rPr>
        <w:t>45,000</w:t>
      </w:r>
      <w:r w:rsidRPr="006D28D0">
        <w:t>.</w:t>
      </w:r>
    </w:p>
    <w:p w14:paraId="1FDACCEF" w14:textId="61C7E614" w:rsidR="00B736EC" w:rsidRPr="006D28D0" w:rsidRDefault="00CE0174" w:rsidP="006D28D0">
      <w:pPr>
        <w:pStyle w:val="ListParagraph"/>
        <w:numPr>
          <w:ilvl w:val="0"/>
          <w:numId w:val="34"/>
        </w:numPr>
      </w:pPr>
      <w:r w:rsidRPr="006D28D0">
        <w:t>t</w:t>
      </w:r>
      <w:r w:rsidR="00D12507" w:rsidRPr="006D28D0">
        <w:t>he n</w:t>
      </w:r>
      <w:r w:rsidR="00B736EC" w:rsidRPr="006D28D0">
        <w:t xml:space="preserve">umber of new ingredient (absorbed through the skin) applications submitted over </w:t>
      </w:r>
      <w:r w:rsidR="00CD73B2" w:rsidRPr="006D28D0">
        <w:t>a 10-year</w:t>
      </w:r>
      <w:r w:rsidR="00B736EC" w:rsidRPr="006D28D0">
        <w:t xml:space="preserve"> period = </w:t>
      </w:r>
      <w:r w:rsidR="00CD73B2" w:rsidRPr="006D28D0">
        <w:rPr>
          <w:b/>
          <w:bCs/>
        </w:rPr>
        <w:t>7.5</w:t>
      </w:r>
      <w:r w:rsidR="00F940AA" w:rsidRPr="006D28D0">
        <w:rPr>
          <w:b/>
          <w:bCs/>
        </w:rPr>
        <w:t>.</w:t>
      </w:r>
      <w:r w:rsidR="00B736EC" w:rsidRPr="006D28D0">
        <w:rPr>
          <w:b/>
          <w:bCs/>
        </w:rPr>
        <w:t xml:space="preserve"> </w:t>
      </w:r>
    </w:p>
    <w:p w14:paraId="159CC4F6" w14:textId="6971A59A" w:rsidR="00DD3279" w:rsidRPr="006D28D0" w:rsidRDefault="00CE0174" w:rsidP="006D28D0">
      <w:pPr>
        <w:pStyle w:val="ListParagraph"/>
        <w:numPr>
          <w:ilvl w:val="0"/>
          <w:numId w:val="34"/>
        </w:numPr>
      </w:pPr>
      <w:r w:rsidRPr="006D28D0">
        <w:t>t</w:t>
      </w:r>
      <w:r w:rsidR="00DD3279" w:rsidRPr="006D28D0">
        <w:t>he total cost to industry for preparing new sunscreen ingredient applications averaged across a 10-year period would be: $(45</w:t>
      </w:r>
      <w:r w:rsidR="009006BC" w:rsidRPr="006D28D0">
        <w:t>,</w:t>
      </w:r>
      <w:r w:rsidR="00DD3279" w:rsidRPr="006D28D0">
        <w:t xml:space="preserve">000 x </w:t>
      </w:r>
      <w:r w:rsidR="00CD73B2" w:rsidRPr="006D28D0">
        <w:t>7.5</w:t>
      </w:r>
      <w:r w:rsidR="00DD3279" w:rsidRPr="006D28D0">
        <w:t xml:space="preserve">)/10 = </w:t>
      </w:r>
      <w:r w:rsidR="00DD3279" w:rsidRPr="006D28D0">
        <w:rPr>
          <w:b/>
          <w:bCs/>
        </w:rPr>
        <w:t>$</w:t>
      </w:r>
      <w:r w:rsidR="00CD73B2" w:rsidRPr="006D28D0">
        <w:rPr>
          <w:b/>
          <w:bCs/>
        </w:rPr>
        <w:t>3</w:t>
      </w:r>
      <w:r w:rsidR="00DD3279" w:rsidRPr="006D28D0">
        <w:rPr>
          <w:b/>
          <w:bCs/>
        </w:rPr>
        <w:t>3,</w:t>
      </w:r>
      <w:r w:rsidR="00CD73B2" w:rsidRPr="006D28D0">
        <w:rPr>
          <w:b/>
          <w:bCs/>
        </w:rPr>
        <w:t>7</w:t>
      </w:r>
      <w:r w:rsidR="00DD3279" w:rsidRPr="006D28D0">
        <w:rPr>
          <w:b/>
          <w:bCs/>
        </w:rPr>
        <w:t>50</w:t>
      </w:r>
      <w:r w:rsidR="00DD3279" w:rsidRPr="006D28D0">
        <w:t xml:space="preserve"> per year. </w:t>
      </w:r>
    </w:p>
    <w:p w14:paraId="5EBCB81B" w14:textId="26C47C7F" w:rsidR="00DD3279" w:rsidRPr="00F940AA" w:rsidRDefault="00DD3279" w:rsidP="00B76225">
      <w:pPr>
        <w:rPr>
          <w:b/>
          <w:bCs/>
        </w:rPr>
      </w:pPr>
      <w:r w:rsidRPr="00F940AA">
        <w:rPr>
          <w:b/>
          <w:bCs/>
        </w:rPr>
        <w:t>Option 2:</w:t>
      </w:r>
    </w:p>
    <w:p w14:paraId="689D49CA" w14:textId="587EDDCC" w:rsidR="00557F84" w:rsidRDefault="00DD3279" w:rsidP="00B76225">
      <w:r w:rsidRPr="00DD3279">
        <w:t xml:space="preserve">If using Option 2 (SCCS) </w:t>
      </w:r>
      <w:r>
        <w:t xml:space="preserve">we assume an initial justification would need to be provided </w:t>
      </w:r>
      <w:r w:rsidRPr="00DD3279">
        <w:t xml:space="preserve">because there is 5-fold variability in the Margin of Safety calculation between which </w:t>
      </w:r>
      <w:r w:rsidR="00D12507">
        <w:t xml:space="preserve">SCCS </w:t>
      </w:r>
      <w:r w:rsidR="00557F84">
        <w:t xml:space="preserve">exposure estimation </w:t>
      </w:r>
      <w:r w:rsidRPr="00DD3279">
        <w:t xml:space="preserve">method </w:t>
      </w:r>
      <w:r w:rsidR="00557F84">
        <w:t xml:space="preserve">is used. However, </w:t>
      </w:r>
      <w:r w:rsidR="00D12507">
        <w:t xml:space="preserve">it is assumed that </w:t>
      </w:r>
      <w:r w:rsidR="00557F84">
        <w:t>a subsequent justification will not be required during evaluation</w:t>
      </w:r>
      <w:r w:rsidR="00D12507">
        <w:t xml:space="preserve"> for the purposes of comparing to Option 3 which has less regulatory certainty</w:t>
      </w:r>
      <w:r w:rsidR="00557F84">
        <w:t>.</w:t>
      </w:r>
      <w:r w:rsidR="00CE0174">
        <w:t xml:space="preserve"> Therefore:</w:t>
      </w:r>
    </w:p>
    <w:p w14:paraId="5C1FC392" w14:textId="160FD086" w:rsidR="00557F84" w:rsidRPr="006D28D0" w:rsidRDefault="00D12507" w:rsidP="006D28D0">
      <w:pPr>
        <w:pStyle w:val="ListParagraph"/>
      </w:pPr>
      <w:r w:rsidRPr="006D28D0">
        <w:t>the cost of Option 2 is calculated as</w:t>
      </w:r>
      <w:r w:rsidR="00557F84" w:rsidRPr="006D28D0">
        <w:t xml:space="preserve"> the average cost of preparing a new ingredient application dossier ($45,000) </w:t>
      </w:r>
      <w:r w:rsidR="00557F84" w:rsidRPr="006D28D0">
        <w:rPr>
          <w:u w:val="single"/>
        </w:rPr>
        <w:t>less</w:t>
      </w:r>
      <w:r w:rsidR="00557F84" w:rsidRPr="006D28D0">
        <w:t xml:space="preserve"> the cost for providing a subsequent justification ($500)</w:t>
      </w:r>
      <w:r w:rsidR="00F940AA" w:rsidRPr="006D28D0">
        <w:t xml:space="preserve"> = </w:t>
      </w:r>
      <w:r w:rsidR="00F940AA" w:rsidRPr="006D28D0">
        <w:rPr>
          <w:b/>
          <w:bCs/>
        </w:rPr>
        <w:t>$44,500</w:t>
      </w:r>
      <w:r w:rsidRPr="006D28D0">
        <w:t>.</w:t>
      </w:r>
    </w:p>
    <w:p w14:paraId="0FC61F51" w14:textId="1BAA9194" w:rsidR="00557F84" w:rsidRPr="006D28D0" w:rsidRDefault="00CE0174" w:rsidP="006D28D0">
      <w:pPr>
        <w:pStyle w:val="ListParagraph"/>
      </w:pPr>
      <w:r w:rsidRPr="006D28D0">
        <w:t>t</w:t>
      </w:r>
      <w:r w:rsidR="00D12507" w:rsidRPr="006D28D0">
        <w:t>he n</w:t>
      </w:r>
      <w:r w:rsidR="00557F84" w:rsidRPr="006D28D0">
        <w:t xml:space="preserve">umber of new ingredient (absorbed through the skin) applications submitted over </w:t>
      </w:r>
      <w:r w:rsidR="00CD73B2" w:rsidRPr="006D28D0">
        <w:t xml:space="preserve">a 10-year </w:t>
      </w:r>
      <w:r w:rsidR="00557F84" w:rsidRPr="006D28D0">
        <w:t xml:space="preserve">period = </w:t>
      </w:r>
      <w:r w:rsidR="00CD73B2" w:rsidRPr="006D28D0">
        <w:rPr>
          <w:b/>
          <w:bCs/>
        </w:rPr>
        <w:t>7.5</w:t>
      </w:r>
      <w:r w:rsidR="00F940AA" w:rsidRPr="006D28D0">
        <w:t>.</w:t>
      </w:r>
      <w:r w:rsidR="00557F84" w:rsidRPr="006D28D0">
        <w:t xml:space="preserve"> </w:t>
      </w:r>
    </w:p>
    <w:p w14:paraId="47BD55F2" w14:textId="5AA882C5" w:rsidR="00557F84" w:rsidRPr="006D28D0" w:rsidRDefault="00CE0174" w:rsidP="006D28D0">
      <w:pPr>
        <w:pStyle w:val="ListParagraph"/>
      </w:pPr>
      <w:r w:rsidRPr="006D28D0">
        <w:t>t</w:t>
      </w:r>
      <w:r w:rsidR="00557F84" w:rsidRPr="006D28D0">
        <w:t>he total cost to industry for preparing new sunscreen ingredient applications averaged across a 10-year period would be: $(44</w:t>
      </w:r>
      <w:r w:rsidR="009006BC" w:rsidRPr="006D28D0">
        <w:t>,</w:t>
      </w:r>
      <w:r w:rsidR="00557F84" w:rsidRPr="006D28D0">
        <w:t xml:space="preserve">500 x </w:t>
      </w:r>
      <w:r w:rsidR="00CD73B2" w:rsidRPr="006D28D0">
        <w:t>7.5</w:t>
      </w:r>
      <w:r w:rsidR="00557F84" w:rsidRPr="006D28D0">
        <w:t xml:space="preserve">)/10 = </w:t>
      </w:r>
      <w:r w:rsidR="00557F84" w:rsidRPr="006D28D0">
        <w:rPr>
          <w:b/>
          <w:bCs/>
        </w:rPr>
        <w:t>$</w:t>
      </w:r>
      <w:r w:rsidR="00CD73B2" w:rsidRPr="006D28D0">
        <w:rPr>
          <w:b/>
          <w:bCs/>
        </w:rPr>
        <w:t>3</w:t>
      </w:r>
      <w:r w:rsidR="00557F84" w:rsidRPr="006D28D0">
        <w:rPr>
          <w:b/>
          <w:bCs/>
        </w:rPr>
        <w:t>3,3</w:t>
      </w:r>
      <w:r w:rsidR="00CD73B2" w:rsidRPr="006D28D0">
        <w:rPr>
          <w:b/>
          <w:bCs/>
        </w:rPr>
        <w:t>7</w:t>
      </w:r>
      <w:r w:rsidR="00557F84" w:rsidRPr="006D28D0">
        <w:rPr>
          <w:b/>
          <w:bCs/>
        </w:rPr>
        <w:t>5</w:t>
      </w:r>
      <w:r w:rsidR="00557F84" w:rsidRPr="006D28D0">
        <w:t xml:space="preserve"> per year.</w:t>
      </w:r>
    </w:p>
    <w:p w14:paraId="7952AB0E" w14:textId="77777777" w:rsidR="00557F84" w:rsidRPr="00F940AA" w:rsidRDefault="00557F84" w:rsidP="00557F84">
      <w:pPr>
        <w:rPr>
          <w:b/>
          <w:bCs/>
        </w:rPr>
      </w:pPr>
      <w:r w:rsidRPr="00F940AA">
        <w:rPr>
          <w:b/>
          <w:bCs/>
        </w:rPr>
        <w:t>Option 1:</w:t>
      </w:r>
    </w:p>
    <w:p w14:paraId="33745A9D" w14:textId="495A2781" w:rsidR="00557F84" w:rsidRDefault="00557F84" w:rsidP="00557F84">
      <w:r>
        <w:t>No additional justifications will be required when using the ASEM</w:t>
      </w:r>
      <w:r w:rsidR="00D12507">
        <w:t xml:space="preserve"> (Option 1)</w:t>
      </w:r>
      <w:r>
        <w:t xml:space="preserve"> as it provides one exposure estimate</w:t>
      </w:r>
      <w:r w:rsidR="00D12507">
        <w:t xml:space="preserve"> for a general sunscreen</w:t>
      </w:r>
      <w:r>
        <w:t>, suitable for the Australian context.</w:t>
      </w:r>
      <w:r w:rsidR="00CE0174">
        <w:t xml:space="preserve"> Therefore:</w:t>
      </w:r>
    </w:p>
    <w:p w14:paraId="554483C5" w14:textId="22AA5343" w:rsidR="00557F84" w:rsidRPr="006D28D0" w:rsidRDefault="00D12507" w:rsidP="006D28D0">
      <w:pPr>
        <w:pStyle w:val="ListParagraph"/>
        <w:numPr>
          <w:ilvl w:val="0"/>
          <w:numId w:val="36"/>
        </w:numPr>
      </w:pPr>
      <w:r w:rsidRPr="006D28D0">
        <w:t>t</w:t>
      </w:r>
      <w:r w:rsidR="00557F84" w:rsidRPr="006D28D0">
        <w:t xml:space="preserve">he </w:t>
      </w:r>
      <w:r w:rsidRPr="006D28D0">
        <w:t>c</w:t>
      </w:r>
      <w:r w:rsidR="00557F84" w:rsidRPr="006D28D0">
        <w:t xml:space="preserve">ost </w:t>
      </w:r>
      <w:r w:rsidRPr="006D28D0">
        <w:t xml:space="preserve">for Option 1 is calculated as the average cost </w:t>
      </w:r>
      <w:r w:rsidR="00557F84" w:rsidRPr="006D28D0">
        <w:t xml:space="preserve">of preparing a new ingredient application dossier ($45,000) </w:t>
      </w:r>
      <w:r w:rsidR="00557F84" w:rsidRPr="006D28D0">
        <w:rPr>
          <w:u w:val="single"/>
        </w:rPr>
        <w:t>less</w:t>
      </w:r>
      <w:r w:rsidR="00557F84" w:rsidRPr="006D28D0">
        <w:t xml:space="preserve"> the cost for providing an initial ($2100) as well as a subsequent justification ($500)</w:t>
      </w:r>
      <w:r w:rsidR="009006BC" w:rsidRPr="006D28D0">
        <w:t xml:space="preserve"> = </w:t>
      </w:r>
      <w:r w:rsidR="009006BC" w:rsidRPr="006D28D0">
        <w:rPr>
          <w:b/>
          <w:bCs/>
        </w:rPr>
        <w:t>$42,400</w:t>
      </w:r>
      <w:r w:rsidRPr="006D28D0">
        <w:t>.</w:t>
      </w:r>
    </w:p>
    <w:p w14:paraId="40800551" w14:textId="5BBFCFF7" w:rsidR="00557F84" w:rsidRPr="006D28D0" w:rsidRDefault="00CE0174" w:rsidP="006D28D0">
      <w:pPr>
        <w:pStyle w:val="ListParagraph"/>
        <w:numPr>
          <w:ilvl w:val="0"/>
          <w:numId w:val="36"/>
        </w:numPr>
      </w:pPr>
      <w:r w:rsidRPr="006D28D0">
        <w:t>t</w:t>
      </w:r>
      <w:r w:rsidR="00D12507" w:rsidRPr="006D28D0">
        <w:t>he n</w:t>
      </w:r>
      <w:r w:rsidR="00557F84" w:rsidRPr="006D28D0">
        <w:t xml:space="preserve">umber of new ingredient (absorbed through the skin) applications submitted over </w:t>
      </w:r>
      <w:r w:rsidR="00CD73B2" w:rsidRPr="006D28D0">
        <w:t xml:space="preserve">a 10-year </w:t>
      </w:r>
      <w:r w:rsidR="00557F84" w:rsidRPr="006D28D0">
        <w:t xml:space="preserve">period = </w:t>
      </w:r>
      <w:r w:rsidR="00CD73B2" w:rsidRPr="006D28D0">
        <w:rPr>
          <w:b/>
          <w:bCs/>
        </w:rPr>
        <w:t>7.5</w:t>
      </w:r>
      <w:r w:rsidR="009006BC" w:rsidRPr="006D28D0">
        <w:t>.</w:t>
      </w:r>
      <w:r w:rsidR="00557F84" w:rsidRPr="006D28D0">
        <w:t xml:space="preserve"> </w:t>
      </w:r>
    </w:p>
    <w:p w14:paraId="13A7506A" w14:textId="2CE8CB8A" w:rsidR="00DD3279" w:rsidRPr="006D28D0" w:rsidRDefault="00CE0174" w:rsidP="006D28D0">
      <w:pPr>
        <w:pStyle w:val="ListParagraph"/>
        <w:numPr>
          <w:ilvl w:val="0"/>
          <w:numId w:val="36"/>
        </w:numPr>
      </w:pPr>
      <w:r w:rsidRPr="006D28D0">
        <w:t>t</w:t>
      </w:r>
      <w:r w:rsidR="00557F84" w:rsidRPr="006D28D0">
        <w:t>he total cost to industry for preparing new sunscreen ingredient applications averaged across a 10-year period would be: $(42</w:t>
      </w:r>
      <w:r w:rsidR="009006BC" w:rsidRPr="006D28D0">
        <w:t>,</w:t>
      </w:r>
      <w:r w:rsidR="00557F84" w:rsidRPr="006D28D0">
        <w:t xml:space="preserve">400 x </w:t>
      </w:r>
      <w:r w:rsidR="00CD73B2" w:rsidRPr="006D28D0">
        <w:t>7.5</w:t>
      </w:r>
      <w:r w:rsidR="00557F84" w:rsidRPr="006D28D0">
        <w:t xml:space="preserve">)/10 = </w:t>
      </w:r>
      <w:r w:rsidR="00557F84" w:rsidRPr="006D28D0">
        <w:rPr>
          <w:b/>
          <w:bCs/>
        </w:rPr>
        <w:t>$</w:t>
      </w:r>
      <w:r w:rsidR="00CD73B2" w:rsidRPr="006D28D0">
        <w:rPr>
          <w:b/>
          <w:bCs/>
        </w:rPr>
        <w:t>3</w:t>
      </w:r>
      <w:r w:rsidR="00557F84" w:rsidRPr="006D28D0">
        <w:rPr>
          <w:b/>
          <w:bCs/>
        </w:rPr>
        <w:t>1,</w:t>
      </w:r>
      <w:r w:rsidR="00CD73B2" w:rsidRPr="006D28D0">
        <w:rPr>
          <w:b/>
          <w:bCs/>
        </w:rPr>
        <w:t>80</w:t>
      </w:r>
      <w:r w:rsidR="00557F84" w:rsidRPr="006D28D0">
        <w:rPr>
          <w:b/>
          <w:bCs/>
        </w:rPr>
        <w:t>0</w:t>
      </w:r>
      <w:r w:rsidR="00557F84" w:rsidRPr="006D28D0">
        <w:t xml:space="preserve"> per year.   </w:t>
      </w:r>
    </w:p>
    <w:p w14:paraId="1EA59B50" w14:textId="2ECC35E4" w:rsidR="004B6E0D" w:rsidRPr="00803BFE" w:rsidRDefault="00A87B1D" w:rsidP="00F47305">
      <w:pPr>
        <w:pStyle w:val="Heading4"/>
      </w:pPr>
      <w:bookmarkStart w:id="134" w:name="_Toc184730605"/>
      <w:r>
        <w:t xml:space="preserve">Cost of </w:t>
      </w:r>
      <w:r w:rsidR="00CE6E6E">
        <w:t>submitting</w:t>
      </w:r>
      <w:r>
        <w:t xml:space="preserve"> s</w:t>
      </w:r>
      <w:r w:rsidR="004B6E0D">
        <w:t>unscreen ingredient application</w:t>
      </w:r>
      <w:r>
        <w:t>s</w:t>
      </w:r>
      <w:r w:rsidR="00CE6E6E">
        <w:t xml:space="preserve"> (includes cost of subsequent applications</w:t>
      </w:r>
      <w:r>
        <w:t xml:space="preserve"> due to failure to pass </w:t>
      </w:r>
      <w:r w:rsidR="00CE6E6E">
        <w:t xml:space="preserve">initial </w:t>
      </w:r>
      <w:r>
        <w:t>evaluation</w:t>
      </w:r>
      <w:r w:rsidR="00CE6E6E">
        <w:t>)</w:t>
      </w:r>
      <w:r w:rsidR="004B6E0D">
        <w:t>:</w:t>
      </w:r>
      <w:bookmarkEnd w:id="134"/>
    </w:p>
    <w:p w14:paraId="6EFE3DE1" w14:textId="77777777" w:rsidR="00B76225" w:rsidRDefault="00B76225" w:rsidP="00F47305">
      <w:pPr>
        <w:rPr>
          <w:b/>
          <w:bCs/>
        </w:rPr>
      </w:pPr>
      <w:r>
        <w:rPr>
          <w:b/>
          <w:bCs/>
        </w:rPr>
        <w:t>Option 3 (Status Quo):</w:t>
      </w:r>
    </w:p>
    <w:p w14:paraId="312ED60B" w14:textId="4C73C67E" w:rsidR="00B76225" w:rsidRDefault="000A67B3" w:rsidP="00F47305">
      <w:pPr>
        <w:rPr>
          <w:b/>
          <w:bCs/>
        </w:rPr>
      </w:pPr>
      <w:r>
        <w:t xml:space="preserve">For Option 3, the scenario considers </w:t>
      </w:r>
      <w:r w:rsidR="00A87B1D">
        <w:t xml:space="preserve">a worst hypothetical scenario </w:t>
      </w:r>
      <w:r>
        <w:t>that the applicant chooses an exposure estimation method that the TGA evaluator does not consider is appropriate. This would result in a failed first application</w:t>
      </w:r>
      <w:r w:rsidR="00A87B1D">
        <w:t>, t</w:t>
      </w:r>
      <w:r>
        <w:t>hereby needing a subsequent application.</w:t>
      </w:r>
      <w:r w:rsidR="00B76225">
        <w:rPr>
          <w:b/>
          <w:bCs/>
        </w:rPr>
        <w:t xml:space="preserve"> </w:t>
      </w:r>
    </w:p>
    <w:p w14:paraId="0EE6F1F3" w14:textId="05589869" w:rsidR="00862AB3" w:rsidRDefault="00A87B1D" w:rsidP="00F47305">
      <w:r>
        <w:t>The calculations in this situation c</w:t>
      </w:r>
      <w:r w:rsidR="000A67B3">
        <w:t>onsider</w:t>
      </w:r>
      <w:r>
        <w:t xml:space="preserve"> </w:t>
      </w:r>
      <w:r w:rsidR="000A67B3">
        <w:t>the n</w:t>
      </w:r>
      <w:r w:rsidR="000A67B3" w:rsidRPr="00957234">
        <w:t xml:space="preserve">umber of new ingredient (absorbed through the skin) applications submitted over </w:t>
      </w:r>
      <w:r w:rsidR="00CD73B2">
        <w:t xml:space="preserve">a 10-year </w:t>
      </w:r>
      <w:r w:rsidR="000A67B3" w:rsidRPr="00957234">
        <w:t xml:space="preserve">period = </w:t>
      </w:r>
      <w:r w:rsidR="00CD73B2">
        <w:t>7.5</w:t>
      </w:r>
      <w:r>
        <w:t>,</w:t>
      </w:r>
      <w:r w:rsidR="000A67B3">
        <w:t xml:space="preserve"> and the </w:t>
      </w:r>
      <w:r w:rsidR="00A40B60">
        <w:t xml:space="preserve">TGA </w:t>
      </w:r>
      <w:r w:rsidR="00862AB3">
        <w:t>fees</w:t>
      </w:r>
      <w:r w:rsidR="000A67B3">
        <w:t xml:space="preserve"> </w:t>
      </w:r>
      <w:r w:rsidR="00862AB3">
        <w:t>for</w:t>
      </w:r>
      <w:r w:rsidR="000A67B3">
        <w:t xml:space="preserve"> these applications</w:t>
      </w:r>
      <w:r w:rsidR="00A40B60">
        <w:t xml:space="preserve">, </w:t>
      </w:r>
      <w:r w:rsidR="00862AB3">
        <w:t>as well as</w:t>
      </w:r>
      <w:r w:rsidR="00A40B60">
        <w:t xml:space="preserve"> engaging another regulatory affairs agent to submit </w:t>
      </w:r>
      <w:r w:rsidR="00862AB3">
        <w:t>the subsequent</w:t>
      </w:r>
      <w:r w:rsidR="00A40B60">
        <w:t xml:space="preserve"> IN4 application.</w:t>
      </w:r>
    </w:p>
    <w:p w14:paraId="67A94A32" w14:textId="38978008" w:rsidR="000A67B3" w:rsidRDefault="00862AB3" w:rsidP="00F47305">
      <w:r>
        <w:t>It is assumed that the regulatory affairs agents’ fees for compiling the subsequent application will be less than that for the initial application</w:t>
      </w:r>
      <w:r w:rsidR="00EE047B">
        <w:t>, as they will only need to compile</w:t>
      </w:r>
      <w:r w:rsidR="00EE047B" w:rsidRPr="00EE047B">
        <w:t xml:space="preserve"> the dossier with the same info</w:t>
      </w:r>
      <w:r w:rsidR="009006BC">
        <w:t>rmation</w:t>
      </w:r>
      <w:r w:rsidR="00EE047B" w:rsidRPr="00EE047B">
        <w:t xml:space="preserve"> and address the previously contested exposure value before </w:t>
      </w:r>
      <w:r w:rsidR="00EE047B">
        <w:t>re</w:t>
      </w:r>
      <w:r w:rsidR="00EE047B" w:rsidRPr="00EE047B">
        <w:t>submitting to the TGA.</w:t>
      </w:r>
      <w:r w:rsidR="00EE047B">
        <w:t xml:space="preserve"> Hence a lower-level application preparation fee of </w:t>
      </w:r>
      <w:r w:rsidR="00EE047B" w:rsidRPr="009006BC">
        <w:rPr>
          <w:b/>
          <w:bCs/>
        </w:rPr>
        <w:t xml:space="preserve">$10,000 </w:t>
      </w:r>
      <w:r w:rsidR="00EE047B">
        <w:t xml:space="preserve">will be used in the cost estimations. </w:t>
      </w:r>
      <w:r>
        <w:t xml:space="preserve">  </w:t>
      </w:r>
      <w:r w:rsidR="00A40B60">
        <w:t xml:space="preserve"> </w:t>
      </w:r>
    </w:p>
    <w:p w14:paraId="036C3EF9" w14:textId="77777777" w:rsidR="000A67B3" w:rsidRDefault="000A67B3" w:rsidP="00F47305">
      <w:r>
        <w:t>The total cost to industry for submitting 2 applications per</w:t>
      </w:r>
      <w:r w:rsidRPr="00957234">
        <w:t xml:space="preserve"> new sunscreen ingredient</w:t>
      </w:r>
      <w:r>
        <w:t xml:space="preserve">: </w:t>
      </w:r>
    </w:p>
    <w:p w14:paraId="3C871BA4" w14:textId="77777777" w:rsidR="00C5066C" w:rsidRPr="006D28D0" w:rsidRDefault="000A67B3" w:rsidP="006D28D0">
      <w:pPr>
        <w:pStyle w:val="ListParagraph"/>
      </w:pPr>
      <w:r w:rsidRPr="006D28D0">
        <w:t xml:space="preserve">Evaluation fee for each </w:t>
      </w:r>
      <w:r w:rsidR="00A87B1D" w:rsidRPr="006D28D0">
        <w:t xml:space="preserve">IN4 </w:t>
      </w:r>
      <w:r w:rsidRPr="006D28D0">
        <w:t>application x 2</w:t>
      </w:r>
      <w:r w:rsidR="00862AB3" w:rsidRPr="006D28D0">
        <w:t xml:space="preserve"> + Regulatory affairs agent fee for </w:t>
      </w:r>
      <w:r w:rsidR="00EE047B" w:rsidRPr="006D28D0">
        <w:t>each</w:t>
      </w:r>
      <w:r w:rsidR="00862AB3" w:rsidRPr="006D28D0">
        <w:t xml:space="preserve"> subsequent application</w:t>
      </w:r>
      <w:r w:rsidR="00EE047B" w:rsidRPr="006D28D0">
        <w:t xml:space="preserve"> x 3</w:t>
      </w:r>
      <w:r w:rsidRPr="006D28D0">
        <w:t xml:space="preserve"> = </w:t>
      </w:r>
    </w:p>
    <w:p w14:paraId="23C326B4" w14:textId="338F8C6C" w:rsidR="00C5066C" w:rsidRPr="003413F6" w:rsidRDefault="000A67B3" w:rsidP="00613D5C">
      <w:pPr>
        <w:pStyle w:val="ListBullet2"/>
        <w:numPr>
          <w:ilvl w:val="0"/>
          <w:numId w:val="0"/>
        </w:numPr>
        <w:ind w:left="720"/>
        <w:rPr>
          <w:color w:val="auto"/>
        </w:rPr>
      </w:pPr>
      <w:r w:rsidRPr="003413F6">
        <w:rPr>
          <w:color w:val="auto"/>
        </w:rPr>
        <w:t>(</w:t>
      </w:r>
      <w:r w:rsidR="00C5066C" w:rsidRPr="003413F6">
        <w:rPr>
          <w:color w:val="auto"/>
        </w:rPr>
        <w:t xml:space="preserve">7.5 x </w:t>
      </w:r>
      <w:r w:rsidR="00862AB3" w:rsidRPr="003413F6">
        <w:rPr>
          <w:color w:val="auto"/>
          <w:u w:val="single"/>
        </w:rPr>
        <w:t>$31,156</w:t>
      </w:r>
      <w:r w:rsidRPr="003413F6">
        <w:rPr>
          <w:color w:val="auto"/>
        </w:rPr>
        <w:t>) x 2 = $</w:t>
      </w:r>
      <w:r w:rsidR="00C5066C" w:rsidRPr="003413F6">
        <w:rPr>
          <w:color w:val="auto"/>
        </w:rPr>
        <w:t>467,340</w:t>
      </w:r>
      <w:r w:rsidR="00862AB3" w:rsidRPr="003413F6">
        <w:rPr>
          <w:color w:val="auto"/>
        </w:rPr>
        <w:t xml:space="preserve"> + </w:t>
      </w:r>
      <w:r w:rsidR="00EE047B" w:rsidRPr="003413F6">
        <w:rPr>
          <w:color w:val="auto"/>
        </w:rPr>
        <w:t>(</w:t>
      </w:r>
      <w:r w:rsidR="00C5066C" w:rsidRPr="003413F6">
        <w:rPr>
          <w:color w:val="auto"/>
        </w:rPr>
        <w:t xml:space="preserve">7.5 x </w:t>
      </w:r>
      <w:r w:rsidR="00EE047B" w:rsidRPr="003413F6">
        <w:rPr>
          <w:color w:val="auto"/>
          <w:u w:val="single"/>
        </w:rPr>
        <w:t>10,000)</w:t>
      </w:r>
      <w:r w:rsidR="00EE047B" w:rsidRPr="003413F6">
        <w:rPr>
          <w:color w:val="auto"/>
        </w:rPr>
        <w:t xml:space="preserve"> </w:t>
      </w:r>
      <w:r w:rsidR="00C5066C" w:rsidRPr="003413F6">
        <w:rPr>
          <w:color w:val="auto"/>
        </w:rPr>
        <w:t>= $75,000</w:t>
      </w:r>
      <w:r w:rsidR="00EE047B" w:rsidRPr="003413F6">
        <w:rPr>
          <w:color w:val="auto"/>
        </w:rPr>
        <w:t xml:space="preserve"> </w:t>
      </w:r>
    </w:p>
    <w:p w14:paraId="44B465AD" w14:textId="250ACF6C" w:rsidR="00B530F1" w:rsidRPr="003413F6" w:rsidRDefault="00EE047B" w:rsidP="00613D5C">
      <w:pPr>
        <w:pStyle w:val="ListBullet2"/>
        <w:numPr>
          <w:ilvl w:val="0"/>
          <w:numId w:val="0"/>
        </w:numPr>
        <w:ind w:left="720"/>
      </w:pPr>
      <w:r w:rsidRPr="003413F6">
        <w:rPr>
          <w:color w:val="auto"/>
        </w:rPr>
        <w:t xml:space="preserve">= </w:t>
      </w:r>
      <w:r w:rsidRPr="003413F6">
        <w:rPr>
          <w:b/>
          <w:bCs/>
          <w:color w:val="auto"/>
        </w:rPr>
        <w:t>$</w:t>
      </w:r>
      <w:r w:rsidR="00C5066C" w:rsidRPr="003413F6">
        <w:rPr>
          <w:b/>
          <w:bCs/>
          <w:color w:val="auto"/>
        </w:rPr>
        <w:t>542,340</w:t>
      </w:r>
      <w:r w:rsidR="009006BC" w:rsidRPr="003413F6">
        <w:rPr>
          <w:color w:val="auto"/>
        </w:rPr>
        <w:t>.</w:t>
      </w:r>
    </w:p>
    <w:p w14:paraId="6F09BE3B" w14:textId="0BDD0260" w:rsidR="000A67B3" w:rsidRPr="006D28D0" w:rsidRDefault="00B530F1" w:rsidP="006D28D0">
      <w:pPr>
        <w:pStyle w:val="ListBullet"/>
      </w:pPr>
      <w:r w:rsidRPr="006D28D0">
        <w:t xml:space="preserve">Average cost averaged across a 10-year period would be: </w:t>
      </w:r>
      <w:r w:rsidRPr="006D28D0">
        <w:rPr>
          <w:b/>
          <w:bCs/>
        </w:rPr>
        <w:t>$</w:t>
      </w:r>
      <w:r w:rsidR="00C5066C" w:rsidRPr="006D28D0">
        <w:rPr>
          <w:b/>
          <w:bCs/>
        </w:rPr>
        <w:t>54,234</w:t>
      </w:r>
      <w:r w:rsidRPr="006D28D0">
        <w:rPr>
          <w:b/>
          <w:bCs/>
        </w:rPr>
        <w:t xml:space="preserve"> </w:t>
      </w:r>
      <w:r w:rsidRPr="006D28D0">
        <w:t>per year.</w:t>
      </w:r>
      <w:r w:rsidR="000A67B3" w:rsidRPr="006D28D0">
        <w:t xml:space="preserve">  </w:t>
      </w:r>
    </w:p>
    <w:p w14:paraId="524407B4" w14:textId="56C1ACC6" w:rsidR="004B6E0D" w:rsidRPr="00803BFE" w:rsidRDefault="004B6E0D" w:rsidP="00F47305">
      <w:pPr>
        <w:rPr>
          <w:b/>
          <w:bCs/>
        </w:rPr>
      </w:pPr>
      <w:r w:rsidRPr="00803BFE">
        <w:rPr>
          <w:b/>
          <w:bCs/>
        </w:rPr>
        <w:t>Option 2:</w:t>
      </w:r>
    </w:p>
    <w:p w14:paraId="6B958295" w14:textId="121459D3" w:rsidR="00B530F1" w:rsidRDefault="00160D2B" w:rsidP="00B530F1">
      <w:pPr>
        <w:rPr>
          <w:b/>
          <w:bCs/>
        </w:rPr>
      </w:pPr>
      <w:r>
        <w:t xml:space="preserve">For Option 2, the scenario considers </w:t>
      </w:r>
      <w:r w:rsidR="00A40B60">
        <w:t xml:space="preserve">a worst hypothetical scenario </w:t>
      </w:r>
      <w:r>
        <w:t xml:space="preserve">that the applicant chooses a less conservative </w:t>
      </w:r>
      <w:r w:rsidR="00503E6E">
        <w:t xml:space="preserve">SCCS </w:t>
      </w:r>
      <w:r>
        <w:t xml:space="preserve">exposure calculation (Method </w:t>
      </w:r>
      <w:r w:rsidR="00503E6E">
        <w:t>1</w:t>
      </w:r>
      <w:r>
        <w:t xml:space="preserve">), whereas the TGA evaluator considers the higher exposure calculation is </w:t>
      </w:r>
      <w:r w:rsidR="0004714A">
        <w:t xml:space="preserve">more </w:t>
      </w:r>
      <w:r>
        <w:t xml:space="preserve">appropriate (Method </w:t>
      </w:r>
      <w:r w:rsidR="00503E6E">
        <w:t>2</w:t>
      </w:r>
      <w:r>
        <w:t xml:space="preserve">). </w:t>
      </w:r>
      <w:r w:rsidR="00B530F1">
        <w:t>This would result in a failed first application</w:t>
      </w:r>
      <w:r w:rsidR="00A40B60">
        <w:t>, th</w:t>
      </w:r>
      <w:r w:rsidR="00B530F1">
        <w:t>ereby needing a subsequent application.</w:t>
      </w:r>
      <w:r w:rsidR="00B530F1">
        <w:rPr>
          <w:b/>
          <w:bCs/>
        </w:rPr>
        <w:t xml:space="preserve"> </w:t>
      </w:r>
    </w:p>
    <w:p w14:paraId="59BD8A22" w14:textId="732473A1" w:rsidR="00A40B60" w:rsidRDefault="00A40B60" w:rsidP="00B530F1">
      <w:r>
        <w:t>The calculations in this situation consider the n</w:t>
      </w:r>
      <w:r w:rsidRPr="00957234">
        <w:t xml:space="preserve">umber of new ingredient (absorbed through the skin) applications submitted over </w:t>
      </w:r>
      <w:r w:rsidR="00C5066C">
        <w:t xml:space="preserve">a 10-year </w:t>
      </w:r>
      <w:r w:rsidRPr="00957234">
        <w:t xml:space="preserve">period = </w:t>
      </w:r>
      <w:r w:rsidR="00C5066C">
        <w:t>7.5</w:t>
      </w:r>
      <w:r>
        <w:t xml:space="preserve">, and the TGA cost of these applications, </w:t>
      </w:r>
      <w:r w:rsidR="00EE047B">
        <w:t>as well as engaging another regulatory affairs agent to submit the subsequent IN4 application.</w:t>
      </w:r>
      <w:r>
        <w:t xml:space="preserve"> </w:t>
      </w:r>
    </w:p>
    <w:p w14:paraId="5B3DD8E2" w14:textId="6A284891" w:rsidR="00EE047B" w:rsidRDefault="00EE047B" w:rsidP="00EE047B">
      <w:r>
        <w:t>It is assumed that the regulatory affairs agents’ fees for compiling the subsequent application will be less than that for the initial application, as they will only need to compile</w:t>
      </w:r>
      <w:r w:rsidRPr="00EE047B">
        <w:t xml:space="preserve"> the dossier with the same info</w:t>
      </w:r>
      <w:r w:rsidR="009006BC">
        <w:t>rmation</w:t>
      </w:r>
      <w:r w:rsidRPr="00EE047B">
        <w:t xml:space="preserve"> and address the previously contested exposure value before </w:t>
      </w:r>
      <w:r>
        <w:t>re</w:t>
      </w:r>
      <w:r w:rsidRPr="00EE047B">
        <w:t>submitting to the TGA.</w:t>
      </w:r>
      <w:r>
        <w:t xml:space="preserve"> Hence a lower-level application preparation fee of </w:t>
      </w:r>
      <w:r w:rsidRPr="009006BC">
        <w:rPr>
          <w:b/>
          <w:bCs/>
        </w:rPr>
        <w:t>$10,000</w:t>
      </w:r>
      <w:r>
        <w:t xml:space="preserve"> will be used in the cost estimations.    </w:t>
      </w:r>
    </w:p>
    <w:p w14:paraId="6EB62B25" w14:textId="77777777" w:rsidR="00EE047B" w:rsidRDefault="00EE047B" w:rsidP="00EE047B">
      <w:r>
        <w:t>The total cost to industry for submitting 2 applications per</w:t>
      </w:r>
      <w:r w:rsidRPr="00957234">
        <w:t xml:space="preserve"> new sunscreen ingredient</w:t>
      </w:r>
      <w:r>
        <w:t xml:space="preserve">: </w:t>
      </w:r>
    </w:p>
    <w:p w14:paraId="08D806D8" w14:textId="5874EA76" w:rsidR="00C5066C" w:rsidRDefault="00EE047B" w:rsidP="006D28D0">
      <w:pPr>
        <w:pStyle w:val="ListParagraph"/>
      </w:pPr>
      <w:r w:rsidRPr="00E95C15">
        <w:t>Evaluation fee for each IN4 application</w:t>
      </w:r>
      <w:r>
        <w:t xml:space="preserve"> x 2 + </w:t>
      </w:r>
      <w:r w:rsidRPr="00E95C15">
        <w:t>Regulatory affairs agent fee for each subsequent application</w:t>
      </w:r>
      <w:r>
        <w:t xml:space="preserve"> x </w:t>
      </w:r>
      <w:r w:rsidR="00C5066C">
        <w:t>7.5</w:t>
      </w:r>
      <w:r>
        <w:t xml:space="preserve"> = </w:t>
      </w:r>
    </w:p>
    <w:p w14:paraId="4C661DC3" w14:textId="5AE871CD" w:rsidR="00C5066C" w:rsidRPr="003413F6" w:rsidRDefault="00EE047B" w:rsidP="00613D5C">
      <w:pPr>
        <w:pStyle w:val="ListBullet2"/>
        <w:numPr>
          <w:ilvl w:val="0"/>
          <w:numId w:val="0"/>
        </w:numPr>
        <w:ind w:left="720"/>
        <w:rPr>
          <w:color w:val="auto"/>
        </w:rPr>
      </w:pPr>
      <w:r w:rsidRPr="003413F6">
        <w:rPr>
          <w:color w:val="auto"/>
        </w:rPr>
        <w:t>(</w:t>
      </w:r>
      <w:r w:rsidR="00C5066C" w:rsidRPr="003413F6">
        <w:rPr>
          <w:color w:val="auto"/>
        </w:rPr>
        <w:t xml:space="preserve">7.5 x </w:t>
      </w:r>
      <w:r w:rsidRPr="003413F6">
        <w:rPr>
          <w:color w:val="auto"/>
          <w:u w:val="single"/>
        </w:rPr>
        <w:t>$31,156</w:t>
      </w:r>
      <w:r w:rsidR="00C5066C" w:rsidRPr="006347CF">
        <w:rPr>
          <w:color w:val="auto"/>
        </w:rPr>
        <w:t>)</w:t>
      </w:r>
      <w:r w:rsidRPr="006347CF">
        <w:rPr>
          <w:color w:val="auto"/>
        </w:rPr>
        <w:t xml:space="preserve"> x 2 = $</w:t>
      </w:r>
      <w:r w:rsidR="00C5066C" w:rsidRPr="006347CF">
        <w:rPr>
          <w:color w:val="auto"/>
        </w:rPr>
        <w:t>467,340</w:t>
      </w:r>
      <w:r w:rsidRPr="006347CF">
        <w:rPr>
          <w:color w:val="auto"/>
        </w:rPr>
        <w:t xml:space="preserve"> + (</w:t>
      </w:r>
      <w:r w:rsidR="00C5066C" w:rsidRPr="006347CF">
        <w:rPr>
          <w:color w:val="auto"/>
        </w:rPr>
        <w:t xml:space="preserve">7.5 x </w:t>
      </w:r>
      <w:r w:rsidR="00C5066C" w:rsidRPr="003413F6">
        <w:rPr>
          <w:color w:val="auto"/>
          <w:u w:val="single"/>
        </w:rPr>
        <w:t>$</w:t>
      </w:r>
      <w:r w:rsidRPr="003413F6">
        <w:rPr>
          <w:color w:val="auto"/>
          <w:u w:val="single"/>
        </w:rPr>
        <w:t>10,000</w:t>
      </w:r>
      <w:r w:rsidRPr="003413F6">
        <w:rPr>
          <w:color w:val="auto"/>
        </w:rPr>
        <w:t xml:space="preserve">) </w:t>
      </w:r>
      <w:r w:rsidR="00C5066C" w:rsidRPr="003413F6">
        <w:rPr>
          <w:color w:val="auto"/>
        </w:rPr>
        <w:t>= $75,000</w:t>
      </w:r>
    </w:p>
    <w:p w14:paraId="2C79A53F" w14:textId="3CDCCDDB" w:rsidR="00EE047B" w:rsidRPr="003413F6" w:rsidRDefault="00EE047B" w:rsidP="00613D5C">
      <w:pPr>
        <w:pStyle w:val="ListBullet2"/>
        <w:numPr>
          <w:ilvl w:val="0"/>
          <w:numId w:val="0"/>
        </w:numPr>
        <w:ind w:left="720"/>
      </w:pPr>
      <w:r w:rsidRPr="003413F6">
        <w:rPr>
          <w:color w:val="auto"/>
        </w:rPr>
        <w:t xml:space="preserve">= </w:t>
      </w:r>
      <w:r w:rsidRPr="003413F6">
        <w:rPr>
          <w:b/>
          <w:bCs/>
          <w:color w:val="auto"/>
        </w:rPr>
        <w:t>$</w:t>
      </w:r>
      <w:r w:rsidR="00C5066C" w:rsidRPr="003413F6">
        <w:rPr>
          <w:b/>
          <w:bCs/>
          <w:color w:val="auto"/>
        </w:rPr>
        <w:t>542,340</w:t>
      </w:r>
      <w:r w:rsidR="009006BC" w:rsidRPr="003413F6">
        <w:rPr>
          <w:color w:val="auto"/>
        </w:rPr>
        <w:t>.</w:t>
      </w:r>
    </w:p>
    <w:p w14:paraId="0F612F66" w14:textId="7DD21B67" w:rsidR="004B6E0D" w:rsidRPr="006D28D0" w:rsidRDefault="00EE047B" w:rsidP="006D28D0">
      <w:pPr>
        <w:pStyle w:val="ListBullet"/>
      </w:pPr>
      <w:r w:rsidRPr="006D28D0">
        <w:t xml:space="preserve">Average cost averaged across a 10-year period would be: </w:t>
      </w:r>
      <w:r w:rsidRPr="006D28D0">
        <w:rPr>
          <w:b/>
          <w:bCs/>
        </w:rPr>
        <w:t>$</w:t>
      </w:r>
      <w:r w:rsidR="00C5066C" w:rsidRPr="006D28D0">
        <w:rPr>
          <w:b/>
          <w:bCs/>
        </w:rPr>
        <w:t>54,234</w:t>
      </w:r>
      <w:r w:rsidRPr="006D28D0">
        <w:rPr>
          <w:b/>
          <w:bCs/>
        </w:rPr>
        <w:t xml:space="preserve"> </w:t>
      </w:r>
      <w:r w:rsidRPr="006D28D0">
        <w:t>per year.</w:t>
      </w:r>
    </w:p>
    <w:p w14:paraId="4C54794F" w14:textId="2252249F" w:rsidR="00B530F1" w:rsidRPr="00803BFE" w:rsidRDefault="00B530F1" w:rsidP="00B530F1">
      <w:pPr>
        <w:rPr>
          <w:b/>
          <w:bCs/>
        </w:rPr>
      </w:pPr>
      <w:r w:rsidRPr="00803BFE">
        <w:rPr>
          <w:b/>
          <w:bCs/>
        </w:rPr>
        <w:t xml:space="preserve">Option </w:t>
      </w:r>
      <w:r>
        <w:rPr>
          <w:b/>
          <w:bCs/>
        </w:rPr>
        <w:t>1</w:t>
      </w:r>
      <w:r w:rsidRPr="00803BFE">
        <w:rPr>
          <w:b/>
          <w:bCs/>
        </w:rPr>
        <w:t>:</w:t>
      </w:r>
    </w:p>
    <w:p w14:paraId="5FBEB98B" w14:textId="0083CEFF" w:rsidR="00B530F1" w:rsidRDefault="00B530F1" w:rsidP="00B530F1">
      <w:r>
        <w:t xml:space="preserve">No subsequent application will be required for Option 1 as the ingredient is </w:t>
      </w:r>
      <w:r w:rsidR="00A40B60">
        <w:t xml:space="preserve">assumed to be </w:t>
      </w:r>
      <w:r>
        <w:t xml:space="preserve">approved during the first application using the ASEM which provides a clear and consistent outcome. </w:t>
      </w:r>
    </w:p>
    <w:p w14:paraId="0D272F2C" w14:textId="39CACC3B" w:rsidR="00B530F1" w:rsidRPr="006D28D0" w:rsidRDefault="00A40B60" w:rsidP="006D28D0">
      <w:pPr>
        <w:pStyle w:val="ListBullet"/>
      </w:pPr>
      <w:r w:rsidRPr="006D28D0">
        <w:t>The calculations in this situation consider</w:t>
      </w:r>
      <w:r w:rsidR="00B530F1" w:rsidRPr="006D28D0">
        <w:t xml:space="preserve"> the number of new ingredient (absorbed through the skin) applications submitted over </w:t>
      </w:r>
      <w:r w:rsidR="00C5066C" w:rsidRPr="006D28D0">
        <w:t xml:space="preserve">a 10-year </w:t>
      </w:r>
      <w:r w:rsidR="00B530F1" w:rsidRPr="006D28D0">
        <w:t xml:space="preserve">period = </w:t>
      </w:r>
      <w:r w:rsidR="00C5066C" w:rsidRPr="006D28D0">
        <w:t>7.5</w:t>
      </w:r>
      <w:r w:rsidR="00B530F1" w:rsidRPr="006D28D0">
        <w:t xml:space="preserve"> and the cost of</w:t>
      </w:r>
      <w:r w:rsidRPr="006D28D0">
        <w:t xml:space="preserve"> a</w:t>
      </w:r>
      <w:r w:rsidR="00B530F1" w:rsidRPr="006D28D0">
        <w:t xml:space="preserve"> single </w:t>
      </w:r>
      <w:r w:rsidRPr="006D28D0">
        <w:t xml:space="preserve">IN4 </w:t>
      </w:r>
      <w:r w:rsidR="00B530F1" w:rsidRPr="006D28D0">
        <w:t xml:space="preserve">application. </w:t>
      </w:r>
    </w:p>
    <w:p w14:paraId="1E6427A9" w14:textId="6D0FFEEE" w:rsidR="004B6E0D" w:rsidRPr="006D28D0" w:rsidRDefault="00B530F1" w:rsidP="006D28D0">
      <w:pPr>
        <w:pStyle w:val="ListBullet"/>
      </w:pPr>
      <w:r w:rsidRPr="006D28D0">
        <w:t xml:space="preserve">The total cost to industry for new sunscreen ingredient applications averaged across a 10-year period would be: </w:t>
      </w:r>
      <w:r w:rsidR="00EE047B" w:rsidRPr="006D28D0">
        <w:t>(</w:t>
      </w:r>
      <w:r w:rsidR="00C5066C" w:rsidRPr="006D28D0">
        <w:t xml:space="preserve">7.5 x </w:t>
      </w:r>
      <w:r w:rsidR="00EE047B" w:rsidRPr="006D28D0">
        <w:rPr>
          <w:u w:val="single"/>
        </w:rPr>
        <w:t>$31,156</w:t>
      </w:r>
      <w:r w:rsidR="00C5066C" w:rsidRPr="006D28D0">
        <w:t>)</w:t>
      </w:r>
      <w:r w:rsidRPr="006D28D0">
        <w:t xml:space="preserve">/10 </w:t>
      </w:r>
      <w:r w:rsidR="004B6E0D" w:rsidRPr="006D28D0">
        <w:t>=</w:t>
      </w:r>
      <w:r w:rsidR="004B6E0D" w:rsidRPr="006D28D0">
        <w:rPr>
          <w:b/>
          <w:bCs/>
        </w:rPr>
        <w:t xml:space="preserve"> $</w:t>
      </w:r>
      <w:r w:rsidR="00C5066C" w:rsidRPr="006D28D0">
        <w:rPr>
          <w:b/>
          <w:bCs/>
        </w:rPr>
        <w:t>23,367</w:t>
      </w:r>
      <w:r w:rsidR="004B6E0D" w:rsidRPr="006D28D0">
        <w:rPr>
          <w:b/>
          <w:bCs/>
        </w:rPr>
        <w:t xml:space="preserve"> </w:t>
      </w:r>
      <w:r w:rsidRPr="006D28D0">
        <w:t>per year.</w:t>
      </w:r>
    </w:p>
    <w:p w14:paraId="7D93B089" w14:textId="77777777" w:rsidR="004B6E0D" w:rsidRDefault="004B6E0D" w:rsidP="00F47305">
      <w:pPr>
        <w:pStyle w:val="Heading4"/>
      </w:pPr>
      <w:bookmarkStart w:id="135" w:name="_Toc184730606"/>
      <w:r>
        <w:t>Section 60 reviews based on an ingredient evaluations that were not approved:</w:t>
      </w:r>
      <w:bookmarkEnd w:id="135"/>
    </w:p>
    <w:p w14:paraId="1B4098E8" w14:textId="77777777" w:rsidR="003B6B69" w:rsidRDefault="00F47305" w:rsidP="00F47305">
      <w:r>
        <w:t xml:space="preserve">Where an </w:t>
      </w:r>
      <w:r w:rsidRPr="00034989">
        <w:t>application</w:t>
      </w:r>
      <w:r>
        <w:t xml:space="preserve"> is</w:t>
      </w:r>
      <w:r w:rsidRPr="00034989">
        <w:t xml:space="preserve"> made under section 2</w:t>
      </w:r>
      <w:r>
        <w:t>6BD</w:t>
      </w:r>
      <w:r w:rsidRPr="00034989">
        <w:t xml:space="preserve"> of the </w:t>
      </w:r>
      <w:r w:rsidRPr="00034989">
        <w:rPr>
          <w:i/>
        </w:rPr>
        <w:t>Therapeutic Goods Act 1989</w:t>
      </w:r>
      <w:r>
        <w:rPr>
          <w:iCs/>
        </w:rPr>
        <w:t xml:space="preserve">, </w:t>
      </w:r>
      <w:r>
        <w:t xml:space="preserve">for a recommendation by the Secretary that the Minister vary the determination made under section 26BB of the Act (Permissible Ingredients Determination) to include a new ingredient, then a decision to refuse to make that recommendation is </w:t>
      </w:r>
      <w:r w:rsidRPr="00F47305">
        <w:t>a reviewable initial decision under section 60 of the Act.</w:t>
      </w:r>
      <w:r>
        <w:t xml:space="preserve"> </w:t>
      </w:r>
    </w:p>
    <w:p w14:paraId="0B199415" w14:textId="6FA71AE1" w:rsidR="00CA3DFC" w:rsidRDefault="00F47305">
      <w:r>
        <w:t xml:space="preserve">Applicants can request within 90 </w:t>
      </w:r>
      <w:r w:rsidR="003B6B69">
        <w:t>calendar</w:t>
      </w:r>
      <w:r>
        <w:t xml:space="preserve"> days to review the decision and provide additional information for consideration. </w:t>
      </w:r>
      <w:r w:rsidR="00CA3DFC">
        <w:t xml:space="preserve">This process requires the Minister or the Minister’s delegate (usually an Executive Level 2 delegate within the TGA) to undertake a review of the applicant’s section 60 request, and provide notice in writing of the outcome within 60 calendar days after the request was made. </w:t>
      </w:r>
      <w:r w:rsidR="00CA3DFC" w:rsidRPr="003B6B69">
        <w:t xml:space="preserve">If </w:t>
      </w:r>
      <w:r w:rsidR="00CA3DFC">
        <w:t>the delegate</w:t>
      </w:r>
      <w:r w:rsidR="00CA3DFC" w:rsidRPr="003B6B69">
        <w:t xml:space="preserve"> fails to give such notice within 60 days, </w:t>
      </w:r>
      <w:r w:rsidR="00CA3DFC">
        <w:t>the delegate</w:t>
      </w:r>
      <w:r w:rsidR="00CA3DFC" w:rsidRPr="003B6B69">
        <w:t xml:space="preserve"> is deemed to have confirmed the initial decision.</w:t>
      </w:r>
    </w:p>
    <w:p w14:paraId="7EEDA934" w14:textId="3CFCF9D0" w:rsidR="000E5108" w:rsidRPr="00F47305" w:rsidRDefault="000E5108" w:rsidP="009006BC">
      <w:r>
        <w:t xml:space="preserve">The calculations below consider the cost to Government (TGA) if an appeal is submitted and a delegate is required to consider the appeal through the section 60 process. </w:t>
      </w:r>
    </w:p>
    <w:p w14:paraId="10E4EB71" w14:textId="0426A387" w:rsidR="004B6E0D" w:rsidRPr="00CE0174" w:rsidRDefault="004B6E0D" w:rsidP="00CE0174">
      <w:pPr>
        <w:rPr>
          <w:b/>
          <w:bCs/>
        </w:rPr>
      </w:pPr>
      <w:r w:rsidRPr="00CE0174">
        <w:rPr>
          <w:b/>
          <w:bCs/>
        </w:rPr>
        <w:t>Option</w:t>
      </w:r>
      <w:r w:rsidR="009006BC" w:rsidRPr="00CE0174">
        <w:rPr>
          <w:b/>
          <w:bCs/>
        </w:rPr>
        <w:t>s</w:t>
      </w:r>
      <w:r w:rsidRPr="00CE0174">
        <w:rPr>
          <w:b/>
          <w:bCs/>
        </w:rPr>
        <w:t xml:space="preserve"> </w:t>
      </w:r>
      <w:r w:rsidR="009006BC" w:rsidRPr="00CE0174">
        <w:rPr>
          <w:b/>
          <w:bCs/>
        </w:rPr>
        <w:t>2</w:t>
      </w:r>
      <w:r w:rsidRPr="00CE0174">
        <w:rPr>
          <w:b/>
          <w:bCs/>
        </w:rPr>
        <w:t xml:space="preserve"> and </w:t>
      </w:r>
      <w:r w:rsidR="009006BC" w:rsidRPr="00CE0174">
        <w:rPr>
          <w:b/>
          <w:bCs/>
        </w:rPr>
        <w:t>3</w:t>
      </w:r>
      <w:r w:rsidRPr="00CE0174">
        <w:rPr>
          <w:b/>
          <w:bCs/>
        </w:rPr>
        <w:t>:</w:t>
      </w:r>
    </w:p>
    <w:p w14:paraId="7536410F" w14:textId="58D41C20" w:rsidR="00503E6E" w:rsidRDefault="00503E6E" w:rsidP="00CE0174">
      <w:r>
        <w:t xml:space="preserve">This scenario assumes Option 2 and 3 result in </w:t>
      </w:r>
      <w:r w:rsidR="000E5108">
        <w:t xml:space="preserve">a worst case of </w:t>
      </w:r>
      <w:r>
        <w:t>unsuccessful first applications</w:t>
      </w:r>
      <w:r w:rsidR="000E5108">
        <w:t xml:space="preserve"> as calculated above</w:t>
      </w:r>
      <w:r>
        <w:t xml:space="preserve">, and the applicant chooses to submit a section 60 request. </w:t>
      </w:r>
    </w:p>
    <w:p w14:paraId="3928FD42" w14:textId="26B250E0" w:rsidR="004B6E0D" w:rsidRPr="006D28D0" w:rsidRDefault="004B6E0D" w:rsidP="006D28D0">
      <w:pPr>
        <w:pStyle w:val="ListBullet"/>
      </w:pPr>
      <w:r w:rsidRPr="006D28D0">
        <w:t>Total number of days for s</w:t>
      </w:r>
      <w:r w:rsidR="00CA3DFC" w:rsidRPr="006D28D0">
        <w:t xml:space="preserve">ection </w:t>
      </w:r>
      <w:r w:rsidRPr="006D28D0">
        <w:t xml:space="preserve">60 review = 60 days (2 months) </w:t>
      </w:r>
    </w:p>
    <w:p w14:paraId="74889115" w14:textId="6E219BA7" w:rsidR="004B6E0D" w:rsidRPr="006D28D0" w:rsidRDefault="004B6E0D" w:rsidP="006D28D0">
      <w:pPr>
        <w:pStyle w:val="ListBullet"/>
      </w:pPr>
      <w:r w:rsidRPr="006D28D0">
        <w:t xml:space="preserve">Executive level 2 (EL2) time taken in hours to review = </w:t>
      </w:r>
      <w:r w:rsidR="00CA3DFC" w:rsidRPr="006D28D0">
        <w:t xml:space="preserve">estimated as </w:t>
      </w:r>
      <w:r w:rsidRPr="006D28D0">
        <w:t>30% of work hours</w:t>
      </w:r>
    </w:p>
    <w:p w14:paraId="3632D71A" w14:textId="77777777" w:rsidR="004B6E0D" w:rsidRPr="006D28D0" w:rsidRDefault="004B6E0D" w:rsidP="006D28D0">
      <w:pPr>
        <w:pStyle w:val="ListBullet"/>
      </w:pPr>
      <w:r w:rsidRPr="006D28D0">
        <w:t xml:space="preserve">Monthly rate for EL2 = $170,695/12 = $14,224  </w:t>
      </w:r>
    </w:p>
    <w:p w14:paraId="5772DFAE" w14:textId="77777777" w:rsidR="004B6E0D" w:rsidRPr="006D28D0" w:rsidRDefault="004B6E0D" w:rsidP="006D28D0">
      <w:pPr>
        <w:pStyle w:val="ListBullet"/>
      </w:pPr>
      <w:r w:rsidRPr="006D28D0">
        <w:t xml:space="preserve">Total cost = Monthly rate * 2 months * 30% = 14,224*2*0.3 = </w:t>
      </w:r>
      <w:r w:rsidRPr="006D28D0">
        <w:rPr>
          <w:b/>
          <w:bCs/>
        </w:rPr>
        <w:t>$8,534 (per application/review)</w:t>
      </w:r>
    </w:p>
    <w:p w14:paraId="176E9D52" w14:textId="2697A1EB" w:rsidR="004B6E0D" w:rsidRPr="006D28D0" w:rsidRDefault="004B6E0D" w:rsidP="006D28D0">
      <w:pPr>
        <w:pStyle w:val="ListBullet"/>
        <w:rPr>
          <w:b/>
          <w:bCs/>
        </w:rPr>
      </w:pPr>
      <w:r w:rsidRPr="006D28D0">
        <w:t xml:space="preserve">Average over 10 years = </w:t>
      </w:r>
      <w:r w:rsidR="00CA3DFC" w:rsidRPr="006D28D0">
        <w:t xml:space="preserve">($8,534 * </w:t>
      </w:r>
      <w:r w:rsidR="00230E16" w:rsidRPr="006D28D0">
        <w:t>7.5</w:t>
      </w:r>
      <w:r w:rsidR="00CA3DFC" w:rsidRPr="006D28D0">
        <w:t xml:space="preserve"> applications)</w:t>
      </w:r>
      <w:r w:rsidRPr="006D28D0">
        <w:t>/10</w:t>
      </w:r>
      <w:r w:rsidRPr="006D28D0">
        <w:rPr>
          <w:b/>
          <w:bCs/>
        </w:rPr>
        <w:t xml:space="preserve"> </w:t>
      </w:r>
      <w:r w:rsidRPr="006D28D0">
        <w:t>=</w:t>
      </w:r>
      <w:r w:rsidRPr="006D28D0">
        <w:rPr>
          <w:b/>
          <w:bCs/>
        </w:rPr>
        <w:t xml:space="preserve"> $</w:t>
      </w:r>
      <w:r w:rsidR="00230E16" w:rsidRPr="006D28D0">
        <w:rPr>
          <w:b/>
          <w:bCs/>
        </w:rPr>
        <w:t>6,400.50</w:t>
      </w:r>
      <w:r w:rsidR="00CA3DFC" w:rsidRPr="006D28D0">
        <w:rPr>
          <w:b/>
          <w:bCs/>
        </w:rPr>
        <w:t xml:space="preserve"> </w:t>
      </w:r>
      <w:r w:rsidR="005916D1" w:rsidRPr="006D28D0">
        <w:rPr>
          <w:b/>
          <w:bCs/>
        </w:rPr>
        <w:t>per year</w:t>
      </w:r>
    </w:p>
    <w:p w14:paraId="24BA8137" w14:textId="77777777" w:rsidR="00B530F1" w:rsidRDefault="00B530F1" w:rsidP="00B530F1">
      <w:pPr>
        <w:rPr>
          <w:b/>
          <w:bCs/>
        </w:rPr>
      </w:pPr>
      <w:r>
        <w:rPr>
          <w:b/>
          <w:bCs/>
        </w:rPr>
        <w:t>Option 1:</w:t>
      </w:r>
    </w:p>
    <w:p w14:paraId="21FBD786" w14:textId="17A6A541" w:rsidR="00B530F1" w:rsidRPr="00803BFE" w:rsidRDefault="00B530F1" w:rsidP="00CE0174">
      <w:r w:rsidRPr="00803BFE">
        <w:t xml:space="preserve">No </w:t>
      </w:r>
      <w:r>
        <w:t>section</w:t>
      </w:r>
      <w:r w:rsidR="000E5108">
        <w:t xml:space="preserve"> </w:t>
      </w:r>
      <w:r w:rsidRPr="00803BFE">
        <w:t xml:space="preserve">60 reviews </w:t>
      </w:r>
      <w:r w:rsidR="000E5108">
        <w:t xml:space="preserve">would be submitted </w:t>
      </w:r>
      <w:r w:rsidRPr="00803BFE">
        <w:t xml:space="preserve">as applications </w:t>
      </w:r>
      <w:r w:rsidR="000E5108">
        <w:t xml:space="preserve">are assumed to be </w:t>
      </w:r>
      <w:r w:rsidRPr="00803BFE">
        <w:t>approved at the first submission</w:t>
      </w:r>
      <w:r>
        <w:t xml:space="preserve"> using the ASEM</w:t>
      </w:r>
      <w:r w:rsidRPr="00803BFE">
        <w:t xml:space="preserve">. </w:t>
      </w:r>
    </w:p>
    <w:p w14:paraId="0DC2BAB0" w14:textId="3B3206FB" w:rsidR="00B530F1" w:rsidRPr="006D28D0" w:rsidRDefault="000E5108" w:rsidP="006D28D0">
      <w:pPr>
        <w:pStyle w:val="ListBullet"/>
      </w:pPr>
      <w:r w:rsidRPr="006D28D0">
        <w:t xml:space="preserve">Average cost over 10 years </w:t>
      </w:r>
      <w:r w:rsidR="00B530F1" w:rsidRPr="006D28D0">
        <w:t>= $0</w:t>
      </w:r>
    </w:p>
    <w:p w14:paraId="5DCB55BB" w14:textId="77777777" w:rsidR="004B6E0D" w:rsidRDefault="004B6E0D" w:rsidP="00F47305">
      <w:pPr>
        <w:pStyle w:val="Heading4"/>
      </w:pPr>
      <w:bookmarkStart w:id="136" w:name="_Toc184730607"/>
      <w:r>
        <w:t>Cost to industry from delays in approval of ingredients:</w:t>
      </w:r>
      <w:bookmarkEnd w:id="136"/>
    </w:p>
    <w:p w14:paraId="5D07E98E" w14:textId="131B1843" w:rsidR="00732163" w:rsidRPr="009006BC" w:rsidRDefault="00732163" w:rsidP="009006BC">
      <w:r w:rsidRPr="009006BC">
        <w:t>Delays in approving an ingredient for use in sunscreens can lead to financial losses for industry stakeholders due to the delay in bringing products to the Australian market. Unfortunately,</w:t>
      </w:r>
      <w:r w:rsidR="00072D06">
        <w:t xml:space="preserve"> due to the highly circumstantial nature of products,</w:t>
      </w:r>
      <w:r w:rsidRPr="009006BC">
        <w:t xml:space="preserve"> reliable information to estimate these costs </w:t>
      </w:r>
      <w:r w:rsidR="00072D06">
        <w:t xml:space="preserve">was not available to the TGA or industry to </w:t>
      </w:r>
      <w:r w:rsidRPr="009006BC">
        <w:t>accurately</w:t>
      </w:r>
      <w:r w:rsidR="00072D06">
        <w:t xml:space="preserve"> estimate</w:t>
      </w:r>
      <w:r w:rsidRPr="009006BC">
        <w:t>.</w:t>
      </w:r>
    </w:p>
    <w:p w14:paraId="1397E453" w14:textId="7BDE8F7A" w:rsidR="00732163" w:rsidRPr="009006BC" w:rsidRDefault="00732163" w:rsidP="009006BC">
      <w:r w:rsidRPr="009006BC">
        <w:t xml:space="preserve">While the regulatory cost calculations suggest a net saving for adopting Option 1, there could be a worst-case scenario where a delay in marketing a product with an ingredient that was refused in the first application </w:t>
      </w:r>
      <w:r w:rsidR="00D878BD">
        <w:t>(</w:t>
      </w:r>
      <w:r w:rsidRPr="009006BC">
        <w:t>even if Option 1 was adopted</w:t>
      </w:r>
      <w:r w:rsidR="00D878BD">
        <w:t>)</w:t>
      </w:r>
      <w:r w:rsidRPr="009006BC">
        <w:t xml:space="preserve">, leads to </w:t>
      </w:r>
      <w:r w:rsidR="00D878BD" w:rsidRPr="00D878BD">
        <w:t>impact to industry due to lost income from delayed access to the market</w:t>
      </w:r>
      <w:r w:rsidRPr="009006BC">
        <w:t>. However, based on the current value and predicted growth of the sunscreen market in Australia,</w:t>
      </w:r>
      <w:r w:rsidRPr="00732163">
        <w:rPr>
          <w:rStyle w:val="FootnoteReference"/>
        </w:rPr>
        <w:t xml:space="preserve"> </w:t>
      </w:r>
      <w:r>
        <w:rPr>
          <w:rStyle w:val="FootnoteReference"/>
        </w:rPr>
        <w:footnoteReference w:id="27"/>
      </w:r>
      <w:r w:rsidRPr="009006BC">
        <w:t xml:space="preserve"> it is expected that the industry should be able to absorb these costs. (Refer to the </w:t>
      </w:r>
      <w:hyperlink w:anchor="valueofsunmark" w:history="1">
        <w:r w:rsidRPr="006E6C02">
          <w:rPr>
            <w:rStyle w:val="Hyperlink"/>
          </w:rPr>
          <w:t>Value of the Australian sunscreen market</w:t>
        </w:r>
      </w:hyperlink>
      <w:r>
        <w:t xml:space="preserve"> </w:t>
      </w:r>
      <w:r w:rsidRPr="009006BC">
        <w:t>below).</w:t>
      </w:r>
    </w:p>
    <w:p w14:paraId="1EF1616F" w14:textId="43B07C3B" w:rsidR="00E45EF2" w:rsidRPr="006E6C02" w:rsidRDefault="00E45EF2" w:rsidP="004B6E0D">
      <w:pPr>
        <w:rPr>
          <w:rFonts w:eastAsia="Cambria" w:cs="Times New Roman"/>
          <w:bCs/>
          <w:color w:val="001871"/>
          <w:sz w:val="22"/>
          <w:szCs w:val="22"/>
          <w:shd w:val="clear" w:color="auto" w:fill="FFFFFF"/>
        </w:rPr>
      </w:pPr>
      <w:bookmarkStart w:id="137" w:name="valueofsunmark"/>
      <w:r w:rsidRPr="006E6C02">
        <w:rPr>
          <w:rFonts w:eastAsia="Cambria" w:cs="Times New Roman"/>
          <w:bCs/>
          <w:color w:val="001871"/>
          <w:sz w:val="22"/>
          <w:szCs w:val="22"/>
          <w:shd w:val="clear" w:color="auto" w:fill="FFFFFF"/>
        </w:rPr>
        <w:t>Value of the Australian sunscreen market</w:t>
      </w:r>
    </w:p>
    <w:bookmarkEnd w:id="137"/>
    <w:p w14:paraId="3C7504B3" w14:textId="2192FC9A" w:rsidR="004B6E0D" w:rsidRDefault="004B6E0D" w:rsidP="004B6E0D">
      <w:r w:rsidRPr="00633774">
        <w:t>The IBISWorld’s 2023 market analysis</w:t>
      </w:r>
      <w:r w:rsidR="00E45EF2">
        <w:rPr>
          <w:rStyle w:val="FootnoteReference"/>
        </w:rPr>
        <w:footnoteReference w:id="28"/>
      </w:r>
      <w:r w:rsidRPr="00633774">
        <w:t xml:space="preserve"> includes the ‘Sunscreen and Other Skincare Product Manufacturing industry’ as part of the wider ‘Cosmetics, Perfume and Toiletries Manufacturing’ industry. IBISWorld predicts that the revenue for ‘Cosmetics, Perfume and Toiletries Manufacturing' in Australia is expected to grow at 3.4% annualised over five years to reach an estimated $695 million in 2028. The revenue for sun-care products industry (including sun block, after-sun products and self</w:t>
      </w:r>
      <w:r w:rsidR="00633774">
        <w:t>-</w:t>
      </w:r>
      <w:r w:rsidRPr="00633774">
        <w:t>tanning products) in 2023 was 97.3 million. If this industry grows at the same rate as the broader cosmetic industry (3.4% annualised over five years), it can be extrapolated that the ‘Sunscreen and Other Skincare Product Manufacturing industry’ will be worth approximately $115 million in 2028 and approximately $136 million in 2033.</w:t>
      </w:r>
      <w:r w:rsidRPr="004B6E0D">
        <w:t xml:space="preserve"> </w:t>
      </w:r>
      <w:r>
        <w:t xml:space="preserve"> </w:t>
      </w:r>
    </w:p>
    <w:p w14:paraId="4ABBDA72" w14:textId="00E15315" w:rsidR="00E45EF2" w:rsidRDefault="00E45EF2" w:rsidP="004B6E0D">
      <w:r w:rsidRPr="00E45EF2">
        <w:t>Due to Australia's harsh climate and high UVR, sunscreen is perceived as an essential domestic product. Globally, Australian sunscreen is renowned for its high SPF quality, with several Australian sunscreen products having successfully penetrated international markets. Growing local and international consumer awareness of the damaging effects of sunlight is supporting local sunscreen manufacturers. In addition, emergent health, wellbeing and beauty trends, combined with higher prices, will contribute to the expected revenue growth.</w:t>
      </w:r>
      <w:r>
        <w:rPr>
          <w:rStyle w:val="FootnoteReference"/>
        </w:rPr>
        <w:footnoteReference w:id="29"/>
      </w:r>
    </w:p>
    <w:p w14:paraId="2F26EA81" w14:textId="43FA528A" w:rsidR="00E45EF2" w:rsidRDefault="00E45EF2" w:rsidP="004B6E0D">
      <w:r w:rsidRPr="00E45EF2">
        <w:t xml:space="preserve">A key trend shaping the industry in recent years, has been the growing demand for skincare and suncare products free from chemicals like parabens, phthalates, sulphates, artificial preservatives, fillers and genetically modified plant derivatives. IBISWorld states that many local skincare manufacturers are successfully capitalising on growing consumer demand for natural or organic skin care products by leveraging the functional properties of Australian native botanicals. </w:t>
      </w:r>
    </w:p>
    <w:p w14:paraId="6CA3188E" w14:textId="0A8A491F" w:rsidR="00E45EF2" w:rsidRDefault="00E45EF2" w:rsidP="004B6E0D">
      <w:r w:rsidRPr="00E45EF2">
        <w:t>Sunscreen and other skincare product manufacturing is characterised by a consistent stream of product launches. Technological advancements enable players to focus on higher value and innovative products targeted at both mass and premium markets. The continued shift towards niche and upscale products will benefit sunscreen and other skincare product manufacturers in the coming years</w:t>
      </w:r>
      <w:r>
        <w:rPr>
          <w:rStyle w:val="FootnoteReference"/>
        </w:rPr>
        <w:footnoteReference w:id="30"/>
      </w:r>
      <w:r w:rsidRPr="00E45EF2">
        <w:t xml:space="preserve">. </w:t>
      </w:r>
    </w:p>
    <w:p w14:paraId="4A14B5BB" w14:textId="204AB233" w:rsidR="00E45EF2" w:rsidRDefault="00E45EF2" w:rsidP="004B6E0D">
      <w:r w:rsidRPr="00E45EF2">
        <w:t>IBISWorld states that skincare manufacturers differ substantially in size and product offerings, with many independent manufacturers, including family-owned companies and small-scale contract manufacturers. The industry has numerous small players that cater to specific markets and offer a variety of niche products, adding to the industry's fragmented nature. Sunscreen and skincare product manufacturing is predominantly located along the eastern seaboard. New South Wales, Victoria and Queensland account for over 80% of enterprises. In relation to retail sales, IBISWorld provides the following figures for the broader skin care industry and states that this trend is similar for the sunscreen industry:</w:t>
      </w:r>
    </w:p>
    <w:p w14:paraId="6EABAE0B" w14:textId="77777777" w:rsidR="00E45EF2" w:rsidRPr="006D28D0" w:rsidRDefault="00E45EF2" w:rsidP="006D28D0">
      <w:pPr>
        <w:pStyle w:val="ListBullet"/>
      </w:pPr>
      <w:r w:rsidRPr="006D28D0">
        <w:t xml:space="preserve">Online channels are the top retail market at $222.4 million worth of sales. </w:t>
      </w:r>
    </w:p>
    <w:p w14:paraId="6B274C0D" w14:textId="77777777" w:rsidR="00E45EF2" w:rsidRPr="006D28D0" w:rsidRDefault="00E45EF2" w:rsidP="006D28D0">
      <w:pPr>
        <w:pStyle w:val="ListBullet"/>
      </w:pPr>
      <w:r w:rsidRPr="006D28D0">
        <w:t>Pharmacies, including large chains such as Chemist Warehouse at $208.5 million worth of sales.</w:t>
      </w:r>
    </w:p>
    <w:p w14:paraId="4E492C5D" w14:textId="77777777" w:rsidR="00E45EF2" w:rsidRPr="006D28D0" w:rsidRDefault="00E45EF2" w:rsidP="006D28D0">
      <w:pPr>
        <w:pStyle w:val="ListBullet"/>
      </w:pPr>
      <w:r w:rsidRPr="006D28D0">
        <w:t xml:space="preserve">Grocery channels, such as Woolworths and Coles had $137.6 m worth of sales. </w:t>
      </w:r>
    </w:p>
    <w:p w14:paraId="049EA7CE" w14:textId="77777777" w:rsidR="00E45EF2" w:rsidRPr="006D28D0" w:rsidRDefault="00E45EF2" w:rsidP="006D28D0">
      <w:pPr>
        <w:pStyle w:val="ListBullet"/>
      </w:pPr>
      <w:r w:rsidRPr="006D28D0">
        <w:t xml:space="preserve">Department and specialty stores were the smallest retail market, with $126.5 m worth of sales. </w:t>
      </w:r>
    </w:p>
    <w:p w14:paraId="52F8B604" w14:textId="7D5A4B60" w:rsidR="00E45EF2" w:rsidRPr="006D28D0" w:rsidRDefault="00E45EF2" w:rsidP="006D28D0">
      <w:pPr>
        <w:pStyle w:val="ListBullet"/>
      </w:pPr>
      <w:r w:rsidRPr="006D28D0">
        <w:t>IBISWorld states that online retail sales for the cosmetic industry have surged in recent years. A marked rise in online sales during COVID-19 lockdowns boosted this market. As online sales continue to grow strongly, skincare manufacturers are launching new e-commerce platforms that sell directly to consumers. Many of these sites are single-brand sites, designed to control the company's image. Raw material costs are the single largest cost for skincare manufacturers. Wider consolidation trends in chemical supplier industries are having an impact on raw material availability and prices</w:t>
      </w:r>
      <w:r w:rsidRPr="006D28D0">
        <w:rPr>
          <w:rStyle w:val="FootnoteReference"/>
        </w:rPr>
        <w:footnoteReference w:id="31"/>
      </w:r>
      <w:r w:rsidRPr="006D28D0">
        <w:t>.</w:t>
      </w:r>
    </w:p>
    <w:p w14:paraId="70421639" w14:textId="0467F2E4" w:rsidR="004B6E0D" w:rsidRDefault="004B6E0D" w:rsidP="00072D06">
      <w:pPr>
        <w:pStyle w:val="Heading4"/>
      </w:pPr>
      <w:bookmarkStart w:id="138" w:name="_Toc184730608"/>
      <w:r w:rsidRPr="00072D06">
        <w:t>Regulatory burden estimate (RBE) table</w:t>
      </w:r>
      <w:r w:rsidR="005916D1" w:rsidRPr="00072D06">
        <w:t>s for all 3 Options:</w:t>
      </w:r>
      <w:bookmarkEnd w:id="138"/>
    </w:p>
    <w:p w14:paraId="1E4761FB" w14:textId="77777777" w:rsidR="002B6757" w:rsidRDefault="00072D06">
      <w:r>
        <w:t xml:space="preserve">Considering the above scenarios, the total regulatory costs, and subsequent change are presented for each option below. </w:t>
      </w:r>
    </w:p>
    <w:p w14:paraId="410B814E" w14:textId="77777777" w:rsidR="00CE6E6E" w:rsidRDefault="002B6757">
      <w:r>
        <w:t>Please note, t</w:t>
      </w:r>
      <w:r w:rsidR="005E6F98">
        <w:t>hese costs do not include the cost to the TGA arising from the s60</w:t>
      </w:r>
      <w:r>
        <w:t xml:space="preserve"> reviews/</w:t>
      </w:r>
      <w:r w:rsidR="005E6F98">
        <w:t xml:space="preserve">appeals. </w:t>
      </w:r>
    </w:p>
    <w:p w14:paraId="7D0E2F60" w14:textId="35251E3D" w:rsidR="00072D06" w:rsidRDefault="005E6F98" w:rsidP="009006BC">
      <w:r>
        <w:t>The</w:t>
      </w:r>
      <w:r w:rsidR="00CE6E6E">
        <w:t xml:space="preserve"> costs</w:t>
      </w:r>
      <w:r>
        <w:t xml:space="preserve"> are based on </w:t>
      </w:r>
      <w:r w:rsidR="00CE6E6E">
        <w:t xml:space="preserve">average </w:t>
      </w:r>
      <w:r>
        <w:t>industry estimates</w:t>
      </w:r>
      <w:r w:rsidR="00CE6E6E">
        <w:t xml:space="preserve"> and reflect the yearly cost over a </w:t>
      </w:r>
      <w:r w:rsidR="00E66B08">
        <w:t>10-year</w:t>
      </w:r>
      <w:r w:rsidR="00CE6E6E">
        <w:t xml:space="preserve"> period. </w:t>
      </w:r>
      <w:r>
        <w:t xml:space="preserve"> </w:t>
      </w:r>
    </w:p>
    <w:p w14:paraId="759BD927" w14:textId="6023D835" w:rsidR="00F62CAA" w:rsidRPr="009006BC" w:rsidRDefault="00F62CAA" w:rsidP="00F62CAA">
      <w:pPr>
        <w:pStyle w:val="Tabletitle"/>
      </w:pPr>
      <w:bookmarkStart w:id="139" w:name="Table13"/>
      <w:r>
        <w:t>Table 13: Regulatory burden estimate (RBE) for Option 3</w:t>
      </w:r>
    </w:p>
    <w:bookmarkEnd w:id="139"/>
    <w:p w14:paraId="325B88B0" w14:textId="56AA9AA3" w:rsidR="004B6E0D" w:rsidRDefault="004B6E0D" w:rsidP="004B6E0D">
      <w:pPr>
        <w:pStyle w:val="BOXHeading3"/>
      </w:pPr>
      <w:r>
        <w:t xml:space="preserve">Average annual regulatory costs </w:t>
      </w:r>
      <w:r w:rsidR="00FD6F7B">
        <w:t xml:space="preserve">if </w:t>
      </w:r>
      <w:r w:rsidRPr="009006BC">
        <w:rPr>
          <w:b/>
          <w:bCs/>
        </w:rPr>
        <w:t xml:space="preserve">Option </w:t>
      </w:r>
      <w:r w:rsidR="005916D1" w:rsidRPr="009006BC">
        <w:rPr>
          <w:b/>
          <w:bCs/>
        </w:rPr>
        <w:t>3</w:t>
      </w:r>
      <w:r w:rsidR="00FD6F7B">
        <w:t xml:space="preserve"> is adopted, and all applications are approved</w:t>
      </w:r>
      <w:r w:rsidR="00AB0048">
        <w:t xml:space="preserve"> using this option</w:t>
      </w:r>
    </w:p>
    <w:tbl>
      <w:tblPr>
        <w:tblStyle w:val="Custom1"/>
        <w:tblW w:w="0" w:type="auto"/>
        <w:tblLook w:val="04A0" w:firstRow="1" w:lastRow="0" w:firstColumn="1" w:lastColumn="0" w:noHBand="0" w:noVBand="1"/>
      </w:tblPr>
      <w:tblGrid>
        <w:gridCol w:w="1763"/>
        <w:gridCol w:w="1794"/>
        <w:gridCol w:w="1885"/>
        <w:gridCol w:w="1826"/>
        <w:gridCol w:w="1758"/>
      </w:tblGrid>
      <w:tr w:rsidR="005916D1" w14:paraId="586816F1" w14:textId="77777777" w:rsidTr="00D86A9C">
        <w:trPr>
          <w:cnfStyle w:val="100000000000" w:firstRow="1" w:lastRow="0" w:firstColumn="0" w:lastColumn="0" w:oddVBand="0" w:evenVBand="0" w:oddHBand="0" w:evenHBand="0" w:firstRowFirstColumn="0" w:firstRowLastColumn="0" w:lastRowFirstColumn="0" w:lastRowLastColumn="0"/>
          <w:tblHeader/>
        </w:trPr>
        <w:tc>
          <w:tcPr>
            <w:tcW w:w="1925" w:type="dxa"/>
            <w:shd w:val="clear" w:color="auto" w:fill="auto"/>
          </w:tcPr>
          <w:p w14:paraId="7C9784B3" w14:textId="77777777" w:rsidR="004B6E0D" w:rsidRDefault="004B6E0D" w:rsidP="00D86A9C">
            <w:pPr>
              <w:pStyle w:val="Figure"/>
              <w:numPr>
                <w:ilvl w:val="0"/>
                <w:numId w:val="0"/>
              </w:numPr>
            </w:pPr>
            <w:r>
              <w:t>Change in costs ($)</w:t>
            </w:r>
          </w:p>
        </w:tc>
        <w:tc>
          <w:tcPr>
            <w:tcW w:w="1925" w:type="dxa"/>
            <w:shd w:val="clear" w:color="auto" w:fill="auto"/>
          </w:tcPr>
          <w:p w14:paraId="5BCAD324" w14:textId="4C37C9FA" w:rsidR="004B6E0D" w:rsidRDefault="005916D1" w:rsidP="00D86A9C">
            <w:pPr>
              <w:pStyle w:val="Figure"/>
              <w:numPr>
                <w:ilvl w:val="0"/>
                <w:numId w:val="0"/>
              </w:numPr>
            </w:pPr>
            <w:r>
              <w:t>Business</w:t>
            </w:r>
          </w:p>
        </w:tc>
        <w:tc>
          <w:tcPr>
            <w:tcW w:w="1926" w:type="dxa"/>
            <w:shd w:val="clear" w:color="auto" w:fill="auto"/>
          </w:tcPr>
          <w:p w14:paraId="0F12FFB2" w14:textId="6677F469" w:rsidR="004B6E0D" w:rsidRDefault="005916D1" w:rsidP="00D86A9C">
            <w:pPr>
              <w:pStyle w:val="Figure"/>
              <w:numPr>
                <w:ilvl w:val="0"/>
                <w:numId w:val="0"/>
              </w:numPr>
            </w:pPr>
            <w:r>
              <w:t>Community Organisations</w:t>
            </w:r>
          </w:p>
        </w:tc>
        <w:tc>
          <w:tcPr>
            <w:tcW w:w="1926" w:type="dxa"/>
            <w:shd w:val="clear" w:color="auto" w:fill="auto"/>
          </w:tcPr>
          <w:p w14:paraId="66E80D8E" w14:textId="34F4B0CE" w:rsidR="004B6E0D" w:rsidRDefault="005916D1" w:rsidP="00D86A9C">
            <w:pPr>
              <w:pStyle w:val="Figure"/>
              <w:numPr>
                <w:ilvl w:val="0"/>
                <w:numId w:val="0"/>
              </w:numPr>
            </w:pPr>
            <w:r>
              <w:t>Individuals</w:t>
            </w:r>
          </w:p>
        </w:tc>
        <w:tc>
          <w:tcPr>
            <w:tcW w:w="1926" w:type="dxa"/>
            <w:shd w:val="clear" w:color="auto" w:fill="auto"/>
          </w:tcPr>
          <w:p w14:paraId="6F5CDBC5" w14:textId="4B9293EF" w:rsidR="004B6E0D" w:rsidRDefault="004B6E0D" w:rsidP="00D86A9C">
            <w:pPr>
              <w:pStyle w:val="Figure"/>
              <w:numPr>
                <w:ilvl w:val="0"/>
                <w:numId w:val="0"/>
              </w:numPr>
            </w:pPr>
            <w:r>
              <w:t>Total change in costs</w:t>
            </w:r>
          </w:p>
        </w:tc>
      </w:tr>
      <w:tr w:rsidR="005916D1" w14:paraId="04D64DDC" w14:textId="77777777" w:rsidTr="00D86A9C">
        <w:trPr>
          <w:cnfStyle w:val="000000100000" w:firstRow="0" w:lastRow="0" w:firstColumn="0" w:lastColumn="0" w:oddVBand="0" w:evenVBand="0" w:oddHBand="1" w:evenHBand="0" w:firstRowFirstColumn="0" w:firstRowLastColumn="0" w:lastRowFirstColumn="0" w:lastRowLastColumn="0"/>
        </w:trPr>
        <w:tc>
          <w:tcPr>
            <w:tcW w:w="1925" w:type="dxa"/>
          </w:tcPr>
          <w:p w14:paraId="2C44F77D" w14:textId="77777777" w:rsidR="004B6E0D" w:rsidRPr="00F63C14" w:rsidRDefault="004B6E0D" w:rsidP="00D86A9C">
            <w:pPr>
              <w:pStyle w:val="Figure"/>
              <w:numPr>
                <w:ilvl w:val="0"/>
                <w:numId w:val="0"/>
              </w:numPr>
              <w:rPr>
                <w:b/>
              </w:rPr>
            </w:pPr>
            <w:r w:rsidRPr="00F63C14">
              <w:rPr>
                <w:b/>
              </w:rPr>
              <w:t>Total, by sector</w:t>
            </w:r>
          </w:p>
        </w:tc>
        <w:tc>
          <w:tcPr>
            <w:tcW w:w="1925" w:type="dxa"/>
          </w:tcPr>
          <w:p w14:paraId="6CD74B60" w14:textId="222B7F74" w:rsidR="004B6E0D" w:rsidRPr="003413F6" w:rsidRDefault="004B6E0D" w:rsidP="00D86A9C">
            <w:pPr>
              <w:pStyle w:val="Figure"/>
              <w:numPr>
                <w:ilvl w:val="0"/>
                <w:numId w:val="0"/>
              </w:numPr>
              <w:rPr>
                <w:color w:val="auto"/>
              </w:rPr>
            </w:pPr>
            <w:r w:rsidRPr="003413F6">
              <w:rPr>
                <w:color w:val="auto"/>
              </w:rPr>
              <w:t>$</w:t>
            </w:r>
            <w:r w:rsidR="00230E16" w:rsidRPr="003413F6">
              <w:rPr>
                <w:color w:val="auto"/>
              </w:rPr>
              <w:t>87,984</w:t>
            </w:r>
            <w:r w:rsidR="002B6757" w:rsidRPr="003413F6">
              <w:rPr>
                <w:color w:val="auto"/>
              </w:rPr>
              <w:t>*</w:t>
            </w:r>
          </w:p>
        </w:tc>
        <w:tc>
          <w:tcPr>
            <w:tcW w:w="1926" w:type="dxa"/>
          </w:tcPr>
          <w:p w14:paraId="1A73A155" w14:textId="4EFDB8DE" w:rsidR="004B6E0D" w:rsidRPr="003413F6" w:rsidRDefault="004B6E0D" w:rsidP="00D86A9C">
            <w:pPr>
              <w:pStyle w:val="Figure"/>
              <w:numPr>
                <w:ilvl w:val="0"/>
                <w:numId w:val="0"/>
              </w:numPr>
              <w:rPr>
                <w:color w:val="auto"/>
              </w:rPr>
            </w:pPr>
            <w:r w:rsidRPr="003413F6">
              <w:rPr>
                <w:color w:val="auto"/>
              </w:rPr>
              <w:t>$</w:t>
            </w:r>
            <w:r w:rsidR="00175864" w:rsidRPr="003413F6">
              <w:rPr>
                <w:color w:val="auto"/>
              </w:rPr>
              <w:t>0</w:t>
            </w:r>
          </w:p>
        </w:tc>
        <w:tc>
          <w:tcPr>
            <w:tcW w:w="1926" w:type="dxa"/>
          </w:tcPr>
          <w:p w14:paraId="6100EC4E" w14:textId="77777777" w:rsidR="004B6E0D" w:rsidRPr="003413F6" w:rsidRDefault="004B6E0D" w:rsidP="00D86A9C">
            <w:pPr>
              <w:pStyle w:val="Figure"/>
              <w:numPr>
                <w:ilvl w:val="0"/>
                <w:numId w:val="0"/>
              </w:numPr>
              <w:rPr>
                <w:color w:val="auto"/>
              </w:rPr>
            </w:pPr>
            <w:r w:rsidRPr="003413F6">
              <w:rPr>
                <w:color w:val="auto"/>
              </w:rPr>
              <w:t>$0</w:t>
            </w:r>
          </w:p>
        </w:tc>
        <w:tc>
          <w:tcPr>
            <w:tcW w:w="1926" w:type="dxa"/>
          </w:tcPr>
          <w:p w14:paraId="7B764F8A" w14:textId="2E5DF59F" w:rsidR="004B6E0D" w:rsidRPr="003413F6" w:rsidRDefault="004B6E0D" w:rsidP="00D86A9C">
            <w:pPr>
              <w:pStyle w:val="Figure"/>
              <w:numPr>
                <w:ilvl w:val="0"/>
                <w:numId w:val="0"/>
              </w:numPr>
              <w:rPr>
                <w:color w:val="auto"/>
              </w:rPr>
            </w:pPr>
            <w:r w:rsidRPr="003413F6">
              <w:rPr>
                <w:color w:val="auto"/>
              </w:rPr>
              <w:t>$</w:t>
            </w:r>
            <w:r w:rsidR="001D6884" w:rsidRPr="003413F6">
              <w:rPr>
                <w:color w:val="auto"/>
              </w:rPr>
              <w:t>0**</w:t>
            </w:r>
          </w:p>
        </w:tc>
      </w:tr>
    </w:tbl>
    <w:p w14:paraId="4881A6BC" w14:textId="1E1F96D0" w:rsidR="001D6884" w:rsidRDefault="002B6757" w:rsidP="005916D1">
      <w:r>
        <w:t xml:space="preserve">* </w:t>
      </w:r>
      <w:r w:rsidR="00CE6E6E">
        <w:t>Total cost to industry = Cost of preparing application (</w:t>
      </w:r>
      <w:r w:rsidR="00230E16">
        <w:t>$33,750</w:t>
      </w:r>
      <w:r w:rsidR="00CE6E6E">
        <w:t>) + Cost of submitting applications (</w:t>
      </w:r>
      <w:r w:rsidR="00230E16">
        <w:t>$54,234</w:t>
      </w:r>
      <w:r w:rsidR="00CE6E6E">
        <w:t>).</w:t>
      </w:r>
    </w:p>
    <w:p w14:paraId="2764C95E" w14:textId="08009389" w:rsidR="001D6884" w:rsidRDefault="001D6884" w:rsidP="005916D1">
      <w:r>
        <w:t xml:space="preserve">** This is the current state, hence no change in costs reflected. Options 1 and 2 will be compared against this. </w:t>
      </w:r>
    </w:p>
    <w:p w14:paraId="1F822719" w14:textId="347174B5" w:rsidR="005916D1" w:rsidRDefault="00F62CAA" w:rsidP="00F62CAA">
      <w:pPr>
        <w:pStyle w:val="Tabletitle"/>
      </w:pPr>
      <w:bookmarkStart w:id="140" w:name="Table14"/>
      <w:r>
        <w:t>Table 14: Regulatory burden estimates (RBE) for Option 2</w:t>
      </w:r>
    </w:p>
    <w:bookmarkEnd w:id="140"/>
    <w:p w14:paraId="3AAFD28A" w14:textId="6307A84B" w:rsidR="005916D1" w:rsidRDefault="005916D1" w:rsidP="005916D1">
      <w:pPr>
        <w:pStyle w:val="BOXHeading3"/>
      </w:pPr>
      <w:r>
        <w:t xml:space="preserve">Average annual regulatory costs if </w:t>
      </w:r>
      <w:r w:rsidRPr="00A97C55">
        <w:rPr>
          <w:b/>
          <w:bCs/>
        </w:rPr>
        <w:t>Option 2</w:t>
      </w:r>
      <w:r>
        <w:t xml:space="preserve"> is adopted, and all applications are approved using this option</w:t>
      </w:r>
    </w:p>
    <w:tbl>
      <w:tblPr>
        <w:tblStyle w:val="Custom1"/>
        <w:tblW w:w="0" w:type="auto"/>
        <w:tblLook w:val="04A0" w:firstRow="1" w:lastRow="0" w:firstColumn="1" w:lastColumn="0" w:noHBand="0" w:noVBand="1"/>
      </w:tblPr>
      <w:tblGrid>
        <w:gridCol w:w="1763"/>
        <w:gridCol w:w="1794"/>
        <w:gridCol w:w="1885"/>
        <w:gridCol w:w="1826"/>
        <w:gridCol w:w="1758"/>
      </w:tblGrid>
      <w:tr w:rsidR="005916D1" w14:paraId="396943A5" w14:textId="77777777" w:rsidTr="00CE6E6E">
        <w:trPr>
          <w:cnfStyle w:val="100000000000" w:firstRow="1" w:lastRow="0" w:firstColumn="0" w:lastColumn="0" w:oddVBand="0" w:evenVBand="0" w:oddHBand="0" w:evenHBand="0" w:firstRowFirstColumn="0" w:firstRowLastColumn="0" w:lastRowFirstColumn="0" w:lastRowLastColumn="0"/>
          <w:tblHeader/>
        </w:trPr>
        <w:tc>
          <w:tcPr>
            <w:tcW w:w="1763" w:type="dxa"/>
            <w:shd w:val="clear" w:color="auto" w:fill="auto"/>
          </w:tcPr>
          <w:p w14:paraId="062CD20D" w14:textId="77777777" w:rsidR="005916D1" w:rsidRDefault="005916D1" w:rsidP="00EF7CA1">
            <w:pPr>
              <w:pStyle w:val="Figure"/>
              <w:numPr>
                <w:ilvl w:val="0"/>
                <w:numId w:val="0"/>
              </w:numPr>
            </w:pPr>
            <w:r>
              <w:t>Change in costs ($)</w:t>
            </w:r>
          </w:p>
        </w:tc>
        <w:tc>
          <w:tcPr>
            <w:tcW w:w="1794" w:type="dxa"/>
            <w:shd w:val="clear" w:color="auto" w:fill="auto"/>
          </w:tcPr>
          <w:p w14:paraId="0082EF01" w14:textId="77777777" w:rsidR="005916D1" w:rsidRDefault="005916D1" w:rsidP="00EF7CA1">
            <w:pPr>
              <w:pStyle w:val="Figure"/>
              <w:numPr>
                <w:ilvl w:val="0"/>
                <w:numId w:val="0"/>
              </w:numPr>
            </w:pPr>
            <w:r>
              <w:t>Business</w:t>
            </w:r>
          </w:p>
        </w:tc>
        <w:tc>
          <w:tcPr>
            <w:tcW w:w="1885" w:type="dxa"/>
            <w:shd w:val="clear" w:color="auto" w:fill="auto"/>
          </w:tcPr>
          <w:p w14:paraId="3A17A845" w14:textId="77777777" w:rsidR="005916D1" w:rsidRDefault="005916D1" w:rsidP="00EF7CA1">
            <w:pPr>
              <w:pStyle w:val="Figure"/>
              <w:numPr>
                <w:ilvl w:val="0"/>
                <w:numId w:val="0"/>
              </w:numPr>
            </w:pPr>
            <w:r>
              <w:t>Community Organisations</w:t>
            </w:r>
          </w:p>
        </w:tc>
        <w:tc>
          <w:tcPr>
            <w:tcW w:w="1826" w:type="dxa"/>
            <w:shd w:val="clear" w:color="auto" w:fill="auto"/>
          </w:tcPr>
          <w:p w14:paraId="389F2DAB" w14:textId="77777777" w:rsidR="005916D1" w:rsidRDefault="005916D1" w:rsidP="00EF7CA1">
            <w:pPr>
              <w:pStyle w:val="Figure"/>
              <w:numPr>
                <w:ilvl w:val="0"/>
                <w:numId w:val="0"/>
              </w:numPr>
            </w:pPr>
            <w:r>
              <w:t>Individuals</w:t>
            </w:r>
          </w:p>
        </w:tc>
        <w:tc>
          <w:tcPr>
            <w:tcW w:w="1758" w:type="dxa"/>
            <w:shd w:val="clear" w:color="auto" w:fill="auto"/>
          </w:tcPr>
          <w:p w14:paraId="4DA7CCD1" w14:textId="77777777" w:rsidR="005916D1" w:rsidRDefault="005916D1" w:rsidP="00EF7CA1">
            <w:pPr>
              <w:pStyle w:val="Figure"/>
              <w:numPr>
                <w:ilvl w:val="0"/>
                <w:numId w:val="0"/>
              </w:numPr>
            </w:pPr>
            <w:r>
              <w:t>Total change in costs</w:t>
            </w:r>
          </w:p>
        </w:tc>
      </w:tr>
      <w:tr w:rsidR="005916D1" w14:paraId="58C901E4" w14:textId="77777777" w:rsidTr="00CE6E6E">
        <w:trPr>
          <w:cnfStyle w:val="000000100000" w:firstRow="0" w:lastRow="0" w:firstColumn="0" w:lastColumn="0" w:oddVBand="0" w:evenVBand="0" w:oddHBand="1" w:evenHBand="0" w:firstRowFirstColumn="0" w:firstRowLastColumn="0" w:lastRowFirstColumn="0" w:lastRowLastColumn="0"/>
        </w:trPr>
        <w:tc>
          <w:tcPr>
            <w:tcW w:w="1763" w:type="dxa"/>
          </w:tcPr>
          <w:p w14:paraId="1654E2FE" w14:textId="77777777" w:rsidR="005916D1" w:rsidRPr="00F63C14" w:rsidRDefault="005916D1" w:rsidP="00EF7CA1">
            <w:pPr>
              <w:pStyle w:val="Figure"/>
              <w:numPr>
                <w:ilvl w:val="0"/>
                <w:numId w:val="0"/>
              </w:numPr>
              <w:rPr>
                <w:b/>
              </w:rPr>
            </w:pPr>
            <w:r w:rsidRPr="00F63C14">
              <w:rPr>
                <w:b/>
              </w:rPr>
              <w:t>Total, by sector</w:t>
            </w:r>
          </w:p>
        </w:tc>
        <w:tc>
          <w:tcPr>
            <w:tcW w:w="1794" w:type="dxa"/>
          </w:tcPr>
          <w:p w14:paraId="5194D9C7" w14:textId="64156717" w:rsidR="005916D1" w:rsidRPr="003413F6" w:rsidRDefault="005916D1" w:rsidP="00EF7CA1">
            <w:pPr>
              <w:pStyle w:val="Figure"/>
              <w:numPr>
                <w:ilvl w:val="0"/>
                <w:numId w:val="0"/>
              </w:numPr>
              <w:rPr>
                <w:color w:val="auto"/>
              </w:rPr>
            </w:pPr>
            <w:r w:rsidRPr="003413F6">
              <w:rPr>
                <w:color w:val="auto"/>
              </w:rPr>
              <w:t>$</w:t>
            </w:r>
            <w:r w:rsidR="00230E16" w:rsidRPr="003413F6">
              <w:rPr>
                <w:color w:val="auto"/>
              </w:rPr>
              <w:t>87,609</w:t>
            </w:r>
            <w:r w:rsidR="00CE6E6E" w:rsidRPr="003413F6">
              <w:rPr>
                <w:color w:val="auto"/>
              </w:rPr>
              <w:t>*</w:t>
            </w:r>
          </w:p>
        </w:tc>
        <w:tc>
          <w:tcPr>
            <w:tcW w:w="1885" w:type="dxa"/>
          </w:tcPr>
          <w:p w14:paraId="56738746" w14:textId="5D6C4297" w:rsidR="005916D1" w:rsidRPr="003413F6" w:rsidRDefault="005916D1" w:rsidP="00EF7CA1">
            <w:pPr>
              <w:pStyle w:val="Figure"/>
              <w:numPr>
                <w:ilvl w:val="0"/>
                <w:numId w:val="0"/>
              </w:numPr>
              <w:rPr>
                <w:color w:val="auto"/>
              </w:rPr>
            </w:pPr>
            <w:r w:rsidRPr="003413F6">
              <w:rPr>
                <w:color w:val="auto"/>
              </w:rPr>
              <w:t>$</w:t>
            </w:r>
            <w:r w:rsidR="00175864" w:rsidRPr="003413F6">
              <w:rPr>
                <w:color w:val="auto"/>
              </w:rPr>
              <w:t>0</w:t>
            </w:r>
          </w:p>
        </w:tc>
        <w:tc>
          <w:tcPr>
            <w:tcW w:w="1826" w:type="dxa"/>
          </w:tcPr>
          <w:p w14:paraId="29197C6C" w14:textId="77777777" w:rsidR="005916D1" w:rsidRPr="003413F6" w:rsidRDefault="005916D1" w:rsidP="00EF7CA1">
            <w:pPr>
              <w:pStyle w:val="Figure"/>
              <w:numPr>
                <w:ilvl w:val="0"/>
                <w:numId w:val="0"/>
              </w:numPr>
              <w:rPr>
                <w:color w:val="auto"/>
              </w:rPr>
            </w:pPr>
            <w:r w:rsidRPr="003413F6">
              <w:rPr>
                <w:color w:val="auto"/>
              </w:rPr>
              <w:t>$0</w:t>
            </w:r>
          </w:p>
        </w:tc>
        <w:tc>
          <w:tcPr>
            <w:tcW w:w="1758" w:type="dxa"/>
          </w:tcPr>
          <w:p w14:paraId="51C6F59A" w14:textId="2420C86E" w:rsidR="005916D1" w:rsidRPr="003413F6" w:rsidRDefault="001D6884" w:rsidP="00EF7CA1">
            <w:pPr>
              <w:pStyle w:val="Figure"/>
              <w:numPr>
                <w:ilvl w:val="0"/>
                <w:numId w:val="0"/>
              </w:numPr>
              <w:rPr>
                <w:color w:val="auto"/>
              </w:rPr>
            </w:pPr>
            <w:r w:rsidRPr="003413F6">
              <w:rPr>
                <w:color w:val="auto"/>
              </w:rPr>
              <w:t>-</w:t>
            </w:r>
            <w:r w:rsidR="005916D1" w:rsidRPr="003413F6">
              <w:rPr>
                <w:color w:val="auto"/>
              </w:rPr>
              <w:t>$</w:t>
            </w:r>
            <w:r w:rsidR="00230E16" w:rsidRPr="003413F6">
              <w:rPr>
                <w:color w:val="auto"/>
              </w:rPr>
              <w:t>375</w:t>
            </w:r>
          </w:p>
        </w:tc>
      </w:tr>
    </w:tbl>
    <w:p w14:paraId="4BF62B1D" w14:textId="6C807B62" w:rsidR="005916D1" w:rsidRDefault="00CE6E6E" w:rsidP="005916D1">
      <w:r>
        <w:t>* Total cost to industry = Cost of preparing application (</w:t>
      </w:r>
      <w:r w:rsidR="00230E16">
        <w:t>$33,375</w:t>
      </w:r>
      <w:r>
        <w:t>) + Cost of submitting applications (</w:t>
      </w:r>
      <w:r w:rsidR="00230E16">
        <w:t>$54,234</w:t>
      </w:r>
      <w:r>
        <w:t>).</w:t>
      </w:r>
    </w:p>
    <w:p w14:paraId="29C013A6" w14:textId="1A72E867" w:rsidR="00F62CAA" w:rsidRDefault="00F62CAA" w:rsidP="00F62CAA">
      <w:pPr>
        <w:pStyle w:val="Tabletitle"/>
      </w:pPr>
      <w:bookmarkStart w:id="141" w:name="Table15"/>
      <w:r>
        <w:t xml:space="preserve">Table 15: Regulatory burden estimates (RBE) for Option </w:t>
      </w:r>
      <w:r w:rsidR="00446652">
        <w:t>1</w:t>
      </w:r>
    </w:p>
    <w:bookmarkEnd w:id="141"/>
    <w:p w14:paraId="6DBEECDE" w14:textId="77777777" w:rsidR="005916D1" w:rsidRDefault="005916D1" w:rsidP="005916D1">
      <w:pPr>
        <w:pStyle w:val="BOXHeading3"/>
      </w:pPr>
      <w:r>
        <w:t xml:space="preserve">Average annual regulatory costs if </w:t>
      </w:r>
      <w:r w:rsidRPr="00A97C55">
        <w:rPr>
          <w:b/>
          <w:bCs/>
        </w:rPr>
        <w:t>Option 1</w:t>
      </w:r>
      <w:r>
        <w:t xml:space="preserve"> is adopted, and all applications are approved using this option</w:t>
      </w:r>
    </w:p>
    <w:tbl>
      <w:tblPr>
        <w:tblStyle w:val="Custom1"/>
        <w:tblW w:w="0" w:type="auto"/>
        <w:tblLook w:val="04A0" w:firstRow="1" w:lastRow="0" w:firstColumn="1" w:lastColumn="0" w:noHBand="0" w:noVBand="1"/>
      </w:tblPr>
      <w:tblGrid>
        <w:gridCol w:w="1763"/>
        <w:gridCol w:w="1794"/>
        <w:gridCol w:w="1885"/>
        <w:gridCol w:w="1826"/>
        <w:gridCol w:w="1758"/>
      </w:tblGrid>
      <w:tr w:rsidR="005916D1" w14:paraId="5629C0AE" w14:textId="77777777" w:rsidTr="00E66B08">
        <w:trPr>
          <w:cnfStyle w:val="100000000000" w:firstRow="1" w:lastRow="0" w:firstColumn="0" w:lastColumn="0" w:oddVBand="0" w:evenVBand="0" w:oddHBand="0" w:evenHBand="0" w:firstRowFirstColumn="0" w:firstRowLastColumn="0" w:lastRowFirstColumn="0" w:lastRowLastColumn="0"/>
          <w:tblHeader/>
        </w:trPr>
        <w:tc>
          <w:tcPr>
            <w:tcW w:w="1763" w:type="dxa"/>
            <w:shd w:val="clear" w:color="auto" w:fill="auto"/>
          </w:tcPr>
          <w:p w14:paraId="5091E3A1" w14:textId="77777777" w:rsidR="005916D1" w:rsidRDefault="005916D1" w:rsidP="00EF7CA1">
            <w:pPr>
              <w:pStyle w:val="Figure"/>
              <w:numPr>
                <w:ilvl w:val="0"/>
                <w:numId w:val="0"/>
              </w:numPr>
            </w:pPr>
            <w:r>
              <w:t>Change in costs ($)</w:t>
            </w:r>
          </w:p>
        </w:tc>
        <w:tc>
          <w:tcPr>
            <w:tcW w:w="1794" w:type="dxa"/>
            <w:shd w:val="clear" w:color="auto" w:fill="auto"/>
          </w:tcPr>
          <w:p w14:paraId="07D66F62" w14:textId="77777777" w:rsidR="005916D1" w:rsidRDefault="005916D1" w:rsidP="00EF7CA1">
            <w:pPr>
              <w:pStyle w:val="Figure"/>
              <w:numPr>
                <w:ilvl w:val="0"/>
                <w:numId w:val="0"/>
              </w:numPr>
            </w:pPr>
            <w:r>
              <w:t>Business</w:t>
            </w:r>
          </w:p>
        </w:tc>
        <w:tc>
          <w:tcPr>
            <w:tcW w:w="1885" w:type="dxa"/>
            <w:shd w:val="clear" w:color="auto" w:fill="auto"/>
          </w:tcPr>
          <w:p w14:paraId="487BB88D" w14:textId="77777777" w:rsidR="005916D1" w:rsidRDefault="005916D1" w:rsidP="00EF7CA1">
            <w:pPr>
              <w:pStyle w:val="Figure"/>
              <w:numPr>
                <w:ilvl w:val="0"/>
                <w:numId w:val="0"/>
              </w:numPr>
            </w:pPr>
            <w:r>
              <w:t>Community Organisations</w:t>
            </w:r>
          </w:p>
        </w:tc>
        <w:tc>
          <w:tcPr>
            <w:tcW w:w="1826" w:type="dxa"/>
            <w:shd w:val="clear" w:color="auto" w:fill="auto"/>
          </w:tcPr>
          <w:p w14:paraId="4D63CAAB" w14:textId="77777777" w:rsidR="005916D1" w:rsidRDefault="005916D1" w:rsidP="00EF7CA1">
            <w:pPr>
              <w:pStyle w:val="Figure"/>
              <w:numPr>
                <w:ilvl w:val="0"/>
                <w:numId w:val="0"/>
              </w:numPr>
            </w:pPr>
            <w:r>
              <w:t>Individuals</w:t>
            </w:r>
          </w:p>
        </w:tc>
        <w:tc>
          <w:tcPr>
            <w:tcW w:w="1758" w:type="dxa"/>
            <w:shd w:val="clear" w:color="auto" w:fill="auto"/>
          </w:tcPr>
          <w:p w14:paraId="0862ECF9" w14:textId="77777777" w:rsidR="005916D1" w:rsidRDefault="005916D1" w:rsidP="00EF7CA1">
            <w:pPr>
              <w:pStyle w:val="Figure"/>
              <w:numPr>
                <w:ilvl w:val="0"/>
                <w:numId w:val="0"/>
              </w:numPr>
            </w:pPr>
            <w:r>
              <w:t>Total change in costs</w:t>
            </w:r>
          </w:p>
        </w:tc>
      </w:tr>
      <w:tr w:rsidR="005916D1" w14:paraId="58604BE9" w14:textId="77777777" w:rsidTr="00E66B08">
        <w:trPr>
          <w:cnfStyle w:val="000000100000" w:firstRow="0" w:lastRow="0" w:firstColumn="0" w:lastColumn="0" w:oddVBand="0" w:evenVBand="0" w:oddHBand="1" w:evenHBand="0" w:firstRowFirstColumn="0" w:firstRowLastColumn="0" w:lastRowFirstColumn="0" w:lastRowLastColumn="0"/>
        </w:trPr>
        <w:tc>
          <w:tcPr>
            <w:tcW w:w="1763" w:type="dxa"/>
          </w:tcPr>
          <w:p w14:paraId="1AD1C435" w14:textId="77777777" w:rsidR="005916D1" w:rsidRPr="00F63C14" w:rsidRDefault="005916D1" w:rsidP="00EF7CA1">
            <w:pPr>
              <w:pStyle w:val="Figure"/>
              <w:numPr>
                <w:ilvl w:val="0"/>
                <w:numId w:val="0"/>
              </w:numPr>
              <w:rPr>
                <w:b/>
              </w:rPr>
            </w:pPr>
            <w:r w:rsidRPr="00F63C14">
              <w:rPr>
                <w:b/>
              </w:rPr>
              <w:t>Total, by sector</w:t>
            </w:r>
          </w:p>
        </w:tc>
        <w:tc>
          <w:tcPr>
            <w:tcW w:w="1794" w:type="dxa"/>
          </w:tcPr>
          <w:p w14:paraId="7C60D56E" w14:textId="180A62C7" w:rsidR="005916D1" w:rsidRDefault="005916D1" w:rsidP="00EF7CA1">
            <w:pPr>
              <w:pStyle w:val="Figure"/>
              <w:numPr>
                <w:ilvl w:val="0"/>
                <w:numId w:val="0"/>
              </w:numPr>
            </w:pPr>
            <w:r>
              <w:t>$</w:t>
            </w:r>
            <w:r w:rsidR="00230E16">
              <w:t>55,167</w:t>
            </w:r>
            <w:r w:rsidR="00E66B08">
              <w:t>*</w:t>
            </w:r>
          </w:p>
        </w:tc>
        <w:tc>
          <w:tcPr>
            <w:tcW w:w="1885" w:type="dxa"/>
          </w:tcPr>
          <w:p w14:paraId="29E8D54C" w14:textId="6209DF24" w:rsidR="005916D1" w:rsidRDefault="005916D1" w:rsidP="00EF7CA1">
            <w:pPr>
              <w:pStyle w:val="Figure"/>
              <w:numPr>
                <w:ilvl w:val="0"/>
                <w:numId w:val="0"/>
              </w:numPr>
            </w:pPr>
            <w:r>
              <w:t>$</w:t>
            </w:r>
            <w:r w:rsidR="00E3537A">
              <w:t>0</w:t>
            </w:r>
          </w:p>
        </w:tc>
        <w:tc>
          <w:tcPr>
            <w:tcW w:w="1826" w:type="dxa"/>
          </w:tcPr>
          <w:p w14:paraId="644B93A8" w14:textId="77777777" w:rsidR="005916D1" w:rsidRDefault="005916D1" w:rsidP="00EF7CA1">
            <w:pPr>
              <w:pStyle w:val="Figure"/>
              <w:numPr>
                <w:ilvl w:val="0"/>
                <w:numId w:val="0"/>
              </w:numPr>
            </w:pPr>
            <w:r>
              <w:t>$0</w:t>
            </w:r>
          </w:p>
        </w:tc>
        <w:tc>
          <w:tcPr>
            <w:tcW w:w="1758" w:type="dxa"/>
          </w:tcPr>
          <w:p w14:paraId="426C8613" w14:textId="617C2FA7" w:rsidR="005916D1" w:rsidRDefault="001D6884" w:rsidP="00EF7CA1">
            <w:pPr>
              <w:pStyle w:val="Figure"/>
              <w:numPr>
                <w:ilvl w:val="0"/>
                <w:numId w:val="0"/>
              </w:numPr>
            </w:pPr>
            <w:r>
              <w:t>-</w:t>
            </w:r>
            <w:r w:rsidR="00E3537A">
              <w:t>$</w:t>
            </w:r>
            <w:r w:rsidR="00230E16">
              <w:t>32,817</w:t>
            </w:r>
          </w:p>
        </w:tc>
      </w:tr>
    </w:tbl>
    <w:p w14:paraId="576E5C3D" w14:textId="6308A05E" w:rsidR="005916D1" w:rsidRDefault="00E66B08" w:rsidP="005C6797">
      <w:r>
        <w:t>* Total cost to industry = Cost of preparing application (</w:t>
      </w:r>
      <w:r w:rsidR="00230E16">
        <w:t>$31,800</w:t>
      </w:r>
      <w:r>
        <w:t>) + Cost of submitting applications (</w:t>
      </w:r>
      <w:r w:rsidR="00230E16">
        <w:t>$23,367</w:t>
      </w:r>
      <w:r>
        <w:t>).</w:t>
      </w:r>
    </w:p>
    <w:p w14:paraId="048DA505" w14:textId="70F334D3" w:rsidR="001D6884" w:rsidRPr="005916D1" w:rsidRDefault="001D6884" w:rsidP="005916D1">
      <w:r>
        <w:t>Overall, based on the consideration of the regulatory costs both quantitative and qualitative, as highlighted above, Option 1 leads to the highest benefit with a net reduction in regulatory burden.</w:t>
      </w:r>
    </w:p>
    <w:p w14:paraId="2221870A" w14:textId="34EAC938" w:rsidR="001B0C20" w:rsidRPr="00867290" w:rsidRDefault="005916D1" w:rsidP="00A97C55">
      <w:pPr>
        <w:pStyle w:val="Heading2"/>
      </w:pPr>
      <w:bookmarkStart w:id="142" w:name="_Who_did_you"/>
      <w:bookmarkStart w:id="143" w:name="_Toc184730609"/>
      <w:bookmarkEnd w:id="142"/>
      <w:r>
        <w:t xml:space="preserve">5. </w:t>
      </w:r>
      <w:r w:rsidR="00100B1C" w:rsidRPr="00867290">
        <w:t>Who did you consult and how did you incorporate their feedback?</w:t>
      </w:r>
      <w:bookmarkEnd w:id="143"/>
    </w:p>
    <w:p w14:paraId="6088FD91" w14:textId="22D2E5A0" w:rsidR="00824288" w:rsidRDefault="00824288" w:rsidP="007B4E17">
      <w:pPr>
        <w:pStyle w:val="Heading3"/>
      </w:pPr>
      <w:bookmarkStart w:id="144" w:name="_Toc184730610"/>
      <w:r>
        <w:t>Annual low-negligible risk consultation 2023-2024</w:t>
      </w:r>
      <w:bookmarkEnd w:id="144"/>
    </w:p>
    <w:p w14:paraId="673BBD77" w14:textId="15A11AAC" w:rsidR="00F91684" w:rsidRPr="00AB38A0" w:rsidRDefault="00F91684" w:rsidP="00F91684">
      <w:pPr>
        <w:pStyle w:val="BodyText"/>
        <w:spacing w:before="119" w:line="259" w:lineRule="auto"/>
        <w:ind w:right="205"/>
      </w:pPr>
      <w:r w:rsidRPr="00AB38A0">
        <w:t>In</w:t>
      </w:r>
      <w:r w:rsidRPr="00AB38A0">
        <w:rPr>
          <w:spacing w:val="-4"/>
        </w:rPr>
        <w:t xml:space="preserve"> </w:t>
      </w:r>
      <w:r w:rsidRPr="00AB38A0">
        <w:t>August</w:t>
      </w:r>
      <w:r w:rsidRPr="00AB38A0">
        <w:rPr>
          <w:spacing w:val="-2"/>
        </w:rPr>
        <w:t xml:space="preserve"> </w:t>
      </w:r>
      <w:r w:rsidRPr="00AB38A0">
        <w:t>2023,</w:t>
      </w:r>
      <w:r w:rsidRPr="00AB38A0">
        <w:rPr>
          <w:spacing w:val="-4"/>
        </w:rPr>
        <w:t xml:space="preserve"> </w:t>
      </w:r>
      <w:r w:rsidRPr="00AB38A0">
        <w:t>the</w:t>
      </w:r>
      <w:r w:rsidRPr="00AB38A0">
        <w:rPr>
          <w:spacing w:val="-4"/>
        </w:rPr>
        <w:t xml:space="preserve"> </w:t>
      </w:r>
      <w:r w:rsidRPr="00AB38A0">
        <w:t>TGA</w:t>
      </w:r>
      <w:r w:rsidRPr="00AB38A0">
        <w:rPr>
          <w:spacing w:val="-2"/>
        </w:rPr>
        <w:t xml:space="preserve"> </w:t>
      </w:r>
      <w:r w:rsidRPr="00AB38A0">
        <w:t>initiated</w:t>
      </w:r>
      <w:r w:rsidRPr="00AB38A0">
        <w:rPr>
          <w:spacing w:val="-2"/>
        </w:rPr>
        <w:t xml:space="preserve"> </w:t>
      </w:r>
      <w:r w:rsidRPr="00AB38A0">
        <w:t>a</w:t>
      </w:r>
      <w:r w:rsidRPr="00AB38A0">
        <w:rPr>
          <w:spacing w:val="-4"/>
        </w:rPr>
        <w:t xml:space="preserve"> </w:t>
      </w:r>
      <w:hyperlink r:id="rId60">
        <w:r w:rsidRPr="00AB38A0">
          <w:rPr>
            <w:color w:val="0000FF"/>
            <w:u w:val="single" w:color="0000FF"/>
          </w:rPr>
          <w:t>public</w:t>
        </w:r>
        <w:r w:rsidRPr="00AB38A0">
          <w:rPr>
            <w:color w:val="0000FF"/>
            <w:spacing w:val="-3"/>
            <w:u w:val="single" w:color="0000FF"/>
          </w:rPr>
          <w:t xml:space="preserve"> </w:t>
        </w:r>
        <w:r w:rsidRPr="00AB38A0">
          <w:rPr>
            <w:color w:val="0000FF"/>
            <w:u w:val="single" w:color="0000FF"/>
          </w:rPr>
          <w:t>consultation</w:t>
        </w:r>
      </w:hyperlink>
      <w:r w:rsidRPr="00AB38A0">
        <w:rPr>
          <w:color w:val="0000FF"/>
          <w:spacing w:val="-3"/>
        </w:rPr>
        <w:t xml:space="preserve"> </w:t>
      </w:r>
      <w:r w:rsidRPr="00AB38A0">
        <w:t>to</w:t>
      </w:r>
      <w:r w:rsidRPr="00AB38A0">
        <w:rPr>
          <w:spacing w:val="-4"/>
        </w:rPr>
        <w:t xml:space="preserve"> </w:t>
      </w:r>
      <w:r w:rsidRPr="00AB38A0">
        <w:t>determine</w:t>
      </w:r>
      <w:r w:rsidRPr="00AB38A0">
        <w:rPr>
          <w:spacing w:val="-2"/>
        </w:rPr>
        <w:t xml:space="preserve"> </w:t>
      </w:r>
      <w:r w:rsidRPr="00AB38A0">
        <w:t>the</w:t>
      </w:r>
      <w:r w:rsidRPr="00AB38A0">
        <w:rPr>
          <w:spacing w:val="-2"/>
        </w:rPr>
        <w:t xml:space="preserve"> </w:t>
      </w:r>
      <w:r w:rsidRPr="00AB38A0">
        <w:t>safe</w:t>
      </w:r>
      <w:r w:rsidRPr="00AB38A0">
        <w:rPr>
          <w:spacing w:val="-2"/>
        </w:rPr>
        <w:t xml:space="preserve"> </w:t>
      </w:r>
      <w:r w:rsidRPr="00AB38A0">
        <w:t>levels</w:t>
      </w:r>
      <w:r w:rsidRPr="00AB38A0">
        <w:rPr>
          <w:spacing w:val="-3"/>
        </w:rPr>
        <w:t xml:space="preserve"> </w:t>
      </w:r>
      <w:r w:rsidRPr="00AB38A0">
        <w:t>of</w:t>
      </w:r>
      <w:r w:rsidRPr="00AB38A0">
        <w:rPr>
          <w:spacing w:val="-4"/>
        </w:rPr>
        <w:t xml:space="preserve"> </w:t>
      </w:r>
      <w:r w:rsidRPr="00AB38A0">
        <w:t>benzophenone (a degradation impurity) in sunscreens containing octocrylene. The assessment utilised the Cancer Council's full-day sunscreen application recommendation, equating to 140 mL for a full body, to calculate the maximum worst-case sunscreen exposure.</w:t>
      </w:r>
    </w:p>
    <w:p w14:paraId="79E07B6F" w14:textId="77777777" w:rsidR="00F91684" w:rsidRPr="00AB38A0" w:rsidRDefault="00F91684" w:rsidP="00F91684">
      <w:pPr>
        <w:pStyle w:val="BodyText"/>
        <w:spacing w:before="118"/>
        <w:ind w:right="205"/>
      </w:pPr>
      <w:r w:rsidRPr="00AB38A0">
        <w:rPr>
          <w:color w:val="232323"/>
        </w:rPr>
        <w:t>However, while one respondent supported the approach, industry feedback indicated that this estimate</w:t>
      </w:r>
      <w:r w:rsidRPr="00AB38A0">
        <w:rPr>
          <w:color w:val="232323"/>
          <w:spacing w:val="-4"/>
        </w:rPr>
        <w:t xml:space="preserve"> </w:t>
      </w:r>
      <w:r w:rsidRPr="00AB38A0">
        <w:rPr>
          <w:color w:val="232323"/>
        </w:rPr>
        <w:t>was</w:t>
      </w:r>
      <w:r w:rsidRPr="00AB38A0">
        <w:rPr>
          <w:color w:val="232323"/>
          <w:spacing w:val="-3"/>
        </w:rPr>
        <w:t xml:space="preserve"> </w:t>
      </w:r>
      <w:r w:rsidRPr="00AB38A0">
        <w:rPr>
          <w:color w:val="232323"/>
        </w:rPr>
        <w:t>overly</w:t>
      </w:r>
      <w:r w:rsidRPr="00AB38A0">
        <w:rPr>
          <w:color w:val="232323"/>
          <w:spacing w:val="-3"/>
        </w:rPr>
        <w:t xml:space="preserve"> </w:t>
      </w:r>
      <w:r w:rsidRPr="00AB38A0">
        <w:rPr>
          <w:color w:val="232323"/>
        </w:rPr>
        <w:t>conservative,</w:t>
      </w:r>
      <w:r w:rsidRPr="00AB38A0">
        <w:rPr>
          <w:color w:val="232323"/>
          <w:spacing w:val="-4"/>
        </w:rPr>
        <w:t xml:space="preserve"> </w:t>
      </w:r>
      <w:r w:rsidRPr="00AB38A0">
        <w:rPr>
          <w:color w:val="232323"/>
        </w:rPr>
        <w:t>not</w:t>
      </w:r>
      <w:r w:rsidRPr="00AB38A0">
        <w:rPr>
          <w:color w:val="232323"/>
          <w:spacing w:val="-4"/>
        </w:rPr>
        <w:t xml:space="preserve"> </w:t>
      </w:r>
      <w:r w:rsidRPr="00AB38A0">
        <w:rPr>
          <w:color w:val="232323"/>
        </w:rPr>
        <w:t>reflective</w:t>
      </w:r>
      <w:r w:rsidRPr="00AB38A0">
        <w:rPr>
          <w:color w:val="232323"/>
          <w:spacing w:val="-4"/>
        </w:rPr>
        <w:t xml:space="preserve"> </w:t>
      </w:r>
      <w:r w:rsidRPr="00AB38A0">
        <w:rPr>
          <w:color w:val="232323"/>
        </w:rPr>
        <w:t>of</w:t>
      </w:r>
      <w:r w:rsidRPr="00AB38A0">
        <w:rPr>
          <w:color w:val="232323"/>
          <w:spacing w:val="-2"/>
        </w:rPr>
        <w:t xml:space="preserve"> </w:t>
      </w:r>
      <w:r w:rsidRPr="00AB38A0">
        <w:rPr>
          <w:color w:val="232323"/>
        </w:rPr>
        <w:t>actual</w:t>
      </w:r>
      <w:r w:rsidRPr="00AB38A0">
        <w:rPr>
          <w:color w:val="232323"/>
          <w:spacing w:val="-5"/>
        </w:rPr>
        <w:t xml:space="preserve"> </w:t>
      </w:r>
      <w:r w:rsidRPr="00AB38A0">
        <w:rPr>
          <w:color w:val="232323"/>
        </w:rPr>
        <w:t>consumer</w:t>
      </w:r>
      <w:r w:rsidRPr="00AB38A0">
        <w:rPr>
          <w:color w:val="232323"/>
          <w:spacing w:val="-3"/>
        </w:rPr>
        <w:t xml:space="preserve"> </w:t>
      </w:r>
      <w:r w:rsidRPr="00AB38A0">
        <w:rPr>
          <w:color w:val="232323"/>
        </w:rPr>
        <w:t>usage</w:t>
      </w:r>
      <w:r w:rsidRPr="00AB38A0">
        <w:rPr>
          <w:color w:val="232323"/>
          <w:spacing w:val="-2"/>
        </w:rPr>
        <w:t xml:space="preserve"> </w:t>
      </w:r>
      <w:r w:rsidRPr="00AB38A0">
        <w:rPr>
          <w:color w:val="232323"/>
        </w:rPr>
        <w:t>and</w:t>
      </w:r>
      <w:r w:rsidRPr="00AB38A0">
        <w:rPr>
          <w:color w:val="232323"/>
          <w:spacing w:val="-2"/>
        </w:rPr>
        <w:t xml:space="preserve"> </w:t>
      </w:r>
      <w:r w:rsidRPr="00AB38A0">
        <w:rPr>
          <w:color w:val="232323"/>
        </w:rPr>
        <w:t>failed</w:t>
      </w:r>
      <w:r w:rsidRPr="00AB38A0">
        <w:rPr>
          <w:color w:val="232323"/>
          <w:spacing w:val="-4"/>
        </w:rPr>
        <w:t xml:space="preserve"> </w:t>
      </w:r>
      <w:r w:rsidRPr="00AB38A0">
        <w:rPr>
          <w:color w:val="232323"/>
        </w:rPr>
        <w:t>to</w:t>
      </w:r>
      <w:r w:rsidRPr="00AB38A0">
        <w:rPr>
          <w:color w:val="232323"/>
          <w:spacing w:val="-2"/>
        </w:rPr>
        <w:t xml:space="preserve"> </w:t>
      </w:r>
      <w:r w:rsidRPr="00AB38A0">
        <w:rPr>
          <w:color w:val="232323"/>
        </w:rPr>
        <w:t>consider additional protective measures advised by the Cancer Council.</w:t>
      </w:r>
    </w:p>
    <w:p w14:paraId="33EC3F2C" w14:textId="77777777" w:rsidR="00F91684" w:rsidRPr="00AB38A0" w:rsidRDefault="00F91684" w:rsidP="00F91684">
      <w:pPr>
        <w:pStyle w:val="BodyText"/>
        <w:spacing w:before="2"/>
      </w:pPr>
    </w:p>
    <w:p w14:paraId="0940398E" w14:textId="77777777" w:rsidR="00F91684" w:rsidRPr="00AB38A0" w:rsidRDefault="00F91684" w:rsidP="00F91684">
      <w:pPr>
        <w:pStyle w:val="BodyText"/>
      </w:pPr>
      <w:r w:rsidRPr="00AB38A0">
        <w:rPr>
          <w:color w:val="232323"/>
        </w:rPr>
        <w:t>Industry</w:t>
      </w:r>
      <w:r w:rsidRPr="00AB38A0">
        <w:rPr>
          <w:color w:val="232323"/>
          <w:spacing w:val="-4"/>
        </w:rPr>
        <w:t xml:space="preserve"> </w:t>
      </w:r>
      <w:r w:rsidRPr="00AB38A0">
        <w:rPr>
          <w:color w:val="232323"/>
        </w:rPr>
        <w:t>stakeholders</w:t>
      </w:r>
      <w:r w:rsidRPr="00AB38A0">
        <w:rPr>
          <w:color w:val="232323"/>
          <w:spacing w:val="-4"/>
        </w:rPr>
        <w:t xml:space="preserve"> </w:t>
      </w:r>
      <w:r w:rsidRPr="00AB38A0">
        <w:rPr>
          <w:color w:val="232323"/>
        </w:rPr>
        <w:t>presented</w:t>
      </w:r>
      <w:r w:rsidRPr="00AB38A0">
        <w:rPr>
          <w:color w:val="232323"/>
          <w:spacing w:val="-5"/>
        </w:rPr>
        <w:t xml:space="preserve"> </w:t>
      </w:r>
      <w:r w:rsidRPr="00AB38A0">
        <w:rPr>
          <w:color w:val="232323"/>
        </w:rPr>
        <w:t>varied</w:t>
      </w:r>
      <w:r w:rsidRPr="00AB38A0">
        <w:rPr>
          <w:color w:val="232323"/>
          <w:spacing w:val="-5"/>
        </w:rPr>
        <w:t xml:space="preserve"> </w:t>
      </w:r>
      <w:r w:rsidRPr="00AB38A0">
        <w:rPr>
          <w:color w:val="232323"/>
        </w:rPr>
        <w:t>perspectives</w:t>
      </w:r>
      <w:r w:rsidRPr="00AB38A0">
        <w:rPr>
          <w:color w:val="232323"/>
          <w:spacing w:val="-4"/>
        </w:rPr>
        <w:t xml:space="preserve"> </w:t>
      </w:r>
      <w:r w:rsidRPr="00AB38A0">
        <w:rPr>
          <w:color w:val="232323"/>
        </w:rPr>
        <w:t>on</w:t>
      </w:r>
      <w:r w:rsidRPr="00AB38A0">
        <w:rPr>
          <w:color w:val="232323"/>
          <w:spacing w:val="-5"/>
        </w:rPr>
        <w:t xml:space="preserve"> </w:t>
      </w:r>
      <w:r w:rsidRPr="00AB38A0">
        <w:rPr>
          <w:color w:val="232323"/>
        </w:rPr>
        <w:t>the</w:t>
      </w:r>
      <w:r w:rsidRPr="00AB38A0">
        <w:rPr>
          <w:color w:val="232323"/>
          <w:spacing w:val="-3"/>
        </w:rPr>
        <w:t xml:space="preserve"> </w:t>
      </w:r>
      <w:r w:rsidRPr="00AB38A0">
        <w:rPr>
          <w:color w:val="232323"/>
        </w:rPr>
        <w:t>appropriate</w:t>
      </w:r>
      <w:r w:rsidRPr="00AB38A0">
        <w:rPr>
          <w:color w:val="232323"/>
          <w:spacing w:val="-3"/>
        </w:rPr>
        <w:t xml:space="preserve"> </w:t>
      </w:r>
      <w:r w:rsidRPr="00AB38A0">
        <w:rPr>
          <w:color w:val="232323"/>
        </w:rPr>
        <w:t>method</w:t>
      </w:r>
      <w:r w:rsidRPr="00AB38A0">
        <w:rPr>
          <w:color w:val="232323"/>
          <w:spacing w:val="-3"/>
        </w:rPr>
        <w:t xml:space="preserve"> </w:t>
      </w:r>
      <w:r w:rsidRPr="00AB38A0">
        <w:rPr>
          <w:color w:val="232323"/>
        </w:rPr>
        <w:t>for</w:t>
      </w:r>
      <w:r w:rsidRPr="00AB38A0">
        <w:rPr>
          <w:color w:val="232323"/>
          <w:spacing w:val="-4"/>
        </w:rPr>
        <w:t xml:space="preserve"> </w:t>
      </w:r>
      <w:r w:rsidRPr="00AB38A0">
        <w:rPr>
          <w:color w:val="232323"/>
        </w:rPr>
        <w:t xml:space="preserve">exposure </w:t>
      </w:r>
      <w:r w:rsidRPr="00AB38A0">
        <w:rPr>
          <w:color w:val="232323"/>
          <w:spacing w:val="-2"/>
        </w:rPr>
        <w:t>assessment:</w:t>
      </w:r>
    </w:p>
    <w:p w14:paraId="7FECA365" w14:textId="77777777" w:rsidR="00F91684" w:rsidRPr="0073370F" w:rsidRDefault="00F91684" w:rsidP="006D28D0">
      <w:pPr>
        <w:pStyle w:val="ListBullet"/>
      </w:pPr>
      <w:r w:rsidRPr="0073370F">
        <w:t>Many</w:t>
      </w:r>
      <w:r w:rsidRPr="0073370F">
        <w:rPr>
          <w:spacing w:val="-3"/>
        </w:rPr>
        <w:t xml:space="preserve"> </w:t>
      </w:r>
      <w:r w:rsidRPr="0073370F">
        <w:t>suggested</w:t>
      </w:r>
      <w:r w:rsidRPr="0073370F">
        <w:rPr>
          <w:spacing w:val="-4"/>
        </w:rPr>
        <w:t xml:space="preserve"> </w:t>
      </w:r>
      <w:r w:rsidRPr="0073370F">
        <w:t>adopting</w:t>
      </w:r>
      <w:r w:rsidRPr="0073370F">
        <w:rPr>
          <w:spacing w:val="-2"/>
        </w:rPr>
        <w:t xml:space="preserve"> </w:t>
      </w:r>
      <w:r w:rsidRPr="0073370F">
        <w:t>the</w:t>
      </w:r>
      <w:r w:rsidRPr="0073370F">
        <w:rPr>
          <w:spacing w:val="-4"/>
        </w:rPr>
        <w:t xml:space="preserve"> </w:t>
      </w:r>
      <w:r w:rsidRPr="0073370F">
        <w:t>SCCS's</w:t>
      </w:r>
      <w:r w:rsidRPr="0073370F">
        <w:rPr>
          <w:spacing w:val="-3"/>
        </w:rPr>
        <w:t xml:space="preserve"> </w:t>
      </w:r>
      <w:r w:rsidRPr="0073370F">
        <w:t>daily</w:t>
      </w:r>
      <w:r w:rsidRPr="0073370F">
        <w:rPr>
          <w:spacing w:val="-3"/>
        </w:rPr>
        <w:t xml:space="preserve"> </w:t>
      </w:r>
      <w:r w:rsidRPr="0073370F">
        <w:t>usage</w:t>
      </w:r>
      <w:r w:rsidRPr="0073370F">
        <w:rPr>
          <w:spacing w:val="-4"/>
        </w:rPr>
        <w:t xml:space="preserve"> </w:t>
      </w:r>
      <w:r w:rsidRPr="0073370F">
        <w:t>model</w:t>
      </w:r>
      <w:r w:rsidRPr="0073370F">
        <w:rPr>
          <w:spacing w:val="-2"/>
        </w:rPr>
        <w:t xml:space="preserve"> </w:t>
      </w:r>
      <w:r w:rsidRPr="0073370F">
        <w:t>of</w:t>
      </w:r>
      <w:r w:rsidRPr="0073370F">
        <w:rPr>
          <w:spacing w:val="-4"/>
        </w:rPr>
        <w:t xml:space="preserve"> </w:t>
      </w:r>
      <w:r w:rsidRPr="0073370F">
        <w:t>18</w:t>
      </w:r>
      <w:r w:rsidRPr="0073370F">
        <w:rPr>
          <w:spacing w:val="-4"/>
        </w:rPr>
        <w:t xml:space="preserve"> </w:t>
      </w:r>
      <w:r w:rsidRPr="0073370F">
        <w:t>g/day</w:t>
      </w:r>
      <w:r w:rsidRPr="0073370F">
        <w:rPr>
          <w:spacing w:val="-3"/>
        </w:rPr>
        <w:t xml:space="preserve"> </w:t>
      </w:r>
      <w:r w:rsidRPr="0073370F">
        <w:t>as</w:t>
      </w:r>
      <w:r w:rsidRPr="0073370F">
        <w:rPr>
          <w:spacing w:val="-3"/>
        </w:rPr>
        <w:t xml:space="preserve"> </w:t>
      </w:r>
      <w:r w:rsidRPr="0073370F">
        <w:t>the</w:t>
      </w:r>
      <w:r w:rsidRPr="0073370F">
        <w:rPr>
          <w:spacing w:val="-4"/>
        </w:rPr>
        <w:t xml:space="preserve"> </w:t>
      </w:r>
      <w:r w:rsidRPr="0073370F">
        <w:t>best</w:t>
      </w:r>
      <w:r w:rsidRPr="0073370F">
        <w:rPr>
          <w:spacing w:val="-2"/>
        </w:rPr>
        <w:t xml:space="preserve"> </w:t>
      </w:r>
      <w:r w:rsidRPr="0073370F">
        <w:t>available model at the time.</w:t>
      </w:r>
    </w:p>
    <w:p w14:paraId="34455D57" w14:textId="77777777" w:rsidR="00F91684" w:rsidRPr="0073370F" w:rsidRDefault="00F91684" w:rsidP="006D28D0">
      <w:pPr>
        <w:pStyle w:val="ListBullet"/>
      </w:pPr>
      <w:r w:rsidRPr="0073370F">
        <w:t>Others proposed alternative volumes such as using 50 mL instead of 140 mL, or a daily estimate</w:t>
      </w:r>
      <w:r w:rsidRPr="0073370F">
        <w:rPr>
          <w:spacing w:val="-4"/>
        </w:rPr>
        <w:t xml:space="preserve"> </w:t>
      </w:r>
      <w:r w:rsidRPr="0073370F">
        <w:t>of</w:t>
      </w:r>
      <w:r w:rsidRPr="0073370F">
        <w:rPr>
          <w:spacing w:val="-4"/>
        </w:rPr>
        <w:t xml:space="preserve"> </w:t>
      </w:r>
      <w:r w:rsidRPr="0073370F">
        <w:t>45</w:t>
      </w:r>
      <w:r w:rsidRPr="0073370F">
        <w:rPr>
          <w:spacing w:val="-2"/>
        </w:rPr>
        <w:t xml:space="preserve"> </w:t>
      </w:r>
      <w:r w:rsidRPr="0073370F">
        <w:t>mL</w:t>
      </w:r>
      <w:r w:rsidRPr="0073370F">
        <w:rPr>
          <w:spacing w:val="-2"/>
        </w:rPr>
        <w:t xml:space="preserve"> </w:t>
      </w:r>
      <w:r w:rsidRPr="0073370F">
        <w:t>(5</w:t>
      </w:r>
      <w:r w:rsidRPr="0073370F">
        <w:rPr>
          <w:spacing w:val="-4"/>
        </w:rPr>
        <w:t xml:space="preserve"> </w:t>
      </w:r>
      <w:r w:rsidRPr="0073370F">
        <w:t>mL</w:t>
      </w:r>
      <w:r w:rsidRPr="0073370F">
        <w:rPr>
          <w:spacing w:val="-4"/>
        </w:rPr>
        <w:t xml:space="preserve"> </w:t>
      </w:r>
      <w:r w:rsidRPr="0073370F">
        <w:t>for</w:t>
      </w:r>
      <w:r w:rsidRPr="0073370F">
        <w:rPr>
          <w:spacing w:val="-1"/>
        </w:rPr>
        <w:t xml:space="preserve"> </w:t>
      </w:r>
      <w:r w:rsidRPr="0073370F">
        <w:t>face</w:t>
      </w:r>
      <w:r w:rsidRPr="0073370F">
        <w:rPr>
          <w:spacing w:val="-4"/>
        </w:rPr>
        <w:t xml:space="preserve"> </w:t>
      </w:r>
      <w:r w:rsidRPr="0073370F">
        <w:t>and</w:t>
      </w:r>
      <w:r w:rsidRPr="0073370F">
        <w:rPr>
          <w:spacing w:val="-4"/>
        </w:rPr>
        <w:t xml:space="preserve"> </w:t>
      </w:r>
      <w:r w:rsidRPr="0073370F">
        <w:t>neck,</w:t>
      </w:r>
      <w:r w:rsidRPr="0073370F">
        <w:rPr>
          <w:spacing w:val="-4"/>
        </w:rPr>
        <w:t xml:space="preserve"> </w:t>
      </w:r>
      <w:r w:rsidRPr="0073370F">
        <w:t>2.5</w:t>
      </w:r>
      <w:r w:rsidRPr="0073370F">
        <w:rPr>
          <w:spacing w:val="-1"/>
        </w:rPr>
        <w:t xml:space="preserve"> </w:t>
      </w:r>
      <w:r w:rsidRPr="0073370F">
        <w:t>mL</w:t>
      </w:r>
      <w:r w:rsidRPr="0073370F">
        <w:rPr>
          <w:spacing w:val="-4"/>
        </w:rPr>
        <w:t xml:space="preserve"> </w:t>
      </w:r>
      <w:r w:rsidRPr="0073370F">
        <w:t>for</w:t>
      </w:r>
      <w:r w:rsidRPr="0073370F">
        <w:rPr>
          <w:spacing w:val="-3"/>
        </w:rPr>
        <w:t xml:space="preserve"> </w:t>
      </w:r>
      <w:r w:rsidRPr="0073370F">
        <w:t>forearms</w:t>
      </w:r>
      <w:r w:rsidRPr="0073370F">
        <w:rPr>
          <w:spacing w:val="-3"/>
        </w:rPr>
        <w:t xml:space="preserve"> </w:t>
      </w:r>
      <w:r w:rsidRPr="0073370F">
        <w:t>and</w:t>
      </w:r>
      <w:r w:rsidRPr="0073370F">
        <w:rPr>
          <w:spacing w:val="-2"/>
        </w:rPr>
        <w:t xml:space="preserve"> </w:t>
      </w:r>
      <w:r w:rsidRPr="0073370F">
        <w:t>lower</w:t>
      </w:r>
      <w:r w:rsidRPr="0073370F">
        <w:rPr>
          <w:spacing w:val="-1"/>
        </w:rPr>
        <w:t xml:space="preserve"> </w:t>
      </w:r>
      <w:r w:rsidRPr="0073370F">
        <w:t>legs,</w:t>
      </w:r>
      <w:r w:rsidRPr="0073370F">
        <w:rPr>
          <w:spacing w:val="-4"/>
        </w:rPr>
        <w:t xml:space="preserve"> </w:t>
      </w:r>
      <w:r w:rsidRPr="0073370F">
        <w:t>applied</w:t>
      </w:r>
      <w:r w:rsidRPr="0073370F">
        <w:rPr>
          <w:spacing w:val="-2"/>
        </w:rPr>
        <w:t xml:space="preserve"> </w:t>
      </w:r>
      <w:r w:rsidRPr="0073370F">
        <w:t>once before work/school, once at morning tea/recess and once at lunch) based on the Cancer Council’s policies for schools, acknowledging that the torso is not exposed most of the time and other protection measures are used.</w:t>
      </w:r>
    </w:p>
    <w:p w14:paraId="641AB1FD" w14:textId="77777777" w:rsidR="00F91684" w:rsidRPr="0073370F" w:rsidRDefault="00F91684" w:rsidP="006D28D0">
      <w:pPr>
        <w:pStyle w:val="ListBullet"/>
      </w:pPr>
      <w:r w:rsidRPr="0073370F">
        <w:t>Others</w:t>
      </w:r>
      <w:r w:rsidRPr="0073370F">
        <w:rPr>
          <w:spacing w:val="-3"/>
        </w:rPr>
        <w:t xml:space="preserve"> </w:t>
      </w:r>
      <w:r w:rsidRPr="0073370F">
        <w:t>suggested</w:t>
      </w:r>
      <w:r w:rsidRPr="0073370F">
        <w:rPr>
          <w:spacing w:val="-4"/>
        </w:rPr>
        <w:t xml:space="preserve"> </w:t>
      </w:r>
      <w:r w:rsidRPr="0073370F">
        <w:t>based</w:t>
      </w:r>
      <w:r w:rsidRPr="0073370F">
        <w:rPr>
          <w:spacing w:val="-2"/>
        </w:rPr>
        <w:t xml:space="preserve"> </w:t>
      </w:r>
      <w:r w:rsidRPr="0073370F">
        <w:t>on</w:t>
      </w:r>
      <w:r w:rsidRPr="0073370F">
        <w:rPr>
          <w:spacing w:val="-4"/>
        </w:rPr>
        <w:t xml:space="preserve"> </w:t>
      </w:r>
      <w:r w:rsidRPr="0073370F">
        <w:t>sales</w:t>
      </w:r>
      <w:r w:rsidRPr="0073370F">
        <w:rPr>
          <w:spacing w:val="-1"/>
        </w:rPr>
        <w:t xml:space="preserve"> </w:t>
      </w:r>
      <w:r w:rsidRPr="0073370F">
        <w:t>data,</w:t>
      </w:r>
      <w:r w:rsidRPr="0073370F">
        <w:rPr>
          <w:spacing w:val="-4"/>
        </w:rPr>
        <w:t xml:space="preserve"> </w:t>
      </w:r>
      <w:r w:rsidRPr="0073370F">
        <w:t>divided</w:t>
      </w:r>
      <w:r w:rsidRPr="0073370F">
        <w:rPr>
          <w:spacing w:val="-4"/>
        </w:rPr>
        <w:t xml:space="preserve"> </w:t>
      </w:r>
      <w:r w:rsidRPr="0073370F">
        <w:t>by</w:t>
      </w:r>
      <w:r w:rsidRPr="0073370F">
        <w:rPr>
          <w:spacing w:val="-3"/>
        </w:rPr>
        <w:t xml:space="preserve"> </w:t>
      </w:r>
      <w:r w:rsidRPr="0073370F">
        <w:t>the</w:t>
      </w:r>
      <w:r w:rsidRPr="0073370F">
        <w:rPr>
          <w:spacing w:val="-2"/>
        </w:rPr>
        <w:t xml:space="preserve"> </w:t>
      </w:r>
      <w:r w:rsidRPr="0073370F">
        <w:t>Australian</w:t>
      </w:r>
      <w:r w:rsidRPr="0073370F">
        <w:rPr>
          <w:spacing w:val="-4"/>
        </w:rPr>
        <w:t xml:space="preserve"> </w:t>
      </w:r>
      <w:r w:rsidRPr="0073370F">
        <w:t>population,</w:t>
      </w:r>
      <w:r w:rsidRPr="0073370F">
        <w:rPr>
          <w:spacing w:val="-4"/>
        </w:rPr>
        <w:t xml:space="preserve"> </w:t>
      </w:r>
      <w:r w:rsidRPr="0073370F">
        <w:t>that</w:t>
      </w:r>
      <w:r w:rsidRPr="0073370F">
        <w:rPr>
          <w:spacing w:val="-2"/>
        </w:rPr>
        <w:t xml:space="preserve"> </w:t>
      </w:r>
      <w:r w:rsidRPr="0073370F">
        <w:t>consumers on average would use minimal sunscreen a year.</w:t>
      </w:r>
    </w:p>
    <w:p w14:paraId="637EB84A" w14:textId="0C1E954E" w:rsidR="00F91684" w:rsidRPr="00AB38A0" w:rsidRDefault="00F91684" w:rsidP="0032674F">
      <w:r w:rsidRPr="00AB38A0">
        <w:t>The diversity of opinions highlighted the need for further development of a suitable exposure model that</w:t>
      </w:r>
      <w:r w:rsidRPr="00AB38A0">
        <w:rPr>
          <w:spacing w:val="-3"/>
        </w:rPr>
        <w:t xml:space="preserve"> </w:t>
      </w:r>
      <w:r w:rsidRPr="00AB38A0">
        <w:t>aligns</w:t>
      </w:r>
      <w:r w:rsidRPr="00AB38A0">
        <w:rPr>
          <w:spacing w:val="-4"/>
        </w:rPr>
        <w:t xml:space="preserve"> </w:t>
      </w:r>
      <w:r w:rsidRPr="00AB38A0">
        <w:t>with</w:t>
      </w:r>
      <w:r w:rsidRPr="00AB38A0">
        <w:rPr>
          <w:spacing w:val="-3"/>
        </w:rPr>
        <w:t xml:space="preserve"> </w:t>
      </w:r>
      <w:r w:rsidRPr="00AB38A0">
        <w:t>Australian</w:t>
      </w:r>
      <w:r w:rsidRPr="00AB38A0">
        <w:rPr>
          <w:spacing w:val="-3"/>
        </w:rPr>
        <w:t xml:space="preserve"> </w:t>
      </w:r>
      <w:r w:rsidRPr="00AB38A0">
        <w:t>guidelines</w:t>
      </w:r>
      <w:r w:rsidRPr="00AB38A0">
        <w:rPr>
          <w:spacing w:val="-4"/>
        </w:rPr>
        <w:t xml:space="preserve"> </w:t>
      </w:r>
      <w:r w:rsidRPr="00AB38A0">
        <w:t>and</w:t>
      </w:r>
      <w:r w:rsidRPr="00AB38A0">
        <w:rPr>
          <w:spacing w:val="-3"/>
        </w:rPr>
        <w:t xml:space="preserve"> </w:t>
      </w:r>
      <w:r w:rsidRPr="00AB38A0">
        <w:t>practices.</w:t>
      </w:r>
      <w:r w:rsidRPr="00AB38A0">
        <w:rPr>
          <w:spacing w:val="-2"/>
        </w:rPr>
        <w:t xml:space="preserve"> </w:t>
      </w:r>
      <w:r w:rsidRPr="00AB38A0">
        <w:t>Some</w:t>
      </w:r>
      <w:r w:rsidRPr="00AB38A0">
        <w:rPr>
          <w:spacing w:val="-5"/>
        </w:rPr>
        <w:t xml:space="preserve"> </w:t>
      </w:r>
      <w:r w:rsidRPr="00AB38A0">
        <w:t>stakeholders</w:t>
      </w:r>
      <w:r w:rsidRPr="00AB38A0">
        <w:rPr>
          <w:spacing w:val="-3"/>
        </w:rPr>
        <w:t xml:space="preserve"> </w:t>
      </w:r>
      <w:r w:rsidRPr="00AB38A0">
        <w:t>welcomed</w:t>
      </w:r>
      <w:r w:rsidRPr="00AB38A0">
        <w:rPr>
          <w:spacing w:val="-3"/>
        </w:rPr>
        <w:t xml:space="preserve"> </w:t>
      </w:r>
      <w:r w:rsidRPr="00AB38A0">
        <w:t>further</w:t>
      </w:r>
      <w:r w:rsidRPr="00AB38A0">
        <w:rPr>
          <w:spacing w:val="-4"/>
        </w:rPr>
        <w:t xml:space="preserve"> </w:t>
      </w:r>
      <w:r w:rsidRPr="00AB38A0">
        <w:t>work to consider an appropriate exposure model based on Australian guidelines.</w:t>
      </w:r>
    </w:p>
    <w:p w14:paraId="64959759" w14:textId="4FFB9F69" w:rsidR="007D4173" w:rsidRDefault="00F91684" w:rsidP="0032674F">
      <w:r w:rsidRPr="00AB38A0">
        <w:t xml:space="preserve">As such, </w:t>
      </w:r>
      <w:r w:rsidR="00771D58">
        <w:t xml:space="preserve">in response to industry stakeholder feedback, </w:t>
      </w:r>
      <w:r w:rsidRPr="00AB38A0">
        <w:t xml:space="preserve">the TGA </w:t>
      </w:r>
      <w:hyperlink r:id="rId61">
        <w:r w:rsidRPr="00AB38A0">
          <w:rPr>
            <w:color w:val="0000FF"/>
            <w:u w:val="single" w:color="0000FF"/>
          </w:rPr>
          <w:t>advised in December 2023</w:t>
        </w:r>
      </w:hyperlink>
      <w:r w:rsidRPr="00AB38A0">
        <w:rPr>
          <w:color w:val="0000FF"/>
        </w:rPr>
        <w:t xml:space="preserve"> </w:t>
      </w:r>
      <w:r w:rsidRPr="00AB38A0">
        <w:t xml:space="preserve">that it </w:t>
      </w:r>
      <w:r w:rsidRPr="0032674F">
        <w:t>would consider developing a sunscreen exposure model for the Australian context with future</w:t>
      </w:r>
      <w:r w:rsidRPr="00AB38A0">
        <w:t xml:space="preserve"> consultation to be undertaken. The proposed changes regarding</w:t>
      </w:r>
      <w:r w:rsidRPr="007D4173">
        <w:t xml:space="preserve"> </w:t>
      </w:r>
      <w:r w:rsidRPr="00AB38A0">
        <w:t>setting</w:t>
      </w:r>
      <w:r w:rsidRPr="007D4173">
        <w:t xml:space="preserve"> </w:t>
      </w:r>
      <w:r w:rsidRPr="00AB38A0">
        <w:t>an</w:t>
      </w:r>
      <w:r w:rsidRPr="007D4173">
        <w:t xml:space="preserve"> </w:t>
      </w:r>
      <w:r w:rsidRPr="00AB38A0">
        <w:t>acceptable</w:t>
      </w:r>
      <w:r w:rsidRPr="007D4173">
        <w:t xml:space="preserve"> </w:t>
      </w:r>
      <w:r w:rsidRPr="00AB38A0">
        <w:t>regulatory</w:t>
      </w:r>
      <w:r w:rsidRPr="007D4173">
        <w:t xml:space="preserve"> </w:t>
      </w:r>
      <w:r w:rsidRPr="00AB38A0">
        <w:t>limit</w:t>
      </w:r>
      <w:r w:rsidRPr="007D4173">
        <w:t xml:space="preserve"> </w:t>
      </w:r>
      <w:r w:rsidRPr="00AB38A0">
        <w:t>for</w:t>
      </w:r>
      <w:r w:rsidRPr="007D4173">
        <w:t xml:space="preserve"> </w:t>
      </w:r>
      <w:r w:rsidRPr="00AB38A0">
        <w:t>benzophenone</w:t>
      </w:r>
      <w:r w:rsidRPr="007D4173">
        <w:t xml:space="preserve"> </w:t>
      </w:r>
      <w:r w:rsidRPr="00AB38A0">
        <w:t>were</w:t>
      </w:r>
      <w:r w:rsidRPr="007D4173">
        <w:t xml:space="preserve"> </w:t>
      </w:r>
      <w:r w:rsidRPr="00AB38A0">
        <w:t>deferred</w:t>
      </w:r>
      <w:r w:rsidRPr="007D4173">
        <w:t xml:space="preserve"> </w:t>
      </w:r>
      <w:r w:rsidRPr="00AB38A0">
        <w:t>pending</w:t>
      </w:r>
      <w:r w:rsidRPr="007D4173">
        <w:t xml:space="preserve"> </w:t>
      </w:r>
      <w:r w:rsidRPr="00AB38A0">
        <w:t>consultation.</w:t>
      </w:r>
    </w:p>
    <w:p w14:paraId="7641A2D9" w14:textId="19C39539" w:rsidR="00051995" w:rsidRDefault="00824288" w:rsidP="007B4E17">
      <w:pPr>
        <w:pStyle w:val="Heading3"/>
      </w:pPr>
      <w:bookmarkStart w:id="145" w:name="_Toc184730611"/>
      <w:r>
        <w:t>Targeted consultation</w:t>
      </w:r>
      <w:bookmarkEnd w:id="145"/>
      <w:r>
        <w:t xml:space="preserve"> </w:t>
      </w:r>
    </w:p>
    <w:p w14:paraId="19EF67E1" w14:textId="58383D65" w:rsidR="003F0B6D" w:rsidRDefault="003F0B6D" w:rsidP="0032674F">
      <w:r>
        <w:t xml:space="preserve">The TGA undertook </w:t>
      </w:r>
      <w:r w:rsidR="00B13B64">
        <w:t xml:space="preserve">targeted pre-public consultation, with most stakeholders supporting the proposal to develop an Australian specific sunscreen exposure model. </w:t>
      </w:r>
      <w:r w:rsidR="00192B81">
        <w:t xml:space="preserve">The TGA engaged with the following groups </w:t>
      </w:r>
      <w:r w:rsidR="00771D58">
        <w:t>to request</w:t>
      </w:r>
      <w:r w:rsidR="00192B81">
        <w:t xml:space="preserve"> preliminary feedback</w:t>
      </w:r>
      <w:r w:rsidR="00771D58">
        <w:t xml:space="preserve"> and seek information to assist with developing the ASEM</w:t>
      </w:r>
      <w:r w:rsidR="00192B81">
        <w:t>:</w:t>
      </w:r>
    </w:p>
    <w:p w14:paraId="5685F54A" w14:textId="53324274" w:rsidR="00192B81" w:rsidRPr="0073370F" w:rsidRDefault="00192B81" w:rsidP="006D28D0">
      <w:pPr>
        <w:pStyle w:val="ListBullet"/>
      </w:pPr>
      <w:r w:rsidRPr="0073370F">
        <w:t>Industry peak bodies and their member companies:</w:t>
      </w:r>
    </w:p>
    <w:p w14:paraId="73371688" w14:textId="67C4E0EA" w:rsidR="00F4335B" w:rsidRPr="0073370F" w:rsidRDefault="00F4335B" w:rsidP="00F4335B">
      <w:pPr>
        <w:pStyle w:val="ListBullet2"/>
        <w:rPr>
          <w:color w:val="auto"/>
        </w:rPr>
      </w:pPr>
      <w:r w:rsidRPr="0073370F">
        <w:rPr>
          <w:color w:val="auto"/>
        </w:rPr>
        <w:t>Accord Australasia</w:t>
      </w:r>
    </w:p>
    <w:p w14:paraId="0E5E94D0" w14:textId="603B1997" w:rsidR="00F4335B" w:rsidRPr="0073370F" w:rsidRDefault="00F4335B" w:rsidP="00F4335B">
      <w:pPr>
        <w:pStyle w:val="ListBullet2"/>
        <w:rPr>
          <w:color w:val="auto"/>
        </w:rPr>
      </w:pPr>
      <w:r w:rsidRPr="0073370F">
        <w:rPr>
          <w:color w:val="auto"/>
        </w:rPr>
        <w:t>Consumer Healthcare Products Australia</w:t>
      </w:r>
      <w:r w:rsidR="00E87BAE" w:rsidRPr="0073370F">
        <w:rPr>
          <w:color w:val="auto"/>
        </w:rPr>
        <w:t xml:space="preserve"> (CHP Australia)</w:t>
      </w:r>
    </w:p>
    <w:p w14:paraId="524EAF61" w14:textId="77B0C2E8" w:rsidR="00192B81" w:rsidRPr="0073370F" w:rsidRDefault="00192B81" w:rsidP="006D28D0">
      <w:pPr>
        <w:pStyle w:val="ListBullet"/>
      </w:pPr>
      <w:r w:rsidRPr="0073370F">
        <w:t>Non-government organisations:</w:t>
      </w:r>
    </w:p>
    <w:p w14:paraId="74DAAF3D" w14:textId="161A8C95" w:rsidR="00F44DF6" w:rsidRPr="0073370F" w:rsidRDefault="00B33197" w:rsidP="00F44DF6">
      <w:pPr>
        <w:pStyle w:val="ListBullet2"/>
        <w:rPr>
          <w:color w:val="auto"/>
        </w:rPr>
      </w:pPr>
      <w:r w:rsidRPr="0073370F">
        <w:rPr>
          <w:color w:val="auto"/>
        </w:rPr>
        <w:t>The National Skin Cancer Committee, which includes the Cancer Council Australia members at the national level</w:t>
      </w:r>
      <w:r w:rsidR="00F44DF6" w:rsidRPr="0073370F">
        <w:rPr>
          <w:color w:val="auto"/>
        </w:rPr>
        <w:t>, and member representatives from organisations that have an interest in skin cancer and prevention such as the Bureau of Meteorology and Australian Radiation Protection and Nuclear Safety Agency</w:t>
      </w:r>
      <w:r w:rsidR="00E87BAE" w:rsidRPr="0073370F">
        <w:rPr>
          <w:color w:val="auto"/>
        </w:rPr>
        <w:t xml:space="preserve"> (ARPANSA)</w:t>
      </w:r>
      <w:r w:rsidR="00F44DF6" w:rsidRPr="0073370F">
        <w:rPr>
          <w:color w:val="auto"/>
        </w:rPr>
        <w:t>.</w:t>
      </w:r>
    </w:p>
    <w:p w14:paraId="46FDD2DD" w14:textId="77777777" w:rsidR="00B33197" w:rsidRPr="0073370F" w:rsidRDefault="00B33197" w:rsidP="00B33197">
      <w:pPr>
        <w:pStyle w:val="ListBullet2"/>
        <w:rPr>
          <w:color w:val="auto"/>
        </w:rPr>
      </w:pPr>
      <w:r w:rsidRPr="0073370F">
        <w:rPr>
          <w:color w:val="auto"/>
        </w:rPr>
        <w:t>Melanoma Institute Australia</w:t>
      </w:r>
    </w:p>
    <w:p w14:paraId="0983C650" w14:textId="1082035B" w:rsidR="00B71F89" w:rsidRPr="0073370F" w:rsidRDefault="00B71F89" w:rsidP="00B33197">
      <w:pPr>
        <w:pStyle w:val="ListBullet2"/>
        <w:rPr>
          <w:color w:val="auto"/>
        </w:rPr>
      </w:pPr>
      <w:bookmarkStart w:id="146" w:name="_Hlk176258408"/>
      <w:r w:rsidRPr="0073370F">
        <w:rPr>
          <w:color w:val="auto"/>
        </w:rPr>
        <w:t>The Australian Skin and Skin Cancer Research Centre, a partnership of QIMR Berghofer Medical Research Institute and The University of Queensland</w:t>
      </w:r>
    </w:p>
    <w:bookmarkEnd w:id="146"/>
    <w:p w14:paraId="1E474785" w14:textId="7AFF2112" w:rsidR="00B33197" w:rsidRPr="0073370F" w:rsidRDefault="00B33197" w:rsidP="00B33197">
      <w:pPr>
        <w:pStyle w:val="ListBullet2"/>
        <w:rPr>
          <w:color w:val="auto"/>
        </w:rPr>
      </w:pPr>
      <w:r w:rsidRPr="0073370F">
        <w:rPr>
          <w:color w:val="auto"/>
        </w:rPr>
        <w:t xml:space="preserve">The Australasian Society of Clinical and Experimental Pharmacologists and Toxicologists </w:t>
      </w:r>
      <w:r w:rsidR="00E87BAE" w:rsidRPr="0073370F">
        <w:rPr>
          <w:color w:val="auto"/>
        </w:rPr>
        <w:t>(ASCEPT)</w:t>
      </w:r>
    </w:p>
    <w:p w14:paraId="2F8F8EA9" w14:textId="5A2C50A2" w:rsidR="00B33197" w:rsidRPr="0073370F" w:rsidRDefault="00B33197" w:rsidP="00B33197">
      <w:pPr>
        <w:pStyle w:val="ListBullet2"/>
        <w:rPr>
          <w:color w:val="auto"/>
        </w:rPr>
      </w:pPr>
      <w:r w:rsidRPr="0073370F">
        <w:rPr>
          <w:color w:val="auto"/>
        </w:rPr>
        <w:t>The Australasian College of Dermatologists</w:t>
      </w:r>
      <w:r w:rsidR="00E87BAE" w:rsidRPr="0073370F">
        <w:rPr>
          <w:color w:val="auto"/>
        </w:rPr>
        <w:t xml:space="preserve"> (ACD)</w:t>
      </w:r>
    </w:p>
    <w:p w14:paraId="3160BEF7" w14:textId="77777777" w:rsidR="00B33197" w:rsidRPr="0073370F" w:rsidRDefault="00B33197" w:rsidP="00B33197">
      <w:pPr>
        <w:pStyle w:val="ListBullet2"/>
        <w:rPr>
          <w:color w:val="auto"/>
        </w:rPr>
      </w:pPr>
      <w:r w:rsidRPr="0073370F">
        <w:rPr>
          <w:color w:val="auto"/>
        </w:rPr>
        <w:t>Surf Life Saving Australia</w:t>
      </w:r>
    </w:p>
    <w:p w14:paraId="678ACDD7" w14:textId="77777777" w:rsidR="00B33197" w:rsidRPr="0073370F" w:rsidRDefault="00B33197" w:rsidP="00B33197">
      <w:pPr>
        <w:pStyle w:val="ListBullet2"/>
        <w:rPr>
          <w:color w:val="auto"/>
        </w:rPr>
      </w:pPr>
      <w:r w:rsidRPr="0073370F">
        <w:rPr>
          <w:color w:val="auto"/>
        </w:rPr>
        <w:t>CHOICE</w:t>
      </w:r>
    </w:p>
    <w:p w14:paraId="3643E482" w14:textId="2104640D" w:rsidR="00F4335B" w:rsidRPr="0073370F" w:rsidRDefault="00B33197" w:rsidP="00B33197">
      <w:pPr>
        <w:pStyle w:val="ListBullet2"/>
        <w:rPr>
          <w:color w:val="auto"/>
        </w:rPr>
      </w:pPr>
      <w:r w:rsidRPr="0073370F">
        <w:rPr>
          <w:color w:val="auto"/>
        </w:rPr>
        <w:t>Consumers Health Forum of Australia</w:t>
      </w:r>
    </w:p>
    <w:p w14:paraId="1F811471" w14:textId="78725F3C" w:rsidR="00192B81" w:rsidRPr="0073370F" w:rsidRDefault="00192B81" w:rsidP="006D28D0">
      <w:pPr>
        <w:pStyle w:val="ListBullet"/>
      </w:pPr>
      <w:r w:rsidRPr="0073370F">
        <w:t>Australian Go</w:t>
      </w:r>
      <w:r w:rsidR="003622B1" w:rsidRPr="0073370F">
        <w:t>vernment:</w:t>
      </w:r>
    </w:p>
    <w:p w14:paraId="25303FAA" w14:textId="56334BD4" w:rsidR="005C06ED" w:rsidRPr="0073370F" w:rsidRDefault="005C06ED" w:rsidP="005C06ED">
      <w:pPr>
        <w:pStyle w:val="ListBullet2"/>
        <w:rPr>
          <w:color w:val="auto"/>
        </w:rPr>
      </w:pPr>
      <w:bookmarkStart w:id="147" w:name="_Hlk176184441"/>
      <w:r w:rsidRPr="0073370F">
        <w:rPr>
          <w:color w:val="auto"/>
        </w:rPr>
        <w:t>Australian Radiation Protection and Nuclear Safety Agency</w:t>
      </w:r>
      <w:r w:rsidR="00E87BAE" w:rsidRPr="0073370F">
        <w:rPr>
          <w:color w:val="auto"/>
        </w:rPr>
        <w:t xml:space="preserve"> (ARPANSA)</w:t>
      </w:r>
    </w:p>
    <w:bookmarkEnd w:id="147"/>
    <w:p w14:paraId="470713E8" w14:textId="07E82182" w:rsidR="005C06ED" w:rsidRPr="0073370F" w:rsidRDefault="005C06ED" w:rsidP="005C06ED">
      <w:pPr>
        <w:pStyle w:val="ListBullet2"/>
        <w:rPr>
          <w:color w:val="auto"/>
        </w:rPr>
      </w:pPr>
      <w:r w:rsidRPr="0073370F">
        <w:rPr>
          <w:color w:val="auto"/>
        </w:rPr>
        <w:t>Australian Industrial Chemicals Introduction Scheme</w:t>
      </w:r>
      <w:r w:rsidR="00E87BAE" w:rsidRPr="0073370F">
        <w:rPr>
          <w:color w:val="auto"/>
        </w:rPr>
        <w:t xml:space="preserve"> (AICIS)</w:t>
      </w:r>
    </w:p>
    <w:p w14:paraId="48C42D5B" w14:textId="77777777" w:rsidR="00771D58" w:rsidRPr="0073370F" w:rsidRDefault="00771D58" w:rsidP="005C06ED">
      <w:pPr>
        <w:pStyle w:val="ListBullet2"/>
        <w:rPr>
          <w:color w:val="auto"/>
        </w:rPr>
      </w:pPr>
      <w:r w:rsidRPr="0073370F">
        <w:rPr>
          <w:color w:val="auto"/>
        </w:rPr>
        <w:t xml:space="preserve">Safe Work Australia </w:t>
      </w:r>
    </w:p>
    <w:p w14:paraId="6619FC9D" w14:textId="6CF529F5" w:rsidR="00B33197" w:rsidRPr="0073370F" w:rsidRDefault="00771D58" w:rsidP="00771D58">
      <w:pPr>
        <w:pStyle w:val="ListBullet2"/>
        <w:rPr>
          <w:color w:val="auto"/>
        </w:rPr>
      </w:pPr>
      <w:r w:rsidRPr="0073370F">
        <w:rPr>
          <w:color w:val="auto"/>
        </w:rPr>
        <w:t>The Australian Bureau of Statistics</w:t>
      </w:r>
      <w:r w:rsidR="00E87BAE" w:rsidRPr="0073370F">
        <w:rPr>
          <w:color w:val="auto"/>
        </w:rPr>
        <w:t xml:space="preserve"> (ABS)</w:t>
      </w:r>
    </w:p>
    <w:p w14:paraId="459F9080" w14:textId="77777777" w:rsidR="00D3511F" w:rsidRPr="0073370F" w:rsidRDefault="00D3511F" w:rsidP="00D3511F">
      <w:pPr>
        <w:pStyle w:val="ListBullet2"/>
        <w:rPr>
          <w:color w:val="auto"/>
        </w:rPr>
      </w:pPr>
      <w:r w:rsidRPr="0073370F">
        <w:rPr>
          <w:color w:val="auto"/>
        </w:rPr>
        <w:t>Department of Health and Aged Care (DOHAC) - Cancer Policy and Projects Branch</w:t>
      </w:r>
    </w:p>
    <w:p w14:paraId="03CCA4D5" w14:textId="48C139BA" w:rsidR="00641493" w:rsidRDefault="006A2B1A" w:rsidP="0032674F">
      <w:r>
        <w:t xml:space="preserve">The TGA has been in regular consultation with Accord and CHP Australia throughout the process of developing the ASEM. Accord is the national industry association representing manufacturers and suppliers of hygiene, personal care and specialty products, their raw material suppliers and service providers. CHP Australia is the peak body representing manufacturers and distributors of consumer healthcare products, which includes non-sunscreens. They also represent businesses that support the industry. </w:t>
      </w:r>
      <w:r w:rsidR="0043296F">
        <w:br/>
      </w:r>
      <w:r w:rsidR="0043296F">
        <w:br/>
      </w:r>
      <w:r w:rsidR="00641493" w:rsidRPr="00BC3232">
        <w:t xml:space="preserve">Industry peak bodies had some </w:t>
      </w:r>
      <w:r w:rsidR="00641493">
        <w:t xml:space="preserve">initial </w:t>
      </w:r>
      <w:r w:rsidR="00641493" w:rsidRPr="00BC3232">
        <w:t>concerns</w:t>
      </w:r>
      <w:r w:rsidR="00641493">
        <w:t xml:space="preserve"> that</w:t>
      </w:r>
      <w:r w:rsidR="00641493" w:rsidRPr="00BC3232">
        <w:t xml:space="preserve"> some of the </w:t>
      </w:r>
      <w:r w:rsidR="00641493">
        <w:t>earl</w:t>
      </w:r>
      <w:r w:rsidR="0043296F">
        <w:t>y</w:t>
      </w:r>
      <w:r w:rsidR="00641493">
        <w:t xml:space="preserve"> </w:t>
      </w:r>
      <w:r w:rsidR="00641493" w:rsidRPr="00BC3232">
        <w:t xml:space="preserve">draft exposure scenarios </w:t>
      </w:r>
      <w:r w:rsidR="00641493">
        <w:t>were</w:t>
      </w:r>
      <w:r w:rsidR="00641493" w:rsidRPr="00BC3232">
        <w:t xml:space="preserve"> too conservative and</w:t>
      </w:r>
      <w:r w:rsidR="00641493">
        <w:t xml:space="preserve"> could </w:t>
      </w:r>
      <w:r w:rsidR="00641493" w:rsidRPr="00BC3232">
        <w:t xml:space="preserve">restrict sunscreen ingredients unnecessarily. The TGA </w:t>
      </w:r>
      <w:r w:rsidR="00641493">
        <w:t>invited and considered</w:t>
      </w:r>
      <w:r w:rsidR="00641493" w:rsidRPr="00BC3232">
        <w:t xml:space="preserve"> feedback to refine the</w:t>
      </w:r>
      <w:r w:rsidR="000B21AE">
        <w:t xml:space="preserve"> ASEM and exposure scenarios</w:t>
      </w:r>
      <w:r>
        <w:t>. Specific issues</w:t>
      </w:r>
      <w:r w:rsidR="0043296F">
        <w:t xml:space="preserve"> raised </w:t>
      </w:r>
      <w:r>
        <w:t xml:space="preserve">were </w:t>
      </w:r>
      <w:r w:rsidR="00EA6B46">
        <w:t xml:space="preserve">considered and </w:t>
      </w:r>
      <w:r w:rsidR="00A25B6A">
        <w:t>responded to</w:t>
      </w:r>
      <w:r w:rsidR="000B21AE">
        <w:t xml:space="preserve">, </w:t>
      </w:r>
      <w:r w:rsidR="00A25B6A">
        <w:t>and</w:t>
      </w:r>
      <w:r w:rsidR="000B21AE">
        <w:t xml:space="preserve"> later</w:t>
      </w:r>
      <w:r w:rsidR="00A25B6A">
        <w:t xml:space="preserve"> </w:t>
      </w:r>
      <w:r>
        <w:t>discussed in the public consultation paper</w:t>
      </w:r>
      <w:r w:rsidR="000B21AE">
        <w:t xml:space="preserve"> to clarify the data and assumptions used in the modelling.</w:t>
      </w:r>
    </w:p>
    <w:p w14:paraId="5E1D177F" w14:textId="01702081" w:rsidR="005C3D72" w:rsidRPr="00D521AD" w:rsidRDefault="00641493" w:rsidP="0032674F">
      <w:r w:rsidRPr="00D521AD">
        <w:t xml:space="preserve">As sunscreen ingredients can also be present in cosmetic products, and cosmetic sunscreen ingredients are regulated by AICIS, the TGA consulted with AICIS on the </w:t>
      </w:r>
      <w:r w:rsidR="000B21AE" w:rsidRPr="00D521AD">
        <w:t>ASEM</w:t>
      </w:r>
      <w:r w:rsidRPr="00D521AD">
        <w:t xml:space="preserve"> and consultation paper. AICIS </w:t>
      </w:r>
      <w:r w:rsidR="000B21AE" w:rsidRPr="00D521AD">
        <w:t xml:space="preserve">provided </w:t>
      </w:r>
      <w:r w:rsidRPr="00D521AD">
        <w:t xml:space="preserve">feedback, </w:t>
      </w:r>
      <w:r w:rsidR="000B21AE" w:rsidRPr="00D521AD">
        <w:t>to better clarify</w:t>
      </w:r>
      <w:r w:rsidRPr="00D521AD">
        <w:t xml:space="preserve"> the purposes of</w:t>
      </w:r>
      <w:r w:rsidR="000B21AE" w:rsidRPr="00D521AD">
        <w:t xml:space="preserve"> consultation and ASEM for</w:t>
      </w:r>
      <w:r w:rsidRPr="00D521AD">
        <w:t xml:space="preserve"> conducting risk assessments for ingredients in therapeutic sunscreens (i.e. those that are intended to prevent skin cancer and applied liberally by the whole family), not non-therapeutic products (such as cosmetic foundations used on the face that may contain ingredients that have an SPF rating). The TGA worked closely with AICIS through the consultation process.</w:t>
      </w:r>
    </w:p>
    <w:p w14:paraId="01D5E1C1" w14:textId="3C0368B1" w:rsidR="00BA3975" w:rsidRPr="00D521AD" w:rsidRDefault="005C3D72" w:rsidP="0032674F">
      <w:r w:rsidRPr="00D521AD">
        <w:t xml:space="preserve">Safe Work Australia and Cancer Council South Australia provided the TGA with unpublished Australian research on sunscreen use habits in outdoor workers and </w:t>
      </w:r>
      <w:r w:rsidR="00996BAD" w:rsidRPr="00D521AD">
        <w:t xml:space="preserve">children in </w:t>
      </w:r>
      <w:r w:rsidRPr="00D521AD">
        <w:t>early learning centres</w:t>
      </w:r>
      <w:r w:rsidR="00996BAD" w:rsidRPr="00D521AD">
        <w:t xml:space="preserve"> across Australia</w:t>
      </w:r>
      <w:r w:rsidR="00BA3975" w:rsidRPr="00D521AD">
        <w:t xml:space="preserve">. </w:t>
      </w:r>
      <w:r w:rsidR="007529B1" w:rsidRPr="00D521AD">
        <w:t>The research provided real world evidence on the sunscreen use practices</w:t>
      </w:r>
      <w:r w:rsidR="00996BAD" w:rsidRPr="00D521AD">
        <w:t xml:space="preserve">, and the findings from the Cancer Council </w:t>
      </w:r>
      <w:r w:rsidR="007529B1" w:rsidRPr="00D521AD">
        <w:t xml:space="preserve">were used to refine the exposure scenarios in the ASEM and develop the highest estimated </w:t>
      </w:r>
      <w:r w:rsidR="00F44DF6" w:rsidRPr="00D521AD">
        <w:t xml:space="preserve">daily </w:t>
      </w:r>
      <w:r w:rsidR="007529B1" w:rsidRPr="00D521AD">
        <w:t xml:space="preserve">sunscreen exposure in toddlers presented in Option 1 in the public consultation paper. </w:t>
      </w:r>
      <w:r w:rsidR="00BA3975" w:rsidRPr="00D521AD">
        <w:t>The research was discussed in the public consultation paper</w:t>
      </w:r>
      <w:r w:rsidR="007529B1" w:rsidRPr="00D521AD">
        <w:t xml:space="preserve"> </w:t>
      </w:r>
      <w:r w:rsidR="00D753D2" w:rsidRPr="00D521AD">
        <w:t xml:space="preserve">as supporting evidence for the ASEM </w:t>
      </w:r>
      <w:r w:rsidR="007529B1" w:rsidRPr="00D521AD">
        <w:t xml:space="preserve">for all stakeholders to consider. </w:t>
      </w:r>
    </w:p>
    <w:p w14:paraId="27C1575E" w14:textId="588D92CA" w:rsidR="009F7CEC" w:rsidRPr="00D521AD" w:rsidRDefault="009F7CEC" w:rsidP="0032674F">
      <w:r w:rsidRPr="00D521AD">
        <w:t xml:space="preserve">The </w:t>
      </w:r>
      <w:r w:rsidR="00BA5447" w:rsidRPr="00D521AD">
        <w:t>ARPANSA</w:t>
      </w:r>
      <w:r w:rsidRPr="00D521AD">
        <w:t xml:space="preserve"> and the Cancer Council </w:t>
      </w:r>
      <w:r w:rsidR="00BB04BC" w:rsidRPr="00D521AD">
        <w:t>Australia members</w:t>
      </w:r>
      <w:r w:rsidRPr="00D521AD">
        <w:t xml:space="preserve"> </w:t>
      </w:r>
      <w:r w:rsidR="00BB04BC" w:rsidRPr="00D521AD">
        <w:t xml:space="preserve">recommended modifications to some of the draft exposure scenarios used in the ASEM to reflect common scenarios in outdoor workers wearing shorts and t-shirts as they may not always wear long sleeves. </w:t>
      </w:r>
      <w:r w:rsidR="00996BAD" w:rsidRPr="00D521AD">
        <w:t>They also highlighted that younger children often have more sunscreen use, than older children, particularly as parents and carers may protect them even if they don’t apply sunscreen themselves</w:t>
      </w:r>
      <w:r w:rsidR="0051633E" w:rsidRPr="00D521AD">
        <w:t>, noting the unpublished research in early learning centres from the Cancer Council South Australia</w:t>
      </w:r>
      <w:r w:rsidR="00996BAD" w:rsidRPr="00D521AD">
        <w:t xml:space="preserve">. </w:t>
      </w:r>
      <w:r w:rsidR="0051633E" w:rsidRPr="00D521AD">
        <w:t>The TGA refined the ASE</w:t>
      </w:r>
      <w:r w:rsidR="00BA5447" w:rsidRPr="00D521AD">
        <w:t>M</w:t>
      </w:r>
      <w:r w:rsidR="0051633E" w:rsidRPr="00D521AD">
        <w:t xml:space="preserve"> exposure scenarios in accordance with this feedback. </w:t>
      </w:r>
      <w:r w:rsidR="00BB04BC" w:rsidRPr="00D521AD">
        <w:t xml:space="preserve">They also recommended that </w:t>
      </w:r>
      <w:r w:rsidRPr="00D521AD">
        <w:t>the TGA speak to occupations with high UVR exposure such as surf life savers</w:t>
      </w:r>
      <w:r w:rsidR="00996BAD" w:rsidRPr="00D521AD">
        <w:t xml:space="preserve"> in QLD</w:t>
      </w:r>
      <w:r w:rsidRPr="00D521AD">
        <w:t>, and the TGA later contacted Surf Life Saving Australia</w:t>
      </w:r>
      <w:r w:rsidR="00EA6B46" w:rsidRPr="00D521AD">
        <w:t xml:space="preserve">. </w:t>
      </w:r>
    </w:p>
    <w:p w14:paraId="30B67E42" w14:textId="32804503" w:rsidR="009F7CEC" w:rsidRDefault="009F7CEC" w:rsidP="0032674F">
      <w:r>
        <w:t xml:space="preserve">Surf Life Saving </w:t>
      </w:r>
      <w:r w:rsidR="00996BAD">
        <w:t>Queensland, on behalf of Surf Life Saving Australia,</w:t>
      </w:r>
      <w:r>
        <w:t xml:space="preserve"> provided information on the occupational conditions, clothing, shade, and sunscreen use for surf life savers. This information was used to ensure the ASEM </w:t>
      </w:r>
      <w:r w:rsidR="00996BAD">
        <w:t xml:space="preserve">exposure </w:t>
      </w:r>
      <w:r>
        <w:t xml:space="preserve">scenarios covered sunscreen use from heavy users who are exposed to higher UVR conditions on a more regular basis. </w:t>
      </w:r>
    </w:p>
    <w:p w14:paraId="5AC41457" w14:textId="6374F21C" w:rsidR="00C23966" w:rsidRDefault="00C23966" w:rsidP="0032674F">
      <w:r>
        <w:t xml:space="preserve">ASCEPT advised that it would be more helpful to have a simpler approach to using the ASEM as a tool rather than a complex table with specific populations needing to be considered. The TGA refined the ASEM to derive a single exposure value that would be used for regulatory purposes (the highest estimated average daily sunscreen exposure in toddlers). This was presented in the public consultation paper.  </w:t>
      </w:r>
    </w:p>
    <w:p w14:paraId="0DCAAA30" w14:textId="77777777" w:rsidR="00D3511F" w:rsidRDefault="00BA5447" w:rsidP="0032674F">
      <w:r w:rsidRPr="00BA5447">
        <w:t xml:space="preserve">The ACD noted that </w:t>
      </w:r>
      <w:r>
        <w:t>s</w:t>
      </w:r>
      <w:r w:rsidRPr="00BA5447">
        <w:t>unscreen should be used as last line of defence for</w:t>
      </w:r>
      <w:r>
        <w:t xml:space="preserve"> infants aged</w:t>
      </w:r>
      <w:r w:rsidRPr="00BA5447">
        <w:t xml:space="preserve"> 6-12 months, after applying clothing and staying out of the sun</w:t>
      </w:r>
      <w:r>
        <w:t>, and questioned if the ASEM</w:t>
      </w:r>
      <w:r w:rsidRPr="00BA5447">
        <w:t xml:space="preserve"> factored in that </w:t>
      </w:r>
      <w:r w:rsidR="00D3511F">
        <w:t>less sunscreen would be used in</w:t>
      </w:r>
      <w:r w:rsidRPr="00BA5447">
        <w:t xml:space="preserve"> that age group</w:t>
      </w:r>
      <w:r>
        <w:t xml:space="preserve">. The TGA </w:t>
      </w:r>
      <w:r w:rsidR="00D3511F">
        <w:t xml:space="preserve">considered this feedback, and ensured the highest exposure scenario for children (scenario 3) presented in the public consultation paper specifically excluded infants under 12 months noting they are not recommended to be exposed to the sun and children under 6 months are not recommended to use sunscreen. </w:t>
      </w:r>
    </w:p>
    <w:p w14:paraId="2C02349E" w14:textId="05D3A68C" w:rsidR="00996BAD" w:rsidRPr="00D521AD" w:rsidRDefault="00996BAD" w:rsidP="0032674F">
      <w:r w:rsidRPr="00D521AD">
        <w:t xml:space="preserve">The </w:t>
      </w:r>
      <w:r w:rsidR="00BA5447" w:rsidRPr="00D521AD">
        <w:t>ABS</w:t>
      </w:r>
      <w:r w:rsidRPr="00D521AD">
        <w:t xml:space="preserve"> advised that they had recently conducted a Sun Protection Behaviours survey to assess the sun protection habits of Australian adults and adolescents from November 2023 to February 2024. The results were </w:t>
      </w:r>
      <w:hyperlink r:id="rId62" w:history="1">
        <w:r w:rsidRPr="007D17F6">
          <w:rPr>
            <w:rStyle w:val="Hyperlink"/>
          </w:rPr>
          <w:t xml:space="preserve">released </w:t>
        </w:r>
        <w:r w:rsidR="007D17F6" w:rsidRPr="007D17F6">
          <w:rPr>
            <w:rStyle w:val="Hyperlink"/>
          </w:rPr>
          <w:t>on 3</w:t>
        </w:r>
        <w:r w:rsidRPr="007D17F6">
          <w:rPr>
            <w:rStyle w:val="Hyperlink"/>
          </w:rPr>
          <w:t xml:space="preserve"> September 2024</w:t>
        </w:r>
      </w:hyperlink>
      <w:r>
        <w:t xml:space="preserve"> </w:t>
      </w:r>
      <w:r w:rsidRPr="00D521AD">
        <w:t xml:space="preserve">and the survey revealed </w:t>
      </w:r>
      <w:bookmarkStart w:id="148" w:name="_Hlk176275662"/>
      <w:r w:rsidRPr="00D521AD">
        <w:t xml:space="preserve">that 38.1% of Australians aged 15 years and over used SPF 30 or higher sunscreen on most days in the last month of the survey period. Additionally, 60.6% of Australians spent more than 15 minutes outdoors during peak UV times and more people spend time outdoors during peak UV hours on weekends compared to weekdays. </w:t>
      </w:r>
      <w:bookmarkEnd w:id="148"/>
      <w:r w:rsidRPr="00D521AD">
        <w:t xml:space="preserve">When </w:t>
      </w:r>
      <w:bookmarkStart w:id="149" w:name="_Hlk176275710"/>
      <w:r w:rsidRPr="00D521AD">
        <w:t>compared to a similar survey conducted by Cancer Council Australia between 2003 and 2017</w:t>
      </w:r>
      <w:bookmarkEnd w:id="149"/>
      <w:r w:rsidRPr="00D521AD">
        <w:t>, the ABS survey showed an increase in the use of sunscreen as a sun protection measure</w:t>
      </w:r>
      <w:r w:rsidR="0008530D" w:rsidRPr="00D521AD">
        <w:t>s</w:t>
      </w:r>
      <w:r w:rsidRPr="00D521AD">
        <w:t xml:space="preserve"> (49.4% vs. 42%). The sun protection behaviours reported in this survey aligned with the assumptions and parameters used in the ASEM.</w:t>
      </w:r>
    </w:p>
    <w:p w14:paraId="085E4625" w14:textId="7EC75014" w:rsidR="009F7CEC" w:rsidRPr="00D521AD" w:rsidRDefault="00EA6B46" w:rsidP="0032674F">
      <w:r w:rsidRPr="00D521AD">
        <w:t>CHOICE and Consumers Health Forum of Australia did not provide comment.</w:t>
      </w:r>
    </w:p>
    <w:p w14:paraId="70AB9FCF" w14:textId="79B5A01C" w:rsidR="00824288" w:rsidRPr="00824288" w:rsidRDefault="007B4E17" w:rsidP="007B4E17">
      <w:pPr>
        <w:pStyle w:val="Heading3"/>
      </w:pPr>
      <w:bookmarkStart w:id="150" w:name="_Toc184730612"/>
      <w:r>
        <w:t xml:space="preserve">Public consultation </w:t>
      </w:r>
      <w:r w:rsidR="003F0B6D">
        <w:t>July – August 2024</w:t>
      </w:r>
      <w:bookmarkEnd w:id="150"/>
    </w:p>
    <w:p w14:paraId="5A845F18" w14:textId="2C674E37" w:rsidR="00D578E2" w:rsidRDefault="00E65B81" w:rsidP="0032674F">
      <w:bookmarkStart w:id="151" w:name="_Hlk174111383"/>
      <w:r>
        <w:t xml:space="preserve">Between July and August 2024, the TGA </w:t>
      </w:r>
      <w:r w:rsidR="00785E18">
        <w:t>published a public</w:t>
      </w:r>
      <w:r>
        <w:t xml:space="preserve"> </w:t>
      </w:r>
      <w:hyperlink r:id="rId63" w:history="1">
        <w:r w:rsidRPr="00CC68CE">
          <w:rPr>
            <w:rStyle w:val="Hyperlink"/>
          </w:rPr>
          <w:t>consultation</w:t>
        </w:r>
      </w:hyperlink>
      <w:r>
        <w:t xml:space="preserve"> </w:t>
      </w:r>
      <w:bookmarkEnd w:id="151"/>
      <w:r w:rsidR="000054B9">
        <w:t>regarding creating a model that more accurately estimates how much su</w:t>
      </w:r>
      <w:r w:rsidR="00247CEC">
        <w:t xml:space="preserve">nscreen Australians are exposed to on a regular basis. </w:t>
      </w:r>
      <w:r w:rsidR="00D578E2">
        <w:t xml:space="preserve">The model was proposed to enable the TGA to calculate the safe concentration of ingredients in sunscreens based on Australian conditions and the latest scientific information. </w:t>
      </w:r>
    </w:p>
    <w:p w14:paraId="23410705" w14:textId="77777777" w:rsidR="00D578E2" w:rsidRPr="0073370F" w:rsidRDefault="00D578E2" w:rsidP="0032674F">
      <w:r w:rsidRPr="0073370F">
        <w:t xml:space="preserve">The consultation included 3 proposed options: </w:t>
      </w:r>
    </w:p>
    <w:p w14:paraId="10B7027E" w14:textId="77777777" w:rsidR="00D578E2" w:rsidRPr="0073370F" w:rsidRDefault="00D578E2" w:rsidP="006D28D0">
      <w:pPr>
        <w:pStyle w:val="ListBullet"/>
      </w:pPr>
      <w:r w:rsidRPr="0073370F">
        <w:t>Option 1: Australian Sunscreen Exposure Model (ASEM)</w:t>
      </w:r>
    </w:p>
    <w:p w14:paraId="57E74DAD" w14:textId="77777777" w:rsidR="00D578E2" w:rsidRPr="0073370F" w:rsidRDefault="00D578E2" w:rsidP="006D28D0">
      <w:pPr>
        <w:pStyle w:val="ListBullet"/>
      </w:pPr>
      <w:r w:rsidRPr="0073370F">
        <w:t>Option 2: Scientific Committee on Consumer Safety (SCCS) exposure model</w:t>
      </w:r>
    </w:p>
    <w:p w14:paraId="5F9BBEA3" w14:textId="77777777" w:rsidR="00D578E2" w:rsidRPr="0073370F" w:rsidRDefault="00D578E2" w:rsidP="006D28D0">
      <w:pPr>
        <w:pStyle w:val="ListBullet"/>
      </w:pPr>
      <w:r w:rsidRPr="0073370F">
        <w:t xml:space="preserve">Option 3: Status quo </w:t>
      </w:r>
    </w:p>
    <w:p w14:paraId="50193397" w14:textId="77777777" w:rsidR="00D578E2" w:rsidRDefault="00D578E2" w:rsidP="0089151C">
      <w:r>
        <w:t>A total of 28 submissions were received from the therapeutic goods and cosmetic industry (industry organisations, sponsors, and manufacturers), non-profit organisations, universities, government organisations, health professional organisations, and individuals.</w:t>
      </w:r>
    </w:p>
    <w:p w14:paraId="6912EEC1" w14:textId="25AD86DA" w:rsidR="00185B3B" w:rsidRPr="0089151C" w:rsidDel="00665EB3" w:rsidRDefault="00185B3B" w:rsidP="00185B3B">
      <w:pPr>
        <w:rPr>
          <w:b/>
          <w:bCs/>
        </w:rPr>
      </w:pPr>
      <w:bookmarkStart w:id="152" w:name="_Hlk177565630"/>
      <w:r w:rsidRPr="0089151C" w:rsidDel="00665EB3">
        <w:rPr>
          <w:b/>
          <w:bCs/>
        </w:rPr>
        <w:t>Preferred option</w:t>
      </w:r>
    </w:p>
    <w:p w14:paraId="0B497BC6" w14:textId="3DDFDD4A" w:rsidR="00EF2F32" w:rsidDel="00665EB3" w:rsidRDefault="00185B3B" w:rsidP="00185B3B">
      <w:r w:rsidRPr="00B32BE7" w:rsidDel="00665EB3">
        <w:t>There was broad in-principle</w:t>
      </w:r>
      <w:r w:rsidR="00EF2F32" w:rsidDel="00665EB3">
        <w:t xml:space="preserve"> stakeholder </w:t>
      </w:r>
      <w:r w:rsidRPr="00B32BE7" w:rsidDel="00665EB3">
        <w:t xml:space="preserve">support for the </w:t>
      </w:r>
      <w:r w:rsidDel="00665EB3">
        <w:t>adoption of the ASEM (</w:t>
      </w:r>
      <w:r w:rsidR="0086256D" w:rsidDel="00665EB3">
        <w:t>O</w:t>
      </w:r>
      <w:r w:rsidDel="00665EB3">
        <w:t>ption 1)</w:t>
      </w:r>
      <w:r w:rsidRPr="00B32BE7" w:rsidDel="00665EB3">
        <w:t xml:space="preserve"> </w:t>
      </w:r>
      <w:r w:rsidDel="00665EB3">
        <w:t>for</w:t>
      </w:r>
      <w:r w:rsidRPr="00B32BE7" w:rsidDel="00665EB3">
        <w:t xml:space="preserve"> estimating sunscreen exposure </w:t>
      </w:r>
      <w:r w:rsidDel="00665EB3">
        <w:t>when</w:t>
      </w:r>
      <w:r w:rsidRPr="00B32BE7" w:rsidDel="00665EB3">
        <w:t xml:space="preserve"> conducting </w:t>
      </w:r>
      <w:r w:rsidDel="00665EB3">
        <w:t xml:space="preserve">sunscreen ingredient </w:t>
      </w:r>
      <w:r w:rsidRPr="00B32BE7" w:rsidDel="00665EB3">
        <w:t>risk assessments</w:t>
      </w:r>
      <w:r w:rsidDel="00665EB3">
        <w:t xml:space="preserve">. </w:t>
      </w:r>
      <w:r w:rsidR="004B2435" w:rsidDel="00665EB3">
        <w:t>No respondents</w:t>
      </w:r>
      <w:r w:rsidDel="00665EB3">
        <w:t xml:space="preserve"> support</w:t>
      </w:r>
      <w:r w:rsidR="004B2435" w:rsidDel="00665EB3">
        <w:t xml:space="preserve">ed </w:t>
      </w:r>
      <w:r w:rsidDel="00665EB3">
        <w:t xml:space="preserve">Option 3 and only 3 respondents (primarily European cosmetic industry associations) preferred Option 2. </w:t>
      </w:r>
    </w:p>
    <w:p w14:paraId="2C6C4FC5" w14:textId="77777777" w:rsidR="00382CEA" w:rsidRPr="00382CEA" w:rsidRDefault="00382CEA" w:rsidP="00382CEA">
      <w:r w:rsidRPr="00382CEA">
        <w:t>Although there was general support for Option 1, some respondents did not agree with all its elements. A number of respondents (three) proposed amendments that would make the assessment less conservative and more flexible, while others (four) suggested changes to make the assessment more conservative.</w:t>
      </w:r>
    </w:p>
    <w:p w14:paraId="165E6038" w14:textId="269D062A" w:rsidR="00185B3B" w:rsidDel="00665EB3" w:rsidRDefault="000D38B0" w:rsidP="00185B3B">
      <w:r>
        <w:t xml:space="preserve">These comments </w:t>
      </w:r>
      <w:r w:rsidR="00446652">
        <w:t xml:space="preserve">are </w:t>
      </w:r>
      <w:r w:rsidR="00382CEA" w:rsidRPr="00382CEA">
        <w:t xml:space="preserve">elaborated upon below </w:t>
      </w:r>
      <w:r w:rsidR="00446652">
        <w:t xml:space="preserve">and </w:t>
      </w:r>
      <w:r>
        <w:t xml:space="preserve">were taken into consideration in </w:t>
      </w:r>
      <w:r w:rsidR="00446652">
        <w:t xml:space="preserve">the </w:t>
      </w:r>
      <w:r>
        <w:t>refinement of the model.</w:t>
      </w:r>
    </w:p>
    <w:bookmarkEnd w:id="152"/>
    <w:p w14:paraId="3D9E12B8" w14:textId="77777777" w:rsidR="00185B3B" w:rsidRPr="0089151C" w:rsidRDefault="00185B3B" w:rsidP="00185B3B">
      <w:pPr>
        <w:rPr>
          <w:b/>
          <w:bCs/>
        </w:rPr>
      </w:pPr>
      <w:r w:rsidRPr="0089151C">
        <w:rPr>
          <w:b/>
          <w:bCs/>
        </w:rPr>
        <w:t>Importance of consistency of regulatory assessments and outcomes</w:t>
      </w:r>
    </w:p>
    <w:p w14:paraId="7440F688" w14:textId="6814AD6E" w:rsidR="00185B3B" w:rsidRDefault="00185B3B" w:rsidP="00185B3B">
      <w:r>
        <w:t>Industry respondents emphasi</w:t>
      </w:r>
      <w:r w:rsidR="0086256D">
        <w:t>s</w:t>
      </w:r>
      <w:r>
        <w:t>ed the need for innovators and manufacturers of sunscreen ingredients to have confidence that the data they generate is consistent across all sunscreen regulators. One response highlighted that the calculations and assumptions for the ASEM formula require the same safety data inputs as the SCCS exposure model. This consistency supports innovators of new ingredients by allowing them to provide data that meets the requirements of different agencies.</w:t>
      </w:r>
    </w:p>
    <w:p w14:paraId="7B3EA980" w14:textId="77777777" w:rsidR="00185B3B" w:rsidRDefault="00185B3B" w:rsidP="00185B3B">
      <w:r>
        <w:t>Some respondents also commented on the Margin of Safety (MOS) calculations presented for the ASEM, noting that it generally produces congruent results, which increases confidence in their reliability. In contrast, they pointed out that the way dermal absorption data is presented can significantly affect the MOS calculations (up to 5-fold) in the SCCS exposure model.</w:t>
      </w:r>
    </w:p>
    <w:p w14:paraId="2DF99B7F" w14:textId="77777777" w:rsidR="00185B3B" w:rsidRDefault="00185B3B" w:rsidP="00185B3B">
      <w:r w:rsidRPr="00C4153E">
        <w:t>The TGA notes that the ASEM, and the highest estimated exposure value, provides the greatest regulatory consistency for risk assessments compared to the other options proposed in the consultation paper. This consistency can better support innovation and development of sunscreen ingredients. However, the ASEM can be capable of being flexible, accommodating for different product types if required which was also identified as important by some respondents.</w:t>
      </w:r>
      <w:r>
        <w:t xml:space="preserve"> </w:t>
      </w:r>
    </w:p>
    <w:p w14:paraId="5BCF24B0" w14:textId="77777777" w:rsidR="00185B3B" w:rsidRPr="0089151C" w:rsidRDefault="00185B3B" w:rsidP="003523EA">
      <w:pPr>
        <w:keepNext/>
        <w:rPr>
          <w:b/>
          <w:bCs/>
        </w:rPr>
      </w:pPr>
      <w:r w:rsidRPr="0089151C">
        <w:rPr>
          <w:b/>
          <w:bCs/>
        </w:rPr>
        <w:t xml:space="preserve">Flexibility of risk assessments using the ASEM </w:t>
      </w:r>
    </w:p>
    <w:p w14:paraId="34BF4DB4" w14:textId="77777777" w:rsidR="00185B3B" w:rsidRPr="00C954DF" w:rsidRDefault="00185B3B" w:rsidP="003523EA">
      <w:pPr>
        <w:keepNext/>
      </w:pPr>
      <w:r w:rsidRPr="00C954DF">
        <w:t xml:space="preserve">Multiple industry respondents recommended that flexibility should be available when utilising </w:t>
      </w:r>
      <w:r>
        <w:t xml:space="preserve">the </w:t>
      </w:r>
      <w:r w:rsidRPr="00C954DF">
        <w:t>ASEM in the safety assessment of sunscreen</w:t>
      </w:r>
      <w:r>
        <w:t>s</w:t>
      </w:r>
      <w:r w:rsidRPr="00C954DF">
        <w:t xml:space="preserve"> designed for specific </w:t>
      </w:r>
      <w:r>
        <w:t>product types such</w:t>
      </w:r>
      <w:r w:rsidRPr="00C954DF">
        <w:t>, such as facial sunscreens, which are used primarily for the face</w:t>
      </w:r>
      <w:r>
        <w:t xml:space="preserve"> unlike general primary sunscreens. One respondent noted the use of these products is consistent with</w:t>
      </w:r>
      <w:r w:rsidRPr="00C954DF">
        <w:t xml:space="preserve"> Scenario 1</w:t>
      </w:r>
      <w:r>
        <w:t xml:space="preserve"> (indoor worker) presented in the consultation paper,</w:t>
      </w:r>
      <w:r w:rsidRPr="00C954DF">
        <w:t xml:space="preserve"> and these products are packaged in smaller volumes.</w:t>
      </w:r>
    </w:p>
    <w:p w14:paraId="2A14BD19" w14:textId="77777777" w:rsidR="00185B3B" w:rsidRPr="00C954DF" w:rsidRDefault="00185B3B" w:rsidP="00185B3B">
      <w:r w:rsidRPr="00C954DF">
        <w:t>The TGA acknowledges the merit in utili</w:t>
      </w:r>
      <w:r>
        <w:t>s</w:t>
      </w:r>
      <w:r w:rsidRPr="00C954DF">
        <w:t xml:space="preserve">ing the ASEM tool to </w:t>
      </w:r>
      <w:r>
        <w:t>consider a</w:t>
      </w:r>
      <w:r w:rsidRPr="00C954DF">
        <w:t xml:space="preserve"> usage scenario for</w:t>
      </w:r>
      <w:r>
        <w:t xml:space="preserve"> sunscreens that are not intended for general use. Further consideration will be given </w:t>
      </w:r>
      <w:r w:rsidRPr="00C954DF">
        <w:t>to establish</w:t>
      </w:r>
      <w:r>
        <w:t>ing a standardised exposure assumptions to be included in future guidance, and what</w:t>
      </w:r>
      <w:r w:rsidRPr="00C954DF">
        <w:t xml:space="preserve"> </w:t>
      </w:r>
      <w:r>
        <w:t xml:space="preserve">risk management and </w:t>
      </w:r>
      <w:r w:rsidRPr="00C954DF">
        <w:t xml:space="preserve">presentation requirements </w:t>
      </w:r>
      <w:r>
        <w:t xml:space="preserve">may be needed to ensure such products are used as intended. </w:t>
      </w:r>
    </w:p>
    <w:p w14:paraId="78A71F3A" w14:textId="77777777" w:rsidR="00185B3B" w:rsidRPr="0089151C" w:rsidRDefault="00185B3B" w:rsidP="00185B3B">
      <w:pPr>
        <w:rPr>
          <w:b/>
          <w:bCs/>
        </w:rPr>
      </w:pPr>
      <w:r w:rsidRPr="0089151C">
        <w:rPr>
          <w:b/>
          <w:bCs/>
        </w:rPr>
        <w:t>Sunscreen application rate of 2 mg/cm</w:t>
      </w:r>
      <w:r w:rsidRPr="0089151C">
        <w:rPr>
          <w:b/>
          <w:bCs/>
          <w:vertAlign w:val="superscript"/>
        </w:rPr>
        <w:t>2</w:t>
      </w:r>
      <w:r w:rsidRPr="0089151C">
        <w:rPr>
          <w:b/>
          <w:bCs/>
        </w:rPr>
        <w:t xml:space="preserve"> used in the ASEM</w:t>
      </w:r>
    </w:p>
    <w:p w14:paraId="3E65E849" w14:textId="77777777" w:rsidR="00185B3B" w:rsidRPr="00C954DF" w:rsidRDefault="00185B3B" w:rsidP="00185B3B">
      <w:r>
        <w:t>The m</w:t>
      </w:r>
      <w:r w:rsidRPr="00C954DF">
        <w:t xml:space="preserve">ajority of respondents agreed with the calculations and assumptions </w:t>
      </w:r>
      <w:r>
        <w:t xml:space="preserve">used in the </w:t>
      </w:r>
      <w:r w:rsidRPr="00C954DF">
        <w:t>ASEM formula, which includes the application rate of 2 mg/cm</w:t>
      </w:r>
      <w:r w:rsidRPr="00C954DF">
        <w:rPr>
          <w:vertAlign w:val="superscript"/>
        </w:rPr>
        <w:t>2</w:t>
      </w:r>
      <w:r>
        <w:t xml:space="preserve"> that is required to achieve the labelled SPF rating.</w:t>
      </w:r>
    </w:p>
    <w:p w14:paraId="668D07DE" w14:textId="7D555E28" w:rsidR="00185B3B" w:rsidRDefault="00185B3B" w:rsidP="00185B3B">
      <w:r w:rsidRPr="00C954DF">
        <w:t xml:space="preserve">Some industry respondents </w:t>
      </w:r>
      <w:r>
        <w:t>suggested</w:t>
      </w:r>
      <w:r w:rsidRPr="00C954DF">
        <w:t xml:space="preserve"> that the 2 mg/cm² application rate does not reflect real-world consumer behaviour</w:t>
      </w:r>
      <w:r>
        <w:t xml:space="preserve">, </w:t>
      </w:r>
      <w:r w:rsidRPr="00C954DF">
        <w:t>highlight</w:t>
      </w:r>
      <w:r>
        <w:t xml:space="preserve">ing </w:t>
      </w:r>
      <w:r w:rsidRPr="00C954DF">
        <w:t xml:space="preserve">that consumers typically apply sunscreen at lower rates. </w:t>
      </w:r>
      <w:r>
        <w:t>T</w:t>
      </w:r>
      <w:r w:rsidRPr="00C954DF">
        <w:t>wo</w:t>
      </w:r>
      <w:r>
        <w:t xml:space="preserve"> of these respondents</w:t>
      </w:r>
      <w:r w:rsidRPr="00C954DF">
        <w:t xml:space="preserve"> recommended 1 mg/cm</w:t>
      </w:r>
      <w:r w:rsidRPr="00C954DF">
        <w:rPr>
          <w:vertAlign w:val="superscript"/>
        </w:rPr>
        <w:t>2</w:t>
      </w:r>
      <w:r w:rsidRPr="00C954DF">
        <w:t xml:space="preserve"> </w:t>
      </w:r>
      <w:r>
        <w:t xml:space="preserve">be used as the </w:t>
      </w:r>
      <w:r w:rsidRPr="00C954DF">
        <w:t xml:space="preserve">application rate. </w:t>
      </w:r>
      <w:r>
        <w:t>These respondents quoted</w:t>
      </w:r>
      <w:r w:rsidRPr="00C954DF">
        <w:t xml:space="preserve"> five studies</w:t>
      </w:r>
      <w:r>
        <w:t>,</w:t>
      </w:r>
      <w:r w:rsidRPr="00C954DF">
        <w:t xml:space="preserve"> including </w:t>
      </w:r>
      <w:r>
        <w:t>3</w:t>
      </w:r>
      <w:r w:rsidRPr="00C954DF">
        <w:t xml:space="preserve"> Australian studies already discussed in the consultation paper,</w:t>
      </w:r>
      <w:r>
        <w:t xml:space="preserve"> and 2 older European studies (conducted outside Australia),</w:t>
      </w:r>
      <w:r w:rsidRPr="00C954DF">
        <w:t xml:space="preserve"> highlighting the </w:t>
      </w:r>
      <w:r w:rsidR="002F6FAC" w:rsidRPr="00C954DF">
        <w:t xml:space="preserve">median or mean </w:t>
      </w:r>
      <w:r w:rsidR="002F6FAC">
        <w:t xml:space="preserve">application were less than </w:t>
      </w:r>
      <w:r w:rsidR="002F6FAC" w:rsidRPr="00C954DF">
        <w:t>2 mg/cm²</w:t>
      </w:r>
      <w:r w:rsidR="002F6FAC">
        <w:t>.</w:t>
      </w:r>
    </w:p>
    <w:p w14:paraId="2C3127B1" w14:textId="77777777" w:rsidR="00FD6F7B" w:rsidRDefault="00185B3B" w:rsidP="00FD6F7B">
      <w:r>
        <w:t>The consultation paper emphasi</w:t>
      </w:r>
      <w:r w:rsidR="00117E97">
        <w:t>s</w:t>
      </w:r>
      <w:r>
        <w:t>ed that one of the guiding principles was to ensure the adopted model accounts for correct usage directions for effective sun protection and this will not be achieved with application rates less than 2 mg/cm</w:t>
      </w:r>
      <w:r w:rsidRPr="00C434FE">
        <w:rPr>
          <w:vertAlign w:val="superscript"/>
        </w:rPr>
        <w:t>2</w:t>
      </w:r>
      <w:r>
        <w:t xml:space="preserve">. </w:t>
      </w:r>
      <w:r w:rsidR="00FD6F7B">
        <w:t xml:space="preserve">Moreover, the ASEM assumptions were </w:t>
      </w:r>
      <w:r w:rsidR="00FD6F7B" w:rsidRPr="007B11FF">
        <w:t xml:space="preserve">constructed to reflect the higher end of sunscreen usage in Australia, rather than the average Australian’s usage. This approach </w:t>
      </w:r>
      <w:r w:rsidR="00FD6F7B">
        <w:t xml:space="preserve">was taken to </w:t>
      </w:r>
      <w:r w:rsidR="00FD6F7B" w:rsidRPr="007B11FF">
        <w:t>ensure that the risk assessments for sunscreen ingredients, when based on the highest usage scenarios, will also guarantee safety for lower usage cases where less of the ingredient may be applied to the skin</w:t>
      </w:r>
      <w:r w:rsidR="00FD6F7B">
        <w:t>.</w:t>
      </w:r>
    </w:p>
    <w:p w14:paraId="4B73B733" w14:textId="41DFA18A" w:rsidR="00185B3B" w:rsidRDefault="00185B3B" w:rsidP="00185B3B">
      <w:r>
        <w:t>The TGA acknowledges that not all consumers apply sunscreen at the thickness to achieve the labelled SPF; however, the same Australian studies quoted, and discussed in the consultation paper, support that there are Australians that would apply at 2 mg/cm</w:t>
      </w:r>
      <w:r w:rsidRPr="00757238">
        <w:rPr>
          <w:vertAlign w:val="superscript"/>
        </w:rPr>
        <w:t>2</w:t>
      </w:r>
      <w:r>
        <w:t xml:space="preserve"> or more. </w:t>
      </w:r>
      <w:r w:rsidRPr="00C954DF">
        <w:rPr>
          <w:rFonts w:cs="Arial"/>
          <w:color w:val="242424"/>
          <w:shd w:val="clear" w:color="auto" w:fill="FFFFFF"/>
        </w:rPr>
        <w:t xml:space="preserve">The European studies </w:t>
      </w:r>
      <w:r>
        <w:rPr>
          <w:rFonts w:cs="Arial"/>
          <w:color w:val="242424"/>
          <w:shd w:val="clear" w:color="auto" w:fill="FFFFFF"/>
        </w:rPr>
        <w:t>quoted</w:t>
      </w:r>
      <w:r w:rsidRPr="00C954DF">
        <w:rPr>
          <w:rFonts w:cs="Arial"/>
          <w:color w:val="242424"/>
          <w:shd w:val="clear" w:color="auto" w:fill="FFFFFF"/>
        </w:rPr>
        <w:t xml:space="preserve"> </w:t>
      </w:r>
      <w:r w:rsidRPr="00C954DF">
        <w:t xml:space="preserve">are conducted outside of </w:t>
      </w:r>
      <w:r w:rsidR="0089151C" w:rsidRPr="00C954DF">
        <w:t>Australia</w:t>
      </w:r>
      <w:r w:rsidR="0089151C">
        <w:t xml:space="preserve"> and</w:t>
      </w:r>
      <w:r>
        <w:t xml:space="preserve"> </w:t>
      </w:r>
      <w:r w:rsidRPr="00C954DF">
        <w:t xml:space="preserve">may not </w:t>
      </w:r>
      <w:r w:rsidRPr="00C954DF">
        <w:rPr>
          <w:rFonts w:cs="Arial"/>
        </w:rPr>
        <w:t>reflect the unique conditions and practices in Australia today</w:t>
      </w:r>
      <w:r>
        <w:rPr>
          <w:rFonts w:cs="Arial"/>
        </w:rPr>
        <w:t xml:space="preserve"> for the reasons described in depth in the consultation paper</w:t>
      </w:r>
      <w:r w:rsidRPr="00C954DF">
        <w:t xml:space="preserve">. </w:t>
      </w:r>
      <w:r>
        <w:t>An application rate of 2mg/cm</w:t>
      </w:r>
      <w:r w:rsidRPr="00757238">
        <w:rPr>
          <w:vertAlign w:val="superscript"/>
        </w:rPr>
        <w:t>2</w:t>
      </w:r>
      <w:r>
        <w:t xml:space="preserve"> is needed to cater for Australians who use sunscreen at the application rate</w:t>
      </w:r>
      <w:r w:rsidR="00FD6F7B">
        <w:t xml:space="preserve"> of 2mg/cm</w:t>
      </w:r>
      <w:r w:rsidR="00FD6F7B" w:rsidRPr="00757238">
        <w:rPr>
          <w:vertAlign w:val="superscript"/>
        </w:rPr>
        <w:t>2</w:t>
      </w:r>
      <w:r>
        <w:t xml:space="preserve"> and those that use less, to ensure that sunscreen ingredients are both safe and effective when used as directed. </w:t>
      </w:r>
    </w:p>
    <w:p w14:paraId="3147FA6B" w14:textId="77777777" w:rsidR="00185B3B" w:rsidRPr="0089151C" w:rsidRDefault="00185B3B" w:rsidP="003523EA">
      <w:pPr>
        <w:keepNext/>
        <w:rPr>
          <w:b/>
          <w:bCs/>
        </w:rPr>
      </w:pPr>
      <w:r w:rsidRPr="0089151C">
        <w:rPr>
          <w:b/>
          <w:bCs/>
        </w:rPr>
        <w:t>Clarification of sunscreen exposure calculations for the ‘highest estimated daily exposure’</w:t>
      </w:r>
    </w:p>
    <w:p w14:paraId="315E9B03" w14:textId="77777777" w:rsidR="00185B3B" w:rsidRPr="00C954DF" w:rsidRDefault="00185B3B" w:rsidP="003523EA">
      <w:pPr>
        <w:keepNext/>
      </w:pPr>
      <w:r w:rsidRPr="00C954DF">
        <w:t xml:space="preserve">One respondent supported </w:t>
      </w:r>
      <w:r>
        <w:t xml:space="preserve">the </w:t>
      </w:r>
      <w:r w:rsidRPr="00C954DF">
        <w:t xml:space="preserve">ASEM if the TGA seeks to calculate the upper band of </w:t>
      </w:r>
      <w:r w:rsidRPr="006B6B38">
        <w:t>annual average daily sunscreen</w:t>
      </w:r>
      <w:r w:rsidRPr="00452E07">
        <w:t xml:space="preserve"> exposure</w:t>
      </w:r>
      <w:r w:rsidRPr="00C954DF">
        <w:t xml:space="preserve"> in the Australian population</w:t>
      </w:r>
      <w:r>
        <w:t xml:space="preserve">, noting the </w:t>
      </w:r>
      <w:r w:rsidRPr="00C954DF">
        <w:t xml:space="preserve">ASEM offers a plausible and defensible measure, based on current evidence. However, this respondent disagreed that </w:t>
      </w:r>
      <w:r>
        <w:t xml:space="preserve">the </w:t>
      </w:r>
      <w:r w:rsidRPr="00C954DF">
        <w:t xml:space="preserve">ASEM calculates the </w:t>
      </w:r>
      <w:r w:rsidRPr="00C954DF">
        <w:rPr>
          <w:u w:val="single"/>
        </w:rPr>
        <w:t>maximum</w:t>
      </w:r>
      <w:r w:rsidRPr="00C954DF">
        <w:t xml:space="preserve"> dose of sunscreen that could be applied in one day, as </w:t>
      </w:r>
      <w:r>
        <w:t>it</w:t>
      </w:r>
      <w:r w:rsidRPr="00C954DF">
        <w:t xml:space="preserve"> averages exposure over the course of a year based on weekly patterns</w:t>
      </w:r>
      <w:r>
        <w:t xml:space="preserve">, </w:t>
      </w:r>
      <w:r w:rsidRPr="00C954DF">
        <w:t>underestimat</w:t>
      </w:r>
      <w:r>
        <w:t>ing</w:t>
      </w:r>
      <w:r w:rsidRPr="00C954DF">
        <w:t xml:space="preserve"> the potential maximum exposure in a single day.</w:t>
      </w:r>
    </w:p>
    <w:p w14:paraId="156D8827" w14:textId="77777777" w:rsidR="00185B3B" w:rsidRPr="00C954DF" w:rsidRDefault="00185B3B" w:rsidP="00185B3B">
      <w:r>
        <w:t>The TGA wishes to clarify that the</w:t>
      </w:r>
      <w:r w:rsidRPr="00C954DF">
        <w:t xml:space="preserve"> ASEM calculate</w:t>
      </w:r>
      <w:r>
        <w:t>s</w:t>
      </w:r>
      <w:r w:rsidRPr="00C954DF">
        <w:t xml:space="preserve"> </w:t>
      </w:r>
      <w:r w:rsidRPr="00452E07">
        <w:t>the upper band of annual average daily sunscreen exposure in</w:t>
      </w:r>
      <w:r w:rsidRPr="00C954DF">
        <w:t xml:space="preserve"> the Australian population, based on current Australian evidence and guidelines. Risk assessments for sunscreen ingredients typically focus on long-term exposure</w:t>
      </w:r>
      <w:r>
        <w:t>, h</w:t>
      </w:r>
      <w:r w:rsidRPr="00C954DF">
        <w:t xml:space="preserve">owever, </w:t>
      </w:r>
      <w:r>
        <w:t xml:space="preserve">any acute toxicity concerns are still considered in the risk assessment, and this would still utilise </w:t>
      </w:r>
      <w:r w:rsidRPr="00C954DF">
        <w:t xml:space="preserve">the maximum </w:t>
      </w:r>
      <w:r>
        <w:t xml:space="preserve">expected </w:t>
      </w:r>
      <w:r w:rsidRPr="00C954DF">
        <w:t xml:space="preserve">dose that could be applied in one day </w:t>
      </w:r>
      <w:r>
        <w:t xml:space="preserve">for a sunscreen used for whole-body application </w:t>
      </w:r>
      <w:r w:rsidRPr="00C954DF">
        <w:t>(140 mL).</w:t>
      </w:r>
    </w:p>
    <w:p w14:paraId="260CED47" w14:textId="77777777" w:rsidR="00185B3B" w:rsidRPr="0089151C" w:rsidRDefault="00185B3B" w:rsidP="00185B3B">
      <w:pPr>
        <w:rPr>
          <w:b/>
          <w:bCs/>
        </w:rPr>
      </w:pPr>
      <w:r w:rsidRPr="0089151C">
        <w:rPr>
          <w:b/>
          <w:bCs/>
        </w:rPr>
        <w:t>Some Australians may use more sunscreen than proposed in some scenarios</w:t>
      </w:r>
    </w:p>
    <w:p w14:paraId="58F77D9B" w14:textId="77777777" w:rsidR="00185B3B" w:rsidRPr="00C954DF" w:rsidRDefault="00185B3B" w:rsidP="00185B3B">
      <w:r>
        <w:t>O</w:t>
      </w:r>
      <w:r w:rsidRPr="00C954DF">
        <w:t>ne respondent recommended that the TGA increase the duration from 26 days to 52 days for Scenario 6 to account for the lifestyle of residents in beach-side communities in northern Australia.</w:t>
      </w:r>
      <w:r>
        <w:t xml:space="preserve"> Another </w:t>
      </w:r>
      <w:r w:rsidRPr="00C954DF">
        <w:t xml:space="preserve">respondent noted that in high-performance sports, there is often a deliberate strategy of training during the hottest part of the day, when UV exposure is likely to be high. </w:t>
      </w:r>
      <w:r>
        <w:t>Further, t</w:t>
      </w:r>
      <w:r w:rsidRPr="00C954DF">
        <w:t xml:space="preserve">he culture regarding the use or non-use of sun-smart clothing varies between different sports. </w:t>
      </w:r>
      <w:r>
        <w:t>For example, s</w:t>
      </w:r>
      <w:r w:rsidRPr="00C954DF">
        <w:t>ome sports, such as beach volleyball and canoeing or rowing, involve a high degree of UV exposure with minimal sun-smart clothing.</w:t>
      </w:r>
    </w:p>
    <w:p w14:paraId="299A81B8" w14:textId="77777777" w:rsidR="00185B3B" w:rsidRPr="00C954DF" w:rsidRDefault="00185B3B" w:rsidP="00185B3B">
      <w:r>
        <w:t>The highest average daily</w:t>
      </w:r>
      <w:r w:rsidRPr="00C954DF">
        <w:t xml:space="preserve"> sunscreen exposure</w:t>
      </w:r>
      <w:r>
        <w:t xml:space="preserve">s as established by the ASEM is </w:t>
      </w:r>
      <w:r w:rsidRPr="00C954DF">
        <w:t>673 mg/kg bw/day or 336 cm²/kg bw/day</w:t>
      </w:r>
      <w:r>
        <w:t xml:space="preserve"> which broadly covers the majority of different scenarios and populations. As an example, i</w:t>
      </w:r>
      <w:r w:rsidRPr="00C954DF">
        <w:t>f the duration for Scenario 6 is extended from 26 days to 52 days</w:t>
      </w:r>
      <w:r>
        <w:t xml:space="preserve"> as suggested</w:t>
      </w:r>
      <w:r w:rsidRPr="00C954DF">
        <w:t>, the</w:t>
      </w:r>
      <w:r>
        <w:t xml:space="preserve"> highest</w:t>
      </w:r>
      <w:r w:rsidRPr="00C954DF">
        <w:t xml:space="preserve"> </w:t>
      </w:r>
      <w:r>
        <w:t xml:space="preserve">average daily </w:t>
      </w:r>
      <w:r w:rsidRPr="00C954DF">
        <w:t>sunscreen exposure for adults</w:t>
      </w:r>
      <w:r>
        <w:t xml:space="preserve"> across a year (i.e. Scenario 4 + 6)</w:t>
      </w:r>
      <w:r w:rsidRPr="00C954DF">
        <w:t xml:space="preserve"> would be 408 mg/kg bw/day or 204 cm²/kg bw/day, which </w:t>
      </w:r>
      <w:r>
        <w:t>is still less than 67</w:t>
      </w:r>
      <w:r w:rsidRPr="00C954DF">
        <w:t xml:space="preserve">3 mg/kg bw/day or 336 cm²/kg bw/day. </w:t>
      </w:r>
      <w:r>
        <w:t>As such,</w:t>
      </w:r>
      <w:r w:rsidRPr="00C954DF">
        <w:t xml:space="preserve"> </w:t>
      </w:r>
      <w:r>
        <w:t>the 67</w:t>
      </w:r>
      <w:r w:rsidRPr="00C954DF">
        <w:t>3 mg/kg bw/day or 336 cm²/kg bw/day</w:t>
      </w:r>
      <w:r>
        <w:t xml:space="preserve"> exposure values would still ensure safety of ingredients for these circumstances. </w:t>
      </w:r>
    </w:p>
    <w:p w14:paraId="276F4497" w14:textId="77777777" w:rsidR="00185B3B" w:rsidRPr="0089151C" w:rsidRDefault="00185B3B" w:rsidP="00185B3B">
      <w:pPr>
        <w:rPr>
          <w:b/>
          <w:bCs/>
        </w:rPr>
      </w:pPr>
      <w:r w:rsidRPr="0089151C">
        <w:rPr>
          <w:b/>
          <w:bCs/>
        </w:rPr>
        <w:t>Exposure assumptions for toddlers</w:t>
      </w:r>
    </w:p>
    <w:p w14:paraId="72A7190A" w14:textId="77777777" w:rsidR="00185B3B" w:rsidRDefault="00185B3B" w:rsidP="00185B3B">
      <w:r w:rsidRPr="00BA648F">
        <w:t xml:space="preserve">Some industry </w:t>
      </w:r>
      <w:r>
        <w:t>respondents</w:t>
      </w:r>
      <w:r w:rsidRPr="00BA648F">
        <w:t xml:space="preserve"> supported the ASEM scenarios but had concerns about the assumptions made in establishing the highest estimated average daily sunscreen exposure for to</w:t>
      </w:r>
      <w:r>
        <w:t>d</w:t>
      </w:r>
      <w:r w:rsidRPr="00BA648F">
        <w:t>d</w:t>
      </w:r>
      <w:r>
        <w:t>l</w:t>
      </w:r>
      <w:r w:rsidRPr="00BA648F">
        <w:t xml:space="preserve">ers aged 1-2 in Scenarios 3. These </w:t>
      </w:r>
      <w:r>
        <w:t>respondents</w:t>
      </w:r>
      <w:r w:rsidRPr="00BA648F">
        <w:t xml:space="preserve"> suggested that </w:t>
      </w:r>
      <w:r>
        <w:t>toddlers</w:t>
      </w:r>
      <w:r w:rsidRPr="00BA648F">
        <w:t xml:space="preserve"> would not have </w:t>
      </w:r>
      <w:r>
        <w:t xml:space="preserve">enough sun exposure requiring </w:t>
      </w:r>
      <w:r w:rsidRPr="00BA648F">
        <w:t>3 applications of sunscreen a day</w:t>
      </w:r>
      <w:r>
        <w:t xml:space="preserve"> (as per Scenario 3)</w:t>
      </w:r>
      <w:r w:rsidRPr="00BA648F">
        <w:t xml:space="preserve"> due to</w:t>
      </w:r>
      <w:r>
        <w:t xml:space="preserve"> typical daily schedules that include naps, eating, baths and indoor play. Instead, they suggested 1-2 applications of sunscreen daily were more realistic. </w:t>
      </w:r>
    </w:p>
    <w:p w14:paraId="0F7879B7" w14:textId="77777777" w:rsidR="00185B3B" w:rsidRPr="0065457F" w:rsidRDefault="00185B3B" w:rsidP="00185B3B">
      <w:pPr>
        <w:rPr>
          <w:u w:val="single"/>
        </w:rPr>
      </w:pPr>
      <w:r>
        <w:t>As discussed in the consultation</w:t>
      </w:r>
      <w:r w:rsidRPr="00720D40">
        <w:t xml:space="preserve"> paper</w:t>
      </w:r>
      <w:r>
        <w:t>,</w:t>
      </w:r>
      <w:r w:rsidRPr="00720D40">
        <w:t xml:space="preserve"> </w:t>
      </w:r>
      <w:r>
        <w:t xml:space="preserve">3 sunscreen </w:t>
      </w:r>
      <w:r w:rsidRPr="00720D40">
        <w:t>application</w:t>
      </w:r>
      <w:r>
        <w:t>s per day for Scenario 3 was</w:t>
      </w:r>
      <w:r w:rsidRPr="00720D40">
        <w:t xml:space="preserve"> derived from Australian resear</w:t>
      </w:r>
      <w:r>
        <w:t>ch</w:t>
      </w:r>
      <w:r w:rsidRPr="00720D40">
        <w:t xml:space="preserve"> reporting on </w:t>
      </w:r>
      <w:r>
        <w:t xml:space="preserve">actual sunscreen practices </w:t>
      </w:r>
      <w:r w:rsidRPr="00720D40">
        <w:t xml:space="preserve">followed by 1,189 </w:t>
      </w:r>
      <w:r w:rsidRPr="00720D40">
        <w:rPr>
          <w:rFonts w:eastAsia="Times New Roman" w:cs="Arial"/>
        </w:rPr>
        <w:t xml:space="preserve">Australian </w:t>
      </w:r>
      <w:r w:rsidRPr="00720D40">
        <w:t xml:space="preserve">SunSmart </w:t>
      </w:r>
      <w:r w:rsidRPr="00720D40">
        <w:rPr>
          <w:rFonts w:eastAsia="Times New Roman" w:cs="Arial"/>
        </w:rPr>
        <w:t>early childhood centres</w:t>
      </w:r>
      <w:r w:rsidRPr="00720D40">
        <w:rPr>
          <w:rFonts w:cs="Arial"/>
        </w:rPr>
        <w:t>,</w:t>
      </w:r>
      <w:r w:rsidRPr="00720D40">
        <w:rPr>
          <w:rFonts w:eastAsia="Times New Roman" w:cs="Arial"/>
        </w:rPr>
        <w:t xml:space="preserve"> surveyed in the 2018 National Early Childhood Sun Protection Policy and Practice Survey</w:t>
      </w:r>
      <w:r w:rsidRPr="00720D40">
        <w:rPr>
          <w:rFonts w:cs="Arial"/>
        </w:rPr>
        <w:t xml:space="preserve">. It should also be noted that the study revealed a proportion of services (ranging from 4-20% across Australia) also applied sunscreens 4 times a day, </w:t>
      </w:r>
      <w:r w:rsidRPr="007E7802">
        <w:t>however th</w:t>
      </w:r>
      <w:r>
        <w:t xml:space="preserve">is frequency was not utilised in Scenario 3 as it </w:t>
      </w:r>
      <w:r w:rsidRPr="007E7802">
        <w:t>would</w:t>
      </w:r>
      <w:r>
        <w:t xml:space="preserve"> likely</w:t>
      </w:r>
      <w:r w:rsidRPr="007E7802">
        <w:t xml:space="preserve"> result in an overestimation of majority practice. </w:t>
      </w:r>
      <w:r>
        <w:t>The calculations used in the ASEM were based on</w:t>
      </w:r>
      <w:r w:rsidRPr="007E7802">
        <w:t xml:space="preserve"> empirical evidence rather than assumptions relating to periods of daily sun exposure</w:t>
      </w:r>
      <w:r>
        <w:t xml:space="preserve"> or generalised routines. Additionally, sunscreen application frequency does not necessarily correlate with total time exposed to the sun i.e. smaller individual time periods of sun exposure when the </w:t>
      </w:r>
      <w:r w:rsidRPr="002C1723">
        <w:t>UV</w:t>
      </w:r>
      <w:r>
        <w:t xml:space="preserve"> index</w:t>
      </w:r>
      <w:r w:rsidRPr="002C1723">
        <w:t xml:space="preserve"> is 3 or above </w:t>
      </w:r>
      <w:r>
        <w:t xml:space="preserve">(which can be year-round in parts of Australia) may necessitate multiple sunscreen applications for each period of sun exposure. </w:t>
      </w:r>
    </w:p>
    <w:p w14:paraId="1BE2164F" w14:textId="3F2B8626" w:rsidR="00185B3B" w:rsidRDefault="00185B3B" w:rsidP="00185B3B">
      <w:r w:rsidRPr="00BA648F">
        <w:t xml:space="preserve">Some </w:t>
      </w:r>
      <w:r>
        <w:t>respondents</w:t>
      </w:r>
      <w:r w:rsidRPr="00BA648F">
        <w:t xml:space="preserve"> </w:t>
      </w:r>
      <w:r>
        <w:t>expressed</w:t>
      </w:r>
      <w:r w:rsidRPr="00BA648F">
        <w:t xml:space="preserve"> concerns about the assumptions made in establishing the highest estimated average daily sunscreen exposure in Scenario </w:t>
      </w:r>
      <w:r>
        <w:t>5, suggesting that one day a weekend may not sufficiently reflect</w:t>
      </w:r>
      <w:r w:rsidR="002F6FAC">
        <w:t xml:space="preserve"> the</w:t>
      </w:r>
      <w:r>
        <w:t xml:space="preserve"> highest use case and that sun protective clothing portrays recommended behaviour rather </w:t>
      </w:r>
      <w:r w:rsidRPr="00A648AC">
        <w:t>than</w:t>
      </w:r>
      <w:r>
        <w:t xml:space="preserve"> what may be observed</w:t>
      </w:r>
      <w:r w:rsidRPr="00A648AC">
        <w:t xml:space="preserve">. </w:t>
      </w:r>
      <w:r>
        <w:t>The TGA</w:t>
      </w:r>
      <w:r w:rsidRPr="00720D40">
        <w:t xml:space="preserve"> appreciates that the perception</w:t>
      </w:r>
      <w:r>
        <w:t>,</w:t>
      </w:r>
      <w:r w:rsidRPr="00720D40">
        <w:t xml:space="preserve"> or reality</w:t>
      </w:r>
      <w:r>
        <w:t>,</w:t>
      </w:r>
      <w:r w:rsidRPr="00720D40">
        <w:t xml:space="preserve"> may differ from the assumptions of </w:t>
      </w:r>
      <w:r>
        <w:t xml:space="preserve">the </w:t>
      </w:r>
      <w:r w:rsidRPr="00720D40">
        <w:t xml:space="preserve">ASEM scenarios, </w:t>
      </w:r>
      <w:r>
        <w:t xml:space="preserve">as </w:t>
      </w:r>
      <w:r w:rsidRPr="00720D40">
        <w:t>the</w:t>
      </w:r>
      <w:r>
        <w:t>y are also des</w:t>
      </w:r>
      <w:r w:rsidRPr="00720D40">
        <w:t xml:space="preserve">igned </w:t>
      </w:r>
      <w:r>
        <w:t xml:space="preserve">to account for </w:t>
      </w:r>
      <w:r w:rsidRPr="00720D40">
        <w:t xml:space="preserve">Australian recommendations and public health messaging rather than </w:t>
      </w:r>
      <w:r>
        <w:t>solely</w:t>
      </w:r>
      <w:r w:rsidRPr="00720D40">
        <w:t xml:space="preserve"> habits and practices. This </w:t>
      </w:r>
      <w:r>
        <w:t xml:space="preserve">provides </w:t>
      </w:r>
      <w:r w:rsidRPr="00720D40">
        <w:t xml:space="preserve">a standardised approach </w:t>
      </w:r>
      <w:r>
        <w:t xml:space="preserve">to ensure </w:t>
      </w:r>
      <w:r w:rsidRPr="00720D40">
        <w:t xml:space="preserve">regulatory certainty. </w:t>
      </w:r>
      <w:r>
        <w:t xml:space="preserve">The currently proposed </w:t>
      </w:r>
      <w:r>
        <w:rPr>
          <w:rStyle w:val="ui-provider"/>
        </w:rPr>
        <w:t>highest estimated average daily sunscreen exposure is based on a high use situation in toddlers (annually) which provides a conservative estimate that is sufficient to cover for variability in sunscreen use among different population groups. T</w:t>
      </w:r>
      <w:r>
        <w:t>he TGA observes that even slight modifications to Scenario 5</w:t>
      </w:r>
      <w:r w:rsidRPr="007048E8">
        <w:t xml:space="preserve"> would not </w:t>
      </w:r>
      <w:r>
        <w:t xml:space="preserve">have a </w:t>
      </w:r>
      <w:r w:rsidRPr="007048E8">
        <w:t xml:space="preserve">significant impact </w:t>
      </w:r>
      <w:r>
        <w:t xml:space="preserve">on </w:t>
      </w:r>
      <w:r w:rsidRPr="007048E8">
        <w:t>the overall exposure values, as Scenario 3 (which already accounts for short clothing</w:t>
      </w:r>
      <w:r>
        <w:t xml:space="preserve"> and 3 application per day across 240 days</w:t>
      </w:r>
      <w:r w:rsidRPr="007048E8">
        <w:t xml:space="preserve">) constitutes the predominant exposure for toddlers annually. </w:t>
      </w:r>
    </w:p>
    <w:p w14:paraId="4B7E8A59" w14:textId="77777777" w:rsidR="00185B3B" w:rsidRPr="007048E8" w:rsidRDefault="00185B3B" w:rsidP="00185B3B">
      <w:pPr>
        <w:rPr>
          <w:u w:val="single"/>
        </w:rPr>
      </w:pPr>
      <w:r>
        <w:t>Considering the reasons above, and that the majority of respondents agreed with the highest estimated average daily sunscreen exposure calculations, ASEM assumptions and ASEM scenarios, the TGA has maintained the overall exposure estimates for the Scenarios.</w:t>
      </w:r>
    </w:p>
    <w:p w14:paraId="508E5445" w14:textId="77777777" w:rsidR="00185B3B" w:rsidRPr="0089151C" w:rsidRDefault="00185B3B" w:rsidP="00185B3B">
      <w:pPr>
        <w:rPr>
          <w:b/>
          <w:bCs/>
        </w:rPr>
      </w:pPr>
      <w:r w:rsidRPr="0089151C">
        <w:rPr>
          <w:b/>
          <w:bCs/>
        </w:rPr>
        <w:t>Flexibility of the ASEM compared with the SCCS</w:t>
      </w:r>
    </w:p>
    <w:p w14:paraId="7F43B008" w14:textId="3D67AF1C" w:rsidR="00185B3B" w:rsidRDefault="00185B3B" w:rsidP="00185B3B">
      <w:r w:rsidRPr="00C954DF">
        <w:t>One respondent commented that the ASEM is a good model with clear rational and accurately reflect</w:t>
      </w:r>
      <w:r w:rsidR="004637D2">
        <w:t>s</w:t>
      </w:r>
      <w:r w:rsidRPr="00C954DF">
        <w:t xml:space="preserve"> consumer use of sunscreens. However, they preferred the SCCS model</w:t>
      </w:r>
      <w:r>
        <w:t xml:space="preserve"> (Option 2)</w:t>
      </w:r>
      <w:r w:rsidRPr="00C954DF">
        <w:t xml:space="preserve">, suggesting </w:t>
      </w:r>
      <w:r>
        <w:t>i</w:t>
      </w:r>
      <w:r w:rsidR="004637D2">
        <w:t>t</w:t>
      </w:r>
      <w:r w:rsidRPr="00C954DF">
        <w:t xml:space="preserve"> is more flexible</w:t>
      </w:r>
      <w:r>
        <w:t xml:space="preserve"> than the ASEM. They assumed the ASEM </w:t>
      </w:r>
      <w:r w:rsidRPr="00C954DF">
        <w:t>would be legislated and could not be updated if scientific information changes, potentially making the methods used obsolete, unlike the SCCS model, which is provided as guidance.</w:t>
      </w:r>
      <w:r>
        <w:t xml:space="preserve"> </w:t>
      </w:r>
    </w:p>
    <w:p w14:paraId="62C5225C" w14:textId="030FCC4E" w:rsidR="00185B3B" w:rsidRPr="00C954DF" w:rsidRDefault="00185B3B" w:rsidP="00185B3B">
      <w:r>
        <w:t>The TGA wishes to clarify that, a</w:t>
      </w:r>
      <w:r w:rsidRPr="00C954DF">
        <w:t xml:space="preserve">s stated in the consultation paper, the </w:t>
      </w:r>
      <w:r>
        <w:t xml:space="preserve">exposure calculations derived from the </w:t>
      </w:r>
      <w:r w:rsidRPr="00C954DF">
        <w:t xml:space="preserve">ASEM will be included in the Australian Regulatory Guidelines for Sunscreens </w:t>
      </w:r>
      <w:r>
        <w:t>not legislation. T</w:t>
      </w:r>
      <w:r w:rsidRPr="00C954DF">
        <w:t xml:space="preserve">he ASEM </w:t>
      </w:r>
      <w:r>
        <w:t>can also be</w:t>
      </w:r>
      <w:r w:rsidRPr="00C954DF">
        <w:t xml:space="preserve"> flexible </w:t>
      </w:r>
      <w:r>
        <w:t xml:space="preserve">to </w:t>
      </w:r>
      <w:r w:rsidRPr="00C954DF">
        <w:t xml:space="preserve">accommodate </w:t>
      </w:r>
      <w:r>
        <w:t xml:space="preserve">for </w:t>
      </w:r>
      <w:r w:rsidRPr="00C954DF">
        <w:t xml:space="preserve">new usage scenario </w:t>
      </w:r>
      <w:r>
        <w:t xml:space="preserve">(as described above </w:t>
      </w:r>
      <w:r w:rsidRPr="00C954DF">
        <w:t>for facial sunscreen products</w:t>
      </w:r>
      <w:r>
        <w:t>)</w:t>
      </w:r>
      <w:r w:rsidRPr="00C954DF">
        <w:t>.</w:t>
      </w:r>
    </w:p>
    <w:p w14:paraId="3FC3FC36" w14:textId="77777777" w:rsidR="00185B3B" w:rsidRPr="0089151C" w:rsidRDefault="00185B3B" w:rsidP="00185B3B">
      <w:pPr>
        <w:rPr>
          <w:b/>
          <w:bCs/>
        </w:rPr>
      </w:pPr>
      <w:r w:rsidRPr="0089151C">
        <w:rPr>
          <w:b/>
          <w:bCs/>
        </w:rPr>
        <w:t>Weather assumption used in ASEM scenarios</w:t>
      </w:r>
    </w:p>
    <w:p w14:paraId="5CAF86D2" w14:textId="77777777" w:rsidR="00185B3B" w:rsidRPr="00C954DF" w:rsidRDefault="00185B3B" w:rsidP="00185B3B">
      <w:r w:rsidRPr="00C954DF">
        <w:t>Four respondents recommended that the TGA consider extreme and/or above-average temperatures when estimating the days sunscreens are being used in Scenario</w:t>
      </w:r>
      <w:r>
        <w:t>s</w:t>
      </w:r>
      <w:r w:rsidRPr="00C954DF">
        <w:t xml:space="preserve"> 5 and 6. These respondents noted that most outdoor activity occurs during the winter months in northern Australia</w:t>
      </w:r>
      <w:r>
        <w:t>, while</w:t>
      </w:r>
      <w:r w:rsidRPr="00C954DF">
        <w:t xml:space="preserve"> acknowledg</w:t>
      </w:r>
      <w:r>
        <w:t>ing</w:t>
      </w:r>
      <w:r w:rsidRPr="00C954DF">
        <w:t xml:space="preserve"> the ASEM calculations may not change. </w:t>
      </w:r>
    </w:p>
    <w:p w14:paraId="54D41302" w14:textId="77777777" w:rsidR="00185B3B" w:rsidRPr="009278A7" w:rsidRDefault="00185B3B" w:rsidP="00185B3B">
      <w:r w:rsidRPr="00630559">
        <w:t xml:space="preserve">While the exposure calculations were </w:t>
      </w:r>
      <w:r w:rsidRPr="007F6A48">
        <w:t xml:space="preserve">calculated for one day each weekend over a 6-month period from October to April, </w:t>
      </w:r>
      <w:r>
        <w:t xml:space="preserve">a similar time period may </w:t>
      </w:r>
      <w:r w:rsidRPr="007F6A48">
        <w:t>be considered for other regions</w:t>
      </w:r>
      <w:r>
        <w:t xml:space="preserve"> in winter months due to less extreme weather. </w:t>
      </w:r>
      <w:r w:rsidRPr="00C954DF">
        <w:t>As noted</w:t>
      </w:r>
      <w:r>
        <w:t xml:space="preserve">, </w:t>
      </w:r>
      <w:r w:rsidRPr="00C954DF">
        <w:t xml:space="preserve">this amendment </w:t>
      </w:r>
      <w:r>
        <w:t>would</w:t>
      </w:r>
      <w:r w:rsidRPr="00C954DF">
        <w:t xml:space="preserve"> not alter the ASEM calculations. </w:t>
      </w:r>
    </w:p>
    <w:p w14:paraId="66EA2311" w14:textId="77777777" w:rsidR="00185B3B" w:rsidRPr="0089151C" w:rsidRDefault="00185B3B" w:rsidP="00185B3B">
      <w:pPr>
        <w:rPr>
          <w:b/>
          <w:bCs/>
        </w:rPr>
      </w:pPr>
      <w:r w:rsidRPr="0089151C">
        <w:rPr>
          <w:b/>
          <w:bCs/>
        </w:rPr>
        <w:t>Barriers to trade</w:t>
      </w:r>
    </w:p>
    <w:p w14:paraId="3F50403B" w14:textId="77777777" w:rsidR="00185B3B" w:rsidRPr="00C4153E" w:rsidRDefault="00185B3B" w:rsidP="00185B3B">
      <w:r>
        <w:t xml:space="preserve">Some industry respondents raised concerns that Australian-specific assessments could create trade barriers for European products. Different allowable concentrations in various countries may impact the supply of certain ingredients. These respondents emphasised the need to ensure a sufficient range of sunscreen active ingredients to formulate very high SPF products </w:t>
      </w:r>
      <w:r w:rsidRPr="00C4153E">
        <w:t>without compromising safety.</w:t>
      </w:r>
    </w:p>
    <w:p w14:paraId="04BCF759" w14:textId="77777777" w:rsidR="00185B3B" w:rsidRDefault="00185B3B" w:rsidP="00185B3B">
      <w:r w:rsidRPr="00C4153E">
        <w:t xml:space="preserve">The consultation paper highlighted the differences between Australian environmental and cultural conditions and the regulatory framework for sunscreens compared to Europe. It stressed the importance of having an assessment process tailored to Australia's needs. Given that Australia has the highest incidence of skin cancer in the world, sunscreens designed primarily for UV protection are regulated as therapeutic goods with </w:t>
      </w:r>
      <w:r>
        <w:t>different</w:t>
      </w:r>
      <w:r w:rsidRPr="00C4153E">
        <w:t xml:space="preserve"> compliance standards, unlike some sunscreens overseas that may be regulated as cosmetics.</w:t>
      </w:r>
      <w:r>
        <w:t xml:space="preserve"> </w:t>
      </w:r>
      <w:r w:rsidRPr="00C4153E">
        <w:t>These differences can affect conclusions about the safety of ingredients, including approval of higher permitted concentrations in Australia compared to other countries. In contrast, alignment of international assessments may sometimes result in reduced availability of safe sunscreen ingredients in Australia. To ensure safe sunscreen active ingredients are not restricted from being used in Australian products, the TGA makes regulatory decisions following a careful analysis of the latest scientific evidence, tailored to Australia's distinct environmental conditions, health requirements, and regulatory framework.</w:t>
      </w:r>
    </w:p>
    <w:p w14:paraId="6069B1A0" w14:textId="77777777" w:rsidR="00185B3B" w:rsidRPr="0089151C" w:rsidRDefault="00185B3B" w:rsidP="003523EA">
      <w:pPr>
        <w:keepNext/>
        <w:rPr>
          <w:b/>
          <w:bCs/>
        </w:rPr>
      </w:pPr>
      <w:r w:rsidRPr="0089151C">
        <w:rPr>
          <w:b/>
          <w:bCs/>
        </w:rPr>
        <w:t>Clarity on preferred method used when dermal absorption is reported as both proportion (%) and absolute amount (</w:t>
      </w:r>
      <w:bookmarkStart w:id="153" w:name="_Hlk175823311"/>
      <w:r w:rsidRPr="0089151C">
        <w:rPr>
          <w:b/>
          <w:bCs/>
        </w:rPr>
        <w:t>µg/cm</w:t>
      </w:r>
      <w:r w:rsidRPr="0089151C">
        <w:rPr>
          <w:b/>
          <w:bCs/>
          <w:vertAlign w:val="superscript"/>
        </w:rPr>
        <w:t>2</w:t>
      </w:r>
      <w:bookmarkEnd w:id="153"/>
      <w:r w:rsidRPr="0089151C">
        <w:rPr>
          <w:b/>
          <w:bCs/>
        </w:rPr>
        <w:t>)</w:t>
      </w:r>
    </w:p>
    <w:p w14:paraId="51D02BFA" w14:textId="77777777" w:rsidR="00185B3B" w:rsidRPr="000F7CBD" w:rsidRDefault="00185B3B" w:rsidP="003523EA">
      <w:pPr>
        <w:keepNext/>
      </w:pPr>
      <w:r>
        <w:t>Several respondents sought clarification on which method of the ASEM will be used when dermal absorption data is provided as both a % and</w:t>
      </w:r>
      <w:r w:rsidRPr="00F31D83">
        <w:t xml:space="preserve"> </w:t>
      </w:r>
      <w:r w:rsidRPr="00961909">
        <w:t>µg/cm</w:t>
      </w:r>
      <w:r w:rsidRPr="00961909">
        <w:rPr>
          <w:vertAlign w:val="superscript"/>
        </w:rPr>
        <w:t>2</w:t>
      </w:r>
      <w:r w:rsidRPr="00F31D83">
        <w:t>.</w:t>
      </w:r>
      <w:r>
        <w:t xml:space="preserve"> These respondents emphasised the need for clear rules to determine which method will be used.</w:t>
      </w:r>
      <w:r w:rsidRPr="000F7CBD">
        <w:t xml:space="preserve"> </w:t>
      </w:r>
    </w:p>
    <w:p w14:paraId="3A340264" w14:textId="77777777" w:rsidR="00185B3B" w:rsidRPr="00570A22" w:rsidRDefault="00185B3B" w:rsidP="00185B3B">
      <w:r>
        <w:t xml:space="preserve">The choice of </w:t>
      </w:r>
      <w:r w:rsidRPr="00570A22">
        <w:t>dermal absorption factor and method of calculation (i.e. Method 1 vs Method 2)</w:t>
      </w:r>
      <w:r>
        <w:t xml:space="preserve"> </w:t>
      </w:r>
      <w:r w:rsidRPr="00570A22">
        <w:t>depends on the type and quality of the data available for establishing the dermal absorption potential of the ingredient under consideration.</w:t>
      </w:r>
      <w:r>
        <w:t xml:space="preserve"> </w:t>
      </w:r>
      <w:r w:rsidRPr="00570A22">
        <w:t>In general, there is no preference for use of Method 1 or Method 2 as the ASEM approach results in the same risk quantification (i.e. same MoS values) irrespective of whether dermal absorption is quantified in μg/cm² (Method 2) or as a percentage (Method 1) when the test formulation is applied at a thickness of 2 mg/cm</w:t>
      </w:r>
      <w:r w:rsidRPr="00570A22">
        <w:rPr>
          <w:vertAlign w:val="superscript"/>
        </w:rPr>
        <w:t>2</w:t>
      </w:r>
      <w:r w:rsidRPr="00570A22">
        <w:t xml:space="preserve"> in the dermal absorption study (compliant with OECD 428 – Guideline for Skin Absorption: </w:t>
      </w:r>
      <w:r w:rsidRPr="00570A22">
        <w:rPr>
          <w:i/>
          <w:iCs/>
        </w:rPr>
        <w:t>in vitro</w:t>
      </w:r>
      <w:r w:rsidRPr="00570A22">
        <w:t xml:space="preserve"> method).</w:t>
      </w:r>
    </w:p>
    <w:p w14:paraId="784C97BB" w14:textId="77777777" w:rsidR="00185B3B" w:rsidRDefault="00185B3B" w:rsidP="00185B3B">
      <w:r w:rsidRPr="00570A22">
        <w:t xml:space="preserve">Dermal absorption studies (compliant with OECD 428) typically express results as both an absolute amount (i.e. µg/cm²) and a relative amount (percentage) and stipulate an application rate of 1-5 mg/cm² to mimic realistic human exposure. While 2 mg/cm² is the thickness of applied sunscreen needed to achieve the labelled SPF rating, studies </w:t>
      </w:r>
      <w:r>
        <w:t>often apply</w:t>
      </w:r>
      <w:r w:rsidRPr="00570A22">
        <w:t xml:space="preserve"> the test formulation at 3, 4, or 5 mg/cm² instead. </w:t>
      </w:r>
      <w:r>
        <w:t>The SCCS notes for guidance for testing of cosmetic ingredients (12</w:t>
      </w:r>
      <w:r w:rsidRPr="00961909">
        <w:rPr>
          <w:vertAlign w:val="superscript"/>
        </w:rPr>
        <w:t>th</w:t>
      </w:r>
      <w:r>
        <w:t xml:space="preserve"> Rev) also state that </w:t>
      </w:r>
      <w:r w:rsidRPr="00961909">
        <w:rPr>
          <w:i/>
          <w:iCs/>
        </w:rPr>
        <w:t>in vitro</w:t>
      </w:r>
      <w:r>
        <w:t xml:space="preserve"> measurements using less than 2 mg/cm² are not technically feasible. The SCCS guidance on basic criteria for the in vitro assessment of dermal absorption recommends a 2-5 mg/cm</w:t>
      </w:r>
      <w:r w:rsidRPr="00961909">
        <w:rPr>
          <w:vertAlign w:val="superscript"/>
        </w:rPr>
        <w:t>2</w:t>
      </w:r>
      <w:r>
        <w:t xml:space="preserve"> dose of test formulation. </w:t>
      </w:r>
      <w:r w:rsidRPr="00570A22">
        <w:t>This can cause variability in the risk quantification (i.e. MoS calculation) between Method 1 and 2 since the reported absolute amount absorbed will be a different percent of 3, 4, or 5 mg/cm² application rate versus that of a 2 mg/cm² application</w:t>
      </w:r>
      <w:r>
        <w:t xml:space="preserve"> </w:t>
      </w:r>
      <w:r w:rsidRPr="009278A7">
        <w:t>(as highlighted in Attachment 3 of the consultation paper)</w:t>
      </w:r>
      <w:r w:rsidRPr="00570A22">
        <w:t>.</w:t>
      </w:r>
    </w:p>
    <w:p w14:paraId="2D65E63C" w14:textId="77777777" w:rsidR="00185B3B" w:rsidRPr="00B57821" w:rsidRDefault="00185B3B" w:rsidP="00185B3B">
      <w:r w:rsidRPr="00B57821">
        <w:t>Where an application rate greater than 2 mg/cm</w:t>
      </w:r>
      <w:r w:rsidRPr="00B57821">
        <w:rPr>
          <w:vertAlign w:val="superscript"/>
        </w:rPr>
        <w:t>2</w:t>
      </w:r>
      <w:r w:rsidRPr="00B57821">
        <w:t xml:space="preserve"> is used in the dermal absorption study, the absolute amount (µg/cm²) may be used when calculating the systemic exposure for risk assessments</w:t>
      </w:r>
      <w:r>
        <w:t xml:space="preserve"> </w:t>
      </w:r>
      <w:r w:rsidRPr="00B57821">
        <w:t xml:space="preserve">in order to minimise this variability. This is particularly important since it is known that the efficiency of absorption may remain the same or change as the concentration on the skin increases for some chemicals. For chemicals that penetrate the skin rapidly, the total amount of chemical absorbed increases as the dosage increases. Conversely, for chemicals that penetrate very slowly, the rate of penetration and the surface area exposed will have a greater influence on the systemic absorption dose than the extent of dermal deposition. </w:t>
      </w:r>
    </w:p>
    <w:p w14:paraId="393E44AB" w14:textId="5F5C7F23" w:rsidR="00185B3B" w:rsidRDefault="00185B3B" w:rsidP="00185B3B">
      <w:r w:rsidRPr="00B57821">
        <w:t xml:space="preserve">Since the efficacy of sunscreen ingredients relies predominantly on their ability to persist on the skin (including the top layers of the skin), they are </w:t>
      </w:r>
      <w:r>
        <w:t>likely</w:t>
      </w:r>
      <w:r w:rsidRPr="00B57821">
        <w:t xml:space="preserve"> to penetrate very slowly (or ideally not penetrate). </w:t>
      </w:r>
      <w:r>
        <w:t>S</w:t>
      </w:r>
      <w:r w:rsidRPr="00B57821">
        <w:t xml:space="preserve">uggesting that the total amount of chemical systemically absorbed </w:t>
      </w:r>
      <w:r w:rsidRPr="007F6A48">
        <w:t>may not be</w:t>
      </w:r>
      <w:r w:rsidRPr="00B57821">
        <w:t xml:space="preserve"> proportional to the dermal dose/deposition.</w:t>
      </w:r>
      <w:r>
        <w:t xml:space="preserve"> Hence using the dermal absorption factor expressed as a proportion (i.e. %) may not be appropriate for </w:t>
      </w:r>
      <w:r w:rsidR="004637D2">
        <w:t xml:space="preserve">some </w:t>
      </w:r>
      <w:r>
        <w:t xml:space="preserve">sunscreen ingredients.  </w:t>
      </w:r>
    </w:p>
    <w:p w14:paraId="24DD28CB" w14:textId="77777777" w:rsidR="00185B3B" w:rsidRPr="0089151C" w:rsidRDefault="00185B3B" w:rsidP="00185B3B">
      <w:pPr>
        <w:rPr>
          <w:b/>
          <w:bCs/>
        </w:rPr>
      </w:pPr>
      <w:r w:rsidRPr="0089151C">
        <w:rPr>
          <w:b/>
          <w:bCs/>
        </w:rPr>
        <w:t xml:space="preserve">Clarity on use of annual average instead of lifetime average for daily dose calculations </w:t>
      </w:r>
    </w:p>
    <w:p w14:paraId="5372B0F6" w14:textId="77777777" w:rsidR="00185B3B" w:rsidRDefault="00185B3B" w:rsidP="00185B3B">
      <w:pPr>
        <w:rPr>
          <w:u w:val="single"/>
        </w:rPr>
      </w:pPr>
      <w:r>
        <w:t xml:space="preserve">Some respondents queried why an annual average daily dose was calculated instead of a lifetime average daily dose in the ASEM. These respondents did not express a preference for either calculation method. Estimating sunscreen use is highly complex, as sunscreen use patterns vary among individuals based on several factors as discussed in detail in the consultation paper. A yearly model was utilised </w:t>
      </w:r>
      <w:r w:rsidRPr="00A63943">
        <w:t>to account for the variability across weekday and weekend activity, and annual weather conditions. It is important to note, that while the ASEM calculates average daily exposure based on an annual sunscreen use pattern, this still allows for risk assessments that ensure safety of long-term sunscreen use throughout life.</w:t>
      </w:r>
      <w:r>
        <w:t xml:space="preserve"> </w:t>
      </w:r>
    </w:p>
    <w:p w14:paraId="71FBB690" w14:textId="77777777" w:rsidR="00185B3B" w:rsidRPr="0089151C" w:rsidRDefault="00185B3B" w:rsidP="00185B3B">
      <w:pPr>
        <w:rPr>
          <w:b/>
          <w:bCs/>
        </w:rPr>
      </w:pPr>
      <w:r w:rsidRPr="0089151C">
        <w:rPr>
          <w:b/>
          <w:bCs/>
        </w:rPr>
        <w:t>Other comments</w:t>
      </w:r>
    </w:p>
    <w:p w14:paraId="6097B36A" w14:textId="77777777" w:rsidR="00185B3B" w:rsidRPr="00C13A27" w:rsidRDefault="00185B3B" w:rsidP="00185B3B">
      <w:r>
        <w:t xml:space="preserve">A number of comments were received </w:t>
      </w:r>
      <w:r w:rsidRPr="00C13A27">
        <w:t xml:space="preserve">about </w:t>
      </w:r>
      <w:r>
        <w:t xml:space="preserve">the </w:t>
      </w:r>
      <w:r w:rsidRPr="00C13A27">
        <w:t xml:space="preserve">risk assessment </w:t>
      </w:r>
      <w:r>
        <w:t>process,</w:t>
      </w:r>
      <w:r w:rsidRPr="00C13A27">
        <w:t xml:space="preserve"> </w:t>
      </w:r>
      <w:r>
        <w:t xml:space="preserve">such as the </w:t>
      </w:r>
      <w:r w:rsidRPr="00C13A27">
        <w:t>MOS</w:t>
      </w:r>
      <w:r>
        <w:t xml:space="preserve"> calculations </w:t>
      </w:r>
      <w:r w:rsidRPr="00C13A27">
        <w:t xml:space="preserve">and </w:t>
      </w:r>
      <w:r>
        <w:t>pharmacokinetic considerations. These are part of the risk assessment process and are separate to the external sunscreen exposure modelling proposed in the consultation. However, t</w:t>
      </w:r>
      <w:r w:rsidRPr="00C13A27">
        <w:t xml:space="preserve">hese </w:t>
      </w:r>
      <w:r>
        <w:t>matters are</w:t>
      </w:r>
      <w:r w:rsidRPr="00C13A27">
        <w:t xml:space="preserve"> </w:t>
      </w:r>
      <w:r w:rsidRPr="00F0117D">
        <w:t>considered</w:t>
      </w:r>
      <w:r w:rsidRPr="00C13A27">
        <w:t xml:space="preserve"> </w:t>
      </w:r>
      <w:r>
        <w:t>during the risk assessment and depend on the available data</w:t>
      </w:r>
      <w:r w:rsidRPr="00C13A27">
        <w:t>.</w:t>
      </w:r>
      <w:r>
        <w:t xml:space="preserve"> Further guidance is proposed to be included in an update to the ARGS to clarify queries received in this consultation. </w:t>
      </w:r>
      <w:r w:rsidRPr="00C13A27">
        <w:t xml:space="preserve"> </w:t>
      </w:r>
    </w:p>
    <w:p w14:paraId="643EAAA7" w14:textId="59195F37" w:rsidR="00364E96" w:rsidRPr="0089151C" w:rsidRDefault="00364E96" w:rsidP="00364E96">
      <w:pPr>
        <w:rPr>
          <w:b/>
          <w:bCs/>
        </w:rPr>
      </w:pPr>
      <w:r w:rsidRPr="0089151C">
        <w:rPr>
          <w:b/>
          <w:bCs/>
        </w:rPr>
        <w:t>Summary of TGA response</w:t>
      </w:r>
    </w:p>
    <w:p w14:paraId="0890056F" w14:textId="2EB6CA62" w:rsidR="00364E96" w:rsidRPr="00513099" w:rsidRDefault="00364E96" w:rsidP="00364E96">
      <w:r>
        <w:t>Stakeholder feedback from the extensive targeted and public consultation</w:t>
      </w:r>
      <w:r w:rsidRPr="00673425">
        <w:t xml:space="preserve"> has </w:t>
      </w:r>
      <w:r>
        <w:t xml:space="preserve">enabled refinement of the ASEM and </w:t>
      </w:r>
      <w:r w:rsidRPr="00673425">
        <w:t xml:space="preserve">shaped the options </w:t>
      </w:r>
      <w:r>
        <w:t xml:space="preserve">proposed in this paper. </w:t>
      </w:r>
    </w:p>
    <w:p w14:paraId="749A3711" w14:textId="26DE6B38" w:rsidR="00513099" w:rsidRDefault="00E36A85" w:rsidP="00D521AD">
      <w:r>
        <w:t xml:space="preserve">Following pre-consultation, where stakeholders agreed on the need to develop an </w:t>
      </w:r>
      <w:r w:rsidR="00E92A53">
        <w:t>Australian-specific model</w:t>
      </w:r>
      <w:r>
        <w:t xml:space="preserve">, the TGA conducted extensive consultations to gather stakeholder views. During these consultations, the </w:t>
      </w:r>
      <w:r w:rsidR="00E92A53">
        <w:t>SCCS model</w:t>
      </w:r>
      <w:r>
        <w:t xml:space="preserve"> was considered, </w:t>
      </w:r>
      <w:r w:rsidR="00734875">
        <w:t>due to s</w:t>
      </w:r>
      <w:r>
        <w:t xml:space="preserve">takeholders operating both in the European market and </w:t>
      </w:r>
      <w:r w:rsidR="00E92A53">
        <w:t xml:space="preserve">Australia. </w:t>
      </w:r>
      <w:r>
        <w:t xml:space="preserve">However, there was broad agreement among stakeholders that the Australian Sunscreen Exposure Model was preferred. Notably, the TGA is unaware of any alternative models, and stakeholders did not provide any </w:t>
      </w:r>
      <w:r w:rsidR="005275E3">
        <w:t>alternative models</w:t>
      </w:r>
      <w:r w:rsidR="00734875">
        <w:t xml:space="preserve"> in their consultation responses</w:t>
      </w:r>
      <w:r>
        <w:t xml:space="preserve">.  </w:t>
      </w:r>
    </w:p>
    <w:p w14:paraId="61513444" w14:textId="77777777" w:rsidR="00364E96" w:rsidRDefault="00364E96" w:rsidP="00364E96">
      <w:r>
        <w:t>The TGA</w:t>
      </w:r>
      <w:r w:rsidRPr="00E319C5">
        <w:t xml:space="preserve"> ha</w:t>
      </w:r>
      <w:r>
        <w:t>s</w:t>
      </w:r>
      <w:r w:rsidRPr="00E319C5">
        <w:t xml:space="preserve"> considered all of the submissions and diverse stakeholder views, </w:t>
      </w:r>
      <w:r>
        <w:t>particularly noting the ability for</w:t>
      </w:r>
      <w:r w:rsidRPr="00E319C5">
        <w:t xml:space="preserve"> increase</w:t>
      </w:r>
      <w:r>
        <w:t>d</w:t>
      </w:r>
      <w:r w:rsidRPr="00E319C5">
        <w:t xml:space="preserve"> flexibility</w:t>
      </w:r>
      <w:r>
        <w:t xml:space="preserve"> that</w:t>
      </w:r>
      <w:r w:rsidRPr="00E319C5">
        <w:t xml:space="preserve"> </w:t>
      </w:r>
      <w:r>
        <w:t xml:space="preserve">allows </w:t>
      </w:r>
      <w:r w:rsidRPr="00E319C5">
        <w:t xml:space="preserve">the ASEM tool </w:t>
      </w:r>
      <w:r>
        <w:t xml:space="preserve">to be used for </w:t>
      </w:r>
      <w:r w:rsidRPr="00E319C5">
        <w:t xml:space="preserve">future risk assessments </w:t>
      </w:r>
      <w:r>
        <w:t xml:space="preserve">of </w:t>
      </w:r>
      <w:r w:rsidRPr="00E319C5">
        <w:t>different product types</w:t>
      </w:r>
      <w:r>
        <w:t>,</w:t>
      </w:r>
      <w:r w:rsidRPr="00E319C5">
        <w:t xml:space="preserve"> such as face-only sunscreens. </w:t>
      </w:r>
    </w:p>
    <w:p w14:paraId="58E6426A" w14:textId="0052A8B9" w:rsidR="00151B4C" w:rsidRDefault="00100B1C" w:rsidP="00A97C55">
      <w:pPr>
        <w:pStyle w:val="Heading2"/>
        <w:numPr>
          <w:ilvl w:val="0"/>
          <w:numId w:val="32"/>
        </w:numPr>
      </w:pPr>
      <w:bookmarkStart w:id="154" w:name="_Toc184730613"/>
      <w:r w:rsidRPr="007633D1">
        <w:t>What is the best option and how will it be implemented?</w:t>
      </w:r>
      <w:bookmarkEnd w:id="154"/>
    </w:p>
    <w:p w14:paraId="1CD49D1C" w14:textId="2CAC1D77" w:rsidR="00866388" w:rsidRDefault="004F2A8A" w:rsidP="00151B4C">
      <w:pPr>
        <w:pStyle w:val="Heading3"/>
      </w:pPr>
      <w:bookmarkStart w:id="155" w:name="_Comparison_of_Options"/>
      <w:bookmarkStart w:id="156" w:name="_Toc184730614"/>
      <w:bookmarkEnd w:id="155"/>
      <w:r>
        <w:t>Preferred option</w:t>
      </w:r>
      <w:bookmarkEnd w:id="156"/>
    </w:p>
    <w:p w14:paraId="7BF92BA0" w14:textId="77777777" w:rsidR="00513099" w:rsidRDefault="004F2A8A" w:rsidP="00513099">
      <w:r>
        <w:t>Th</w:t>
      </w:r>
      <w:r w:rsidRPr="00644369">
        <w:rPr>
          <w:rFonts w:cs="Arial"/>
        </w:rPr>
        <w:t>e TGA considers</w:t>
      </w:r>
      <w:r w:rsidR="00A67B68">
        <w:rPr>
          <w:rFonts w:cs="Arial"/>
        </w:rPr>
        <w:t xml:space="preserve"> that</w:t>
      </w:r>
      <w:r w:rsidRPr="00644369">
        <w:rPr>
          <w:rFonts w:cs="Arial"/>
        </w:rPr>
        <w:t xml:space="preserve"> Option 1</w:t>
      </w:r>
      <w:r w:rsidR="00A67B68">
        <w:rPr>
          <w:rFonts w:cs="Arial"/>
        </w:rPr>
        <w:t xml:space="preserve"> (ASEM)</w:t>
      </w:r>
      <w:r w:rsidRPr="00644369">
        <w:rPr>
          <w:rFonts w:cs="Arial"/>
        </w:rPr>
        <w:t xml:space="preserve"> is the preferr</w:t>
      </w:r>
      <w:r w:rsidR="00CA693C" w:rsidRPr="00644369">
        <w:rPr>
          <w:rFonts w:cs="Arial"/>
        </w:rPr>
        <w:t>ed option</w:t>
      </w:r>
      <w:r w:rsidR="00665EB3">
        <w:rPr>
          <w:rFonts w:cs="Arial"/>
        </w:rPr>
        <w:t xml:space="preserve">. </w:t>
      </w:r>
      <w:r w:rsidR="00513099" w:rsidRPr="00B32BE7">
        <w:t>There was broad in-principle</w:t>
      </w:r>
      <w:r w:rsidR="00513099">
        <w:t xml:space="preserve"> stakeholder </w:t>
      </w:r>
      <w:r w:rsidR="00513099" w:rsidRPr="00B32BE7">
        <w:t xml:space="preserve">support for the </w:t>
      </w:r>
      <w:r w:rsidR="00513099">
        <w:t>adoption of the ASEM (Option 1)</w:t>
      </w:r>
      <w:r w:rsidR="00513099" w:rsidRPr="00B32BE7">
        <w:t xml:space="preserve"> </w:t>
      </w:r>
      <w:r w:rsidR="00513099">
        <w:t>for</w:t>
      </w:r>
      <w:r w:rsidR="00513099" w:rsidRPr="00B32BE7">
        <w:t xml:space="preserve"> estimating sunscreen exposure </w:t>
      </w:r>
      <w:r w:rsidR="00513099">
        <w:t>when</w:t>
      </w:r>
      <w:r w:rsidR="00513099" w:rsidRPr="00B32BE7">
        <w:t xml:space="preserve"> conducting </w:t>
      </w:r>
      <w:r w:rsidR="00513099">
        <w:t xml:space="preserve">sunscreen ingredient </w:t>
      </w:r>
      <w:r w:rsidR="00513099" w:rsidRPr="00B32BE7">
        <w:t>risk assessments</w:t>
      </w:r>
      <w:r w:rsidR="00513099">
        <w:t xml:space="preserve">. No respondents supported Option 3 and only 3 respondents (primarily European cosmetic industry associations) preferred Option 2. </w:t>
      </w:r>
    </w:p>
    <w:p w14:paraId="5B95068B" w14:textId="77777777" w:rsidR="0089151C" w:rsidRDefault="001F76D0" w:rsidP="00644369">
      <w:pPr>
        <w:rPr>
          <w:rFonts w:cs="Arial"/>
        </w:rPr>
      </w:pPr>
      <w:r>
        <w:rPr>
          <w:rFonts w:cs="Arial"/>
        </w:rPr>
        <w:t>Option 1 provide</w:t>
      </w:r>
      <w:r w:rsidR="0089151C">
        <w:rPr>
          <w:rFonts w:cs="Arial"/>
        </w:rPr>
        <w:t>s</w:t>
      </w:r>
      <w:r>
        <w:rPr>
          <w:rFonts w:cs="Arial"/>
        </w:rPr>
        <w:t xml:space="preserve"> the greatest q</w:t>
      </w:r>
      <w:r w:rsidRPr="001F76D0">
        <w:rPr>
          <w:rFonts w:cs="Arial"/>
        </w:rPr>
        <w:t>ualitative reasons for</w:t>
      </w:r>
      <w:r>
        <w:rPr>
          <w:rFonts w:cs="Arial"/>
        </w:rPr>
        <w:t xml:space="preserve"> </w:t>
      </w:r>
      <w:r w:rsidR="0089151C">
        <w:rPr>
          <w:rFonts w:cs="Arial"/>
        </w:rPr>
        <w:t>adoption</w:t>
      </w:r>
      <w:r>
        <w:rPr>
          <w:rFonts w:cs="Arial"/>
        </w:rPr>
        <w:t xml:space="preserve"> compared to the other</w:t>
      </w:r>
      <w:r w:rsidR="0089151C">
        <w:rPr>
          <w:rFonts w:cs="Arial"/>
        </w:rPr>
        <w:t xml:space="preserve"> two</w:t>
      </w:r>
      <w:r>
        <w:rPr>
          <w:rFonts w:cs="Arial"/>
        </w:rPr>
        <w:t xml:space="preserve"> options.</w:t>
      </w:r>
      <w:r w:rsidRPr="001F76D0">
        <w:rPr>
          <w:rFonts w:cs="Arial"/>
        </w:rPr>
        <w:t xml:space="preserve"> </w:t>
      </w:r>
      <w:r w:rsidR="00644369">
        <w:rPr>
          <w:rFonts w:cs="Arial"/>
        </w:rPr>
        <w:t>T</w:t>
      </w:r>
      <w:r w:rsidR="005975FC" w:rsidRPr="00644369">
        <w:rPr>
          <w:rFonts w:cs="Arial"/>
        </w:rPr>
        <w:t xml:space="preserve">he </w:t>
      </w:r>
      <w:r w:rsidR="00687EB1" w:rsidRPr="00644369">
        <w:rPr>
          <w:rFonts w:cs="Arial"/>
        </w:rPr>
        <w:t>ASEM</w:t>
      </w:r>
      <w:r w:rsidR="00644369">
        <w:rPr>
          <w:rFonts w:cs="Arial"/>
        </w:rPr>
        <w:t xml:space="preserve"> </w:t>
      </w:r>
      <w:r w:rsidR="00687EB1" w:rsidRPr="00644369">
        <w:rPr>
          <w:rFonts w:cs="Arial"/>
        </w:rPr>
        <w:t>provide</w:t>
      </w:r>
      <w:r w:rsidR="00C9174A" w:rsidRPr="00644369">
        <w:rPr>
          <w:rFonts w:cs="Arial"/>
        </w:rPr>
        <w:t>s the greatest</w:t>
      </w:r>
      <w:r w:rsidR="00687EB1" w:rsidRPr="00644369">
        <w:rPr>
          <w:rFonts w:cs="Arial"/>
        </w:rPr>
        <w:t xml:space="preserve"> regulatory certainty </w:t>
      </w:r>
      <w:r w:rsidR="00644369" w:rsidRPr="00644369">
        <w:rPr>
          <w:rFonts w:cs="Arial"/>
        </w:rPr>
        <w:t xml:space="preserve">and consistency of evaluations </w:t>
      </w:r>
      <w:r w:rsidR="00687EB1" w:rsidRPr="00644369">
        <w:rPr>
          <w:rFonts w:cs="Arial"/>
        </w:rPr>
        <w:t>for industry</w:t>
      </w:r>
      <w:r w:rsidR="00C9174A" w:rsidRPr="00644369">
        <w:rPr>
          <w:rFonts w:cs="Arial"/>
        </w:rPr>
        <w:t xml:space="preserve"> </w:t>
      </w:r>
      <w:r w:rsidR="00687EB1" w:rsidRPr="00644369">
        <w:rPr>
          <w:rFonts w:cs="Arial"/>
        </w:rPr>
        <w:t xml:space="preserve">and </w:t>
      </w:r>
      <w:r w:rsidR="00C9174A" w:rsidRPr="00644369">
        <w:rPr>
          <w:rFonts w:cs="Arial"/>
        </w:rPr>
        <w:t>ensures sunscreens are evaluated for safety based on Australia conditions.</w:t>
      </w:r>
    </w:p>
    <w:p w14:paraId="67E14C01" w14:textId="7F591F85" w:rsidR="00847E31" w:rsidRDefault="0089151C" w:rsidP="00644369">
      <w:pPr>
        <w:rPr>
          <w:rFonts w:cs="Arial"/>
        </w:rPr>
      </w:pPr>
      <w:r>
        <w:rPr>
          <w:rFonts w:cs="Arial"/>
        </w:rPr>
        <w:t xml:space="preserve">The </w:t>
      </w:r>
      <w:r w:rsidR="00644369" w:rsidRPr="00644369">
        <w:rPr>
          <w:rFonts w:cs="Arial"/>
        </w:rPr>
        <w:t xml:space="preserve">consistent methodology </w:t>
      </w:r>
      <w:r>
        <w:rPr>
          <w:rFonts w:cs="Arial"/>
        </w:rPr>
        <w:t xml:space="preserve">provided by the ASEM should result in </w:t>
      </w:r>
      <w:r w:rsidR="00644369" w:rsidRPr="00644369">
        <w:rPr>
          <w:rFonts w:cs="Arial"/>
        </w:rPr>
        <w:t xml:space="preserve">evaluations </w:t>
      </w:r>
      <w:r>
        <w:rPr>
          <w:rFonts w:cs="Arial"/>
        </w:rPr>
        <w:t>being</w:t>
      </w:r>
      <w:r w:rsidR="00644369" w:rsidRPr="00644369">
        <w:rPr>
          <w:rFonts w:cs="Arial"/>
        </w:rPr>
        <w:t xml:space="preserve"> less </w:t>
      </w:r>
      <w:r w:rsidR="00847E31">
        <w:rPr>
          <w:rFonts w:cs="Arial"/>
        </w:rPr>
        <w:t xml:space="preserve">likely </w:t>
      </w:r>
      <w:r w:rsidR="00644369" w:rsidRPr="00644369">
        <w:rPr>
          <w:rFonts w:cs="Arial"/>
        </w:rPr>
        <w:t xml:space="preserve">to be challenged/contested, </w:t>
      </w:r>
      <w:r>
        <w:rPr>
          <w:rFonts w:cs="Arial"/>
        </w:rPr>
        <w:t>which will r</w:t>
      </w:r>
      <w:r w:rsidR="00644369" w:rsidRPr="00644369">
        <w:rPr>
          <w:rFonts w:cs="Arial"/>
        </w:rPr>
        <w:t>educ</w:t>
      </w:r>
      <w:r>
        <w:rPr>
          <w:rFonts w:cs="Arial"/>
        </w:rPr>
        <w:t>e</w:t>
      </w:r>
      <w:r w:rsidR="00644369" w:rsidRPr="00644369">
        <w:rPr>
          <w:rFonts w:cs="Arial"/>
        </w:rPr>
        <w:t xml:space="preserve"> </w:t>
      </w:r>
      <w:r w:rsidR="00847E31">
        <w:rPr>
          <w:rFonts w:cs="Arial"/>
        </w:rPr>
        <w:t xml:space="preserve">the </w:t>
      </w:r>
      <w:r w:rsidR="00644369" w:rsidRPr="00644369">
        <w:rPr>
          <w:rFonts w:cs="Arial"/>
        </w:rPr>
        <w:t xml:space="preserve">time and resources </w:t>
      </w:r>
      <w:r w:rsidR="00847E31">
        <w:rPr>
          <w:rFonts w:cs="Arial"/>
        </w:rPr>
        <w:t>expended by applicants</w:t>
      </w:r>
      <w:r w:rsidR="00644369" w:rsidRPr="00644369">
        <w:rPr>
          <w:rFonts w:cs="Arial"/>
        </w:rPr>
        <w:t>. This reduces potential delay of the introduction of new sunscreen ingredients and reduces burden on the regulatory process from unnecessary contention.</w:t>
      </w:r>
      <w:r w:rsidR="00644369">
        <w:rPr>
          <w:rFonts w:cs="Arial"/>
        </w:rPr>
        <w:t xml:space="preserve"> </w:t>
      </w:r>
    </w:p>
    <w:p w14:paraId="0E8DBEE1" w14:textId="202934F5" w:rsidR="00644369" w:rsidRPr="002159BF" w:rsidRDefault="00644369" w:rsidP="00644369">
      <w:pPr>
        <w:rPr>
          <w:rFonts w:cs="Arial"/>
        </w:rPr>
      </w:pPr>
      <w:r w:rsidRPr="002159BF">
        <w:rPr>
          <w:rFonts w:cs="Arial"/>
        </w:rPr>
        <w:t xml:space="preserve">Certainty about the concentration that may be approved by the TGA is </w:t>
      </w:r>
      <w:r>
        <w:rPr>
          <w:rFonts w:cs="Arial"/>
        </w:rPr>
        <w:t xml:space="preserve">also </w:t>
      </w:r>
      <w:r w:rsidRPr="002159BF">
        <w:rPr>
          <w:rFonts w:cs="Arial"/>
        </w:rPr>
        <w:t xml:space="preserve">likely to support innovation and development of new sunscreen ingredients given the lengthy research and development process required to bring new ingredients to market, with tests that may need to be conducted at the proposed concentration for final products. </w:t>
      </w:r>
    </w:p>
    <w:p w14:paraId="2F9DFD83" w14:textId="77777777" w:rsidR="00644369" w:rsidRDefault="00644369" w:rsidP="00644369">
      <w:pPr>
        <w:rPr>
          <w:rFonts w:cs="Arial"/>
        </w:rPr>
      </w:pPr>
      <w:r w:rsidRPr="002159BF">
        <w:rPr>
          <w:rFonts w:cs="Arial"/>
        </w:rPr>
        <w:t>An agreed estimated daily sunscreen exposure value means there is a standardised method for evaluating sunscreen ingredients, reducing discrepancies in risk assessments, meaning the same ingredient is not approved in one case and refused based on the same data in another case due to the use of differing methods. This levels the playing field for industry, whilst also ensuring ingredients are not unnecessarily prevented from entering the Australian market.</w:t>
      </w:r>
      <w:r>
        <w:rPr>
          <w:rFonts w:cs="Arial"/>
        </w:rPr>
        <w:t xml:space="preserve"> </w:t>
      </w:r>
    </w:p>
    <w:p w14:paraId="5A15495B" w14:textId="630B5A79" w:rsidR="00FE29B4" w:rsidRPr="00644369" w:rsidRDefault="00644369" w:rsidP="00644369">
      <w:pPr>
        <w:rPr>
          <w:rFonts w:cs="Arial"/>
        </w:rPr>
      </w:pPr>
      <w:r>
        <w:rPr>
          <w:rFonts w:cs="Arial"/>
        </w:rPr>
        <w:t xml:space="preserve">Further, </w:t>
      </w:r>
      <w:r w:rsidR="00847E31">
        <w:rPr>
          <w:rFonts w:cs="Arial"/>
        </w:rPr>
        <w:t xml:space="preserve">as </w:t>
      </w:r>
      <w:r>
        <w:rPr>
          <w:rFonts w:cs="Arial"/>
        </w:rPr>
        <w:t>t</w:t>
      </w:r>
      <w:r w:rsidR="00C80EFE" w:rsidRPr="00644369">
        <w:rPr>
          <w:rFonts w:cs="Arial"/>
        </w:rPr>
        <w:t>h</w:t>
      </w:r>
      <w:r>
        <w:rPr>
          <w:rFonts w:cs="Arial"/>
        </w:rPr>
        <w:t xml:space="preserve">e ASEM </w:t>
      </w:r>
      <w:r w:rsidR="00687EB1" w:rsidRPr="00644369">
        <w:rPr>
          <w:rFonts w:cs="Arial"/>
        </w:rPr>
        <w:t xml:space="preserve">is based on current scientific evidence and ensures safety by accounting for the way Australian’s use sunscreens (including both children and adults) and aligns with how they should be used correctly based on current recommendations, </w:t>
      </w:r>
      <w:r w:rsidR="00847E31">
        <w:rPr>
          <w:rFonts w:cs="Arial"/>
        </w:rPr>
        <w:t xml:space="preserve">the implementation of the ASEM will </w:t>
      </w:r>
      <w:r w:rsidR="00687EB1" w:rsidRPr="00644369">
        <w:rPr>
          <w:rFonts w:cs="Arial"/>
        </w:rPr>
        <w:t xml:space="preserve">bolster confidence in sunscreen regulation and </w:t>
      </w:r>
      <w:r w:rsidR="00847E31">
        <w:rPr>
          <w:rFonts w:cs="Arial"/>
        </w:rPr>
        <w:t xml:space="preserve">increase </w:t>
      </w:r>
      <w:r w:rsidR="00687EB1" w:rsidRPr="00644369">
        <w:rPr>
          <w:rFonts w:cs="Arial"/>
        </w:rPr>
        <w:t>Australian</w:t>
      </w:r>
      <w:r w:rsidR="00847E31">
        <w:rPr>
          <w:rFonts w:cs="Arial"/>
        </w:rPr>
        <w:t>’</w:t>
      </w:r>
      <w:r w:rsidR="00687EB1" w:rsidRPr="00644369">
        <w:rPr>
          <w:rFonts w:cs="Arial"/>
        </w:rPr>
        <w:t xml:space="preserve">s trust </w:t>
      </w:r>
      <w:r w:rsidR="00847E31">
        <w:rPr>
          <w:rFonts w:cs="Arial"/>
        </w:rPr>
        <w:t>to</w:t>
      </w:r>
      <w:r w:rsidR="00687EB1" w:rsidRPr="00644369">
        <w:rPr>
          <w:rFonts w:cs="Arial"/>
        </w:rPr>
        <w:t xml:space="preserve"> us</w:t>
      </w:r>
      <w:r w:rsidR="00847E31">
        <w:rPr>
          <w:rFonts w:cs="Arial"/>
        </w:rPr>
        <w:t>e</w:t>
      </w:r>
      <w:r w:rsidR="00687EB1" w:rsidRPr="00644369">
        <w:rPr>
          <w:rFonts w:cs="Arial"/>
        </w:rPr>
        <w:t xml:space="preserve"> sunscreen as a daily UV</w:t>
      </w:r>
      <w:r w:rsidR="00B034D8" w:rsidRPr="00644369">
        <w:rPr>
          <w:rFonts w:cs="Arial"/>
        </w:rPr>
        <w:t>R</w:t>
      </w:r>
      <w:r w:rsidR="00687EB1" w:rsidRPr="00644369">
        <w:rPr>
          <w:rFonts w:cs="Arial"/>
        </w:rPr>
        <w:t xml:space="preserve"> protective measure for the entire family. This in turn supports Government, health professional, academic, and industry efforts to promote the use of sunscreen as a tool in preventing against the tragic outcomes of skin cancer in Australia. This is particularly</w:t>
      </w:r>
      <w:r w:rsidR="00130E29" w:rsidRPr="00644369">
        <w:rPr>
          <w:rFonts w:cs="Arial"/>
        </w:rPr>
        <w:t xml:space="preserve"> </w:t>
      </w:r>
      <w:r w:rsidR="00562C8B" w:rsidRPr="00644369">
        <w:rPr>
          <w:rFonts w:cs="Arial"/>
        </w:rPr>
        <w:t>important as Australia has the highest incidence of melanoma and non-melanoma skin cancer incidence rate in the world.</w:t>
      </w:r>
      <w:r w:rsidR="00562C8B" w:rsidRPr="00644369">
        <w:rPr>
          <w:vertAlign w:val="superscript"/>
        </w:rPr>
        <w:footnoteReference w:id="32"/>
      </w:r>
    </w:p>
    <w:p w14:paraId="4C31D5E2" w14:textId="250BC823" w:rsidR="00644369" w:rsidRPr="000706E3" w:rsidRDefault="00644369" w:rsidP="00644369">
      <w:pPr>
        <w:spacing w:before="120" w:after="180" w:line="240" w:lineRule="atLeast"/>
        <w:rPr>
          <w:rFonts w:eastAsia="Cambria" w:cs="Arial"/>
          <w:color w:val="242424"/>
        </w:rPr>
      </w:pPr>
      <w:r>
        <w:rPr>
          <w:rFonts w:eastAsia="Cambria" w:cs="Arial"/>
          <w:color w:val="242424"/>
        </w:rPr>
        <w:t xml:space="preserve">The consultation paper proposed that as part of Option 1, the highest estimated average daily sunscreen exposure value would be used for sunscreen safety assessments. This approach would ensure that ingredients assessed under this exposure assumption for the highest risk category which are toddlers aged 1-2, would also cover the safety in the rest of the population, which was supported by most respondents. However, the TGA will use the ASEM flexibility as well in line with industry stakeholder feedback, to conduct assessments for other types of sunscreens as necessary – such as those intended for face-only application in small containers, vs those intended </w:t>
      </w:r>
      <w:r w:rsidR="00B25A37">
        <w:rPr>
          <w:rFonts w:eastAsia="Cambria" w:cs="Arial"/>
          <w:color w:val="242424"/>
        </w:rPr>
        <w:t>f</w:t>
      </w:r>
      <w:r>
        <w:rPr>
          <w:rFonts w:eastAsia="Cambria" w:cs="Arial"/>
          <w:color w:val="242424"/>
        </w:rPr>
        <w:t xml:space="preserve">or application to the body. </w:t>
      </w:r>
    </w:p>
    <w:p w14:paraId="185F5613" w14:textId="2C766BA2" w:rsidR="000706E3" w:rsidRPr="000706E3" w:rsidRDefault="00644369" w:rsidP="000706E3">
      <w:r>
        <w:t xml:space="preserve">Further, </w:t>
      </w:r>
      <w:r w:rsidR="00B17ACC">
        <w:t>Option 1 (ASEM) is the preferred option because, u</w:t>
      </w:r>
      <w:r w:rsidR="00C9174A">
        <w:t xml:space="preserve">nlike Options 2 and 3, </w:t>
      </w:r>
      <w:r w:rsidR="00B17ACC">
        <w:t>it</w:t>
      </w:r>
      <w:r w:rsidR="000706E3" w:rsidRPr="000706E3">
        <w:t xml:space="preserve"> </w:t>
      </w:r>
      <w:r w:rsidR="0084207A">
        <w:t xml:space="preserve">achieves the </w:t>
      </w:r>
      <w:r w:rsidR="005275E3">
        <w:t xml:space="preserve">following </w:t>
      </w:r>
      <w:r w:rsidR="0084207A">
        <w:t>objectives</w:t>
      </w:r>
      <w:r w:rsidR="005275E3">
        <w:t>:</w:t>
      </w:r>
    </w:p>
    <w:p w14:paraId="1C75D4DF" w14:textId="47523AAF" w:rsidR="000706E3" w:rsidRPr="003413F6" w:rsidRDefault="000706E3" w:rsidP="006D28D0">
      <w:pPr>
        <w:pStyle w:val="ListBullet"/>
      </w:pPr>
      <w:r w:rsidRPr="0073370F">
        <w:rPr>
          <w:b/>
          <w:bCs/>
        </w:rPr>
        <w:t>Correct usage directions for effective sun protection</w:t>
      </w:r>
      <w:r w:rsidRPr="0073370F">
        <w:t>: The model integrate</w:t>
      </w:r>
      <w:r w:rsidR="0084207A" w:rsidRPr="0073370F">
        <w:t>s</w:t>
      </w:r>
      <w:r w:rsidRPr="0073370F">
        <w:t xml:space="preserve"> evidence-based application guidelines to achieve the labelled SPF rating, ensuring sunscreen ingredients are safe and effective when used as directed. It will be future proofed where possible to account for future expected sunscreen use based on current and emerging evidence-based recommendations. </w:t>
      </w:r>
    </w:p>
    <w:p w14:paraId="6F742ACD" w14:textId="404E3BFF" w:rsidR="000706E3" w:rsidRPr="0073370F" w:rsidRDefault="000706E3" w:rsidP="006D28D0">
      <w:pPr>
        <w:pStyle w:val="ListBullet"/>
      </w:pPr>
      <w:r w:rsidRPr="0073370F">
        <w:rPr>
          <w:b/>
          <w:bCs/>
        </w:rPr>
        <w:t>Highest realistic use-case</w:t>
      </w:r>
      <w:r w:rsidRPr="0073370F">
        <w:t>: The model cater</w:t>
      </w:r>
      <w:r w:rsidR="0084207A" w:rsidRPr="0073370F">
        <w:t>s</w:t>
      </w:r>
      <w:r w:rsidRPr="0073370F">
        <w:t xml:space="preserve"> for the way sunscreen is used by the average Australian, as well as those who use sunscreen more frequently in realistic everyday scenarios, such as outdoor workers in northern Queensland where the UV index is very high all year round. </w:t>
      </w:r>
    </w:p>
    <w:p w14:paraId="569AF8BA" w14:textId="0921EAA5" w:rsidR="000706E3" w:rsidRPr="0073370F" w:rsidRDefault="000706E3" w:rsidP="006D28D0">
      <w:pPr>
        <w:pStyle w:val="ListBullet"/>
      </w:pPr>
      <w:r w:rsidRPr="0073370F">
        <w:rPr>
          <w:b/>
          <w:bCs/>
        </w:rPr>
        <w:t>Contemporary evidence-based information</w:t>
      </w:r>
      <w:r w:rsidRPr="0073370F">
        <w:t>: The exposure model consider</w:t>
      </w:r>
      <w:r w:rsidR="0084207A" w:rsidRPr="0073370F">
        <w:t>s</w:t>
      </w:r>
      <w:r w:rsidRPr="0073370F">
        <w:t xml:space="preserve"> data reflective of the demographics that use sunscreens, such as children and adults, and the contexts in which sunscreen is applied, including areas not covered by clothing, with a preference for Australian-specific data where available.</w:t>
      </w:r>
    </w:p>
    <w:p w14:paraId="1244D3F6" w14:textId="101D7553" w:rsidR="000706E3" w:rsidRPr="0073370F" w:rsidRDefault="000706E3" w:rsidP="006D28D0">
      <w:pPr>
        <w:pStyle w:val="ListBullet"/>
      </w:pPr>
      <w:r w:rsidRPr="0073370F">
        <w:rPr>
          <w:b/>
          <w:bCs/>
        </w:rPr>
        <w:t>A standardised approach for regulatory certainty</w:t>
      </w:r>
      <w:r w:rsidRPr="0073370F">
        <w:t>: The model offer a standardised, evidence-based methodology, that is practical for applicants and evaluators to assess ingredient risk, providing clarity and consistency for industry stakeholders and ensuring that sunscreens evaluations account for Australian use.</w:t>
      </w:r>
    </w:p>
    <w:p w14:paraId="17385307" w14:textId="23654990" w:rsidR="007E64BA" w:rsidRPr="0073370F" w:rsidRDefault="000706E3" w:rsidP="006D28D0">
      <w:pPr>
        <w:pStyle w:val="ListBullet"/>
      </w:pPr>
      <w:r w:rsidRPr="0073370F">
        <w:rPr>
          <w:b/>
          <w:bCs/>
        </w:rPr>
        <w:t>Upholding sunscreen safety and trust</w:t>
      </w:r>
      <w:r w:rsidRPr="0073370F">
        <w:t>: The model bolster the safety reputation of Australian sunscreens, ensuring consumers are confident in their evaluation by the TGA and encouraged to use them without fear or doubt.</w:t>
      </w:r>
    </w:p>
    <w:p w14:paraId="44465E56" w14:textId="20B52FA3" w:rsidR="007E64BA" w:rsidRDefault="007E64BA" w:rsidP="007E64BA">
      <w:pPr>
        <w:spacing w:before="120" w:after="180" w:line="240" w:lineRule="atLeast"/>
        <w:rPr>
          <w:rFonts w:eastAsia="Cambria" w:cs="Arial"/>
          <w:color w:val="242424"/>
        </w:rPr>
      </w:pPr>
      <w:r>
        <w:rPr>
          <w:rFonts w:cs="Arial"/>
          <w:color w:val="0F172A"/>
          <w:shd w:val="clear" w:color="auto" w:fill="FFFFFF"/>
        </w:rPr>
        <w:t>A comprehensive exposure model promises greater assurance of sunscreen safety, accounting for long-term and cumulative exposure. This initiative aligns with growing consumer demand for transparency and safety in personal care products, fostering greater confidence in the market.</w:t>
      </w:r>
    </w:p>
    <w:p w14:paraId="06AD8BED" w14:textId="03313BCA" w:rsidR="003D4682" w:rsidRDefault="003D4682" w:rsidP="00290E87">
      <w:pPr>
        <w:pStyle w:val="Heading3"/>
      </w:pPr>
      <w:bookmarkStart w:id="157" w:name="_Toc184730615"/>
      <w:r>
        <w:rPr>
          <w:shd w:val="clear" w:color="auto" w:fill="FFFFFF"/>
        </w:rPr>
        <w:t>Implementation plan</w:t>
      </w:r>
      <w:bookmarkEnd w:id="157"/>
    </w:p>
    <w:p w14:paraId="0B3AB6C4" w14:textId="5F923082" w:rsidR="00DA7A14" w:rsidRDefault="009C5231" w:rsidP="00644369">
      <w:pPr>
        <w:pStyle w:val="TBLText"/>
        <w:rPr>
          <w:sz w:val="20"/>
          <w:szCs w:val="20"/>
        </w:rPr>
      </w:pPr>
      <w:r w:rsidRPr="009C5231">
        <w:rPr>
          <w:sz w:val="20"/>
          <w:szCs w:val="20"/>
        </w:rPr>
        <w:t xml:space="preserve">Adoption of the ASEM </w:t>
      </w:r>
      <w:r w:rsidR="00DA7A14">
        <w:rPr>
          <w:sz w:val="20"/>
          <w:szCs w:val="20"/>
        </w:rPr>
        <w:t>(</w:t>
      </w:r>
      <w:r w:rsidR="00FD6F7B">
        <w:rPr>
          <w:sz w:val="20"/>
          <w:szCs w:val="20"/>
        </w:rPr>
        <w:t>O</w:t>
      </w:r>
      <w:r w:rsidR="00DA7A14">
        <w:rPr>
          <w:sz w:val="20"/>
          <w:szCs w:val="20"/>
        </w:rPr>
        <w:t xml:space="preserve">ption 1), is considered the best </w:t>
      </w:r>
      <w:r w:rsidR="007D6559">
        <w:rPr>
          <w:sz w:val="20"/>
          <w:szCs w:val="20"/>
        </w:rPr>
        <w:t xml:space="preserve">out of the </w:t>
      </w:r>
      <w:r w:rsidR="00A65975">
        <w:rPr>
          <w:sz w:val="20"/>
          <w:szCs w:val="20"/>
        </w:rPr>
        <w:t>3</w:t>
      </w:r>
      <w:r w:rsidR="007D6559">
        <w:rPr>
          <w:sz w:val="20"/>
          <w:szCs w:val="20"/>
        </w:rPr>
        <w:t xml:space="preserve"> considered, </w:t>
      </w:r>
      <w:r w:rsidR="00DA7A14">
        <w:rPr>
          <w:sz w:val="20"/>
          <w:szCs w:val="20"/>
        </w:rPr>
        <w:t xml:space="preserve">and </w:t>
      </w:r>
      <w:r w:rsidRPr="009C5231">
        <w:rPr>
          <w:sz w:val="20"/>
          <w:szCs w:val="20"/>
        </w:rPr>
        <w:t>will be a decision of a delegate of the Secretary of the Department of Health and Aged Care</w:t>
      </w:r>
      <w:r>
        <w:rPr>
          <w:sz w:val="20"/>
          <w:szCs w:val="20"/>
        </w:rPr>
        <w:t xml:space="preserve">, as informed by this IA. </w:t>
      </w:r>
      <w:r w:rsidR="00EC3A42">
        <w:rPr>
          <w:sz w:val="20"/>
          <w:szCs w:val="20"/>
        </w:rPr>
        <w:t xml:space="preserve">The TGA anticipates that this decision will be made in </w:t>
      </w:r>
      <w:r w:rsidR="00FD6F7B">
        <w:rPr>
          <w:sz w:val="20"/>
          <w:szCs w:val="20"/>
        </w:rPr>
        <w:t xml:space="preserve">November </w:t>
      </w:r>
      <w:r w:rsidR="00EC3A42">
        <w:rPr>
          <w:sz w:val="20"/>
          <w:szCs w:val="20"/>
        </w:rPr>
        <w:t xml:space="preserve">2024, </w:t>
      </w:r>
      <w:r w:rsidR="001D0875">
        <w:rPr>
          <w:sz w:val="20"/>
          <w:szCs w:val="20"/>
        </w:rPr>
        <w:t>the stages of implementation</w:t>
      </w:r>
      <w:r w:rsidR="00DA7A14">
        <w:rPr>
          <w:sz w:val="20"/>
          <w:szCs w:val="20"/>
        </w:rPr>
        <w:t xml:space="preserve">, risks and mitigation </w:t>
      </w:r>
      <w:r w:rsidR="006228E4">
        <w:rPr>
          <w:sz w:val="20"/>
          <w:szCs w:val="20"/>
        </w:rPr>
        <w:t>measures</w:t>
      </w:r>
      <w:r w:rsidR="001D0875">
        <w:rPr>
          <w:sz w:val="20"/>
          <w:szCs w:val="20"/>
        </w:rPr>
        <w:t xml:space="preserve"> are provided below</w:t>
      </w:r>
      <w:r w:rsidR="00DA7A14">
        <w:rPr>
          <w:sz w:val="20"/>
          <w:szCs w:val="20"/>
        </w:rPr>
        <w:t>.</w:t>
      </w:r>
    </w:p>
    <w:p w14:paraId="4193C743" w14:textId="77777777" w:rsidR="00DA7A14" w:rsidRDefault="00DA7A14" w:rsidP="00644369">
      <w:pPr>
        <w:pStyle w:val="TBLText"/>
        <w:rPr>
          <w:sz w:val="20"/>
          <w:szCs w:val="20"/>
        </w:rPr>
      </w:pPr>
    </w:p>
    <w:p w14:paraId="6ED5AC88" w14:textId="08AFFD95" w:rsidR="001A2C15" w:rsidRPr="00EA3D27" w:rsidRDefault="00BA117E" w:rsidP="003523EA">
      <w:pPr>
        <w:pStyle w:val="Tabletitle"/>
      </w:pPr>
      <w:bookmarkStart w:id="158" w:name="Table16"/>
      <w:r>
        <w:t xml:space="preserve">Table </w:t>
      </w:r>
      <w:r w:rsidRPr="00BB356B">
        <w:t>1</w:t>
      </w:r>
      <w:r w:rsidR="00BB356B" w:rsidRPr="00BB356B">
        <w:t>6</w:t>
      </w:r>
      <w:r w:rsidRPr="00BB356B">
        <w:t>:</w:t>
      </w:r>
      <w:r>
        <w:t xml:space="preserve"> </w:t>
      </w:r>
      <w:r w:rsidR="00E84E5E" w:rsidRPr="00EA3D27">
        <w:t>Implementation</w:t>
      </w:r>
      <w:r>
        <w:t xml:space="preserve"> Plan</w:t>
      </w:r>
    </w:p>
    <w:tbl>
      <w:tblPr>
        <w:tblStyle w:val="TableTGAblue2023"/>
        <w:tblW w:w="9067" w:type="dxa"/>
        <w:tblLook w:val="04A0" w:firstRow="1" w:lastRow="0" w:firstColumn="1" w:lastColumn="0" w:noHBand="0" w:noVBand="1"/>
      </w:tblPr>
      <w:tblGrid>
        <w:gridCol w:w="2439"/>
        <w:gridCol w:w="6628"/>
      </w:tblGrid>
      <w:tr w:rsidR="00052B09" w:rsidRPr="0073370F" w14:paraId="4823FBEC" w14:textId="77777777" w:rsidTr="00EA3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bookmarkEnd w:id="158"/>
          <w:p w14:paraId="1F9F3E12" w14:textId="78383B3B" w:rsidR="00052B09" w:rsidRPr="003413F6" w:rsidRDefault="00052B09" w:rsidP="00F314F4">
            <w:pPr>
              <w:rPr>
                <w:sz w:val="20"/>
                <w:szCs w:val="20"/>
              </w:rPr>
            </w:pPr>
            <w:r w:rsidRPr="0073370F">
              <w:t>Date</w:t>
            </w:r>
          </w:p>
        </w:tc>
        <w:tc>
          <w:tcPr>
            <w:tcW w:w="6628" w:type="dxa"/>
          </w:tcPr>
          <w:p w14:paraId="3B1CF455" w14:textId="366BCC6A" w:rsidR="00052B09" w:rsidRPr="003413F6" w:rsidRDefault="00E84E5E" w:rsidP="00F314F4">
            <w:pPr>
              <w:cnfStyle w:val="100000000000" w:firstRow="1" w:lastRow="0" w:firstColumn="0" w:lastColumn="0" w:oddVBand="0" w:evenVBand="0" w:oddHBand="0" w:evenHBand="0" w:firstRowFirstColumn="0" w:firstRowLastColumn="0" w:lastRowFirstColumn="0" w:lastRowLastColumn="0"/>
              <w:rPr>
                <w:sz w:val="20"/>
                <w:szCs w:val="20"/>
              </w:rPr>
            </w:pPr>
            <w:r w:rsidRPr="0073370F">
              <w:t xml:space="preserve">TGA </w:t>
            </w:r>
            <w:r w:rsidR="00052B09" w:rsidRPr="0073370F">
              <w:t>Action</w:t>
            </w:r>
          </w:p>
        </w:tc>
      </w:tr>
      <w:tr w:rsidR="00052B09" w14:paraId="6E4CCDBF" w14:textId="77777777" w:rsidTr="00A97C55">
        <w:trPr>
          <w:trHeight w:val="536"/>
        </w:trPr>
        <w:tc>
          <w:tcPr>
            <w:cnfStyle w:val="001000000000" w:firstRow="0" w:lastRow="0" w:firstColumn="1" w:lastColumn="0" w:oddVBand="0" w:evenVBand="0" w:oddHBand="0" w:evenHBand="0" w:firstRowFirstColumn="0" w:firstRowLastColumn="0" w:lastRowFirstColumn="0" w:lastRowLastColumn="0"/>
            <w:tcW w:w="0" w:type="dxa"/>
          </w:tcPr>
          <w:p w14:paraId="0B2C371D" w14:textId="56E5E76E" w:rsidR="00052B09" w:rsidRPr="00CE0174" w:rsidRDefault="00052B09" w:rsidP="006347CF">
            <w:pPr>
              <w:ind w:left="0"/>
              <w:rPr>
                <w:b/>
                <w:bCs/>
              </w:rPr>
            </w:pPr>
            <w:r w:rsidRPr="003523EA">
              <w:rPr>
                <w:b/>
                <w:bCs/>
              </w:rPr>
              <w:t xml:space="preserve">November 2024 </w:t>
            </w:r>
          </w:p>
        </w:tc>
        <w:tc>
          <w:tcPr>
            <w:tcW w:w="0" w:type="dxa"/>
          </w:tcPr>
          <w:p w14:paraId="3A4B1AB8" w14:textId="61A93D98" w:rsidR="00052B09" w:rsidRPr="00803BFE" w:rsidRDefault="005275E3" w:rsidP="00155941">
            <w:pPr>
              <w:pStyle w:val="Numberbullet2"/>
              <w:numPr>
                <w:ilvl w:val="1"/>
                <w:numId w:val="23"/>
              </w:numPr>
              <w:cnfStyle w:val="000000000000" w:firstRow="0" w:lastRow="0" w:firstColumn="0" w:lastColumn="0" w:oddVBand="0" w:evenVBand="0" w:oddHBand="0" w:evenHBand="0" w:firstRowFirstColumn="0" w:firstRowLastColumn="0" w:lastRowFirstColumn="0" w:lastRowLastColumn="0"/>
              <w:rPr>
                <w:color w:val="auto"/>
              </w:rPr>
            </w:pPr>
            <w:r w:rsidRPr="00803BFE">
              <w:rPr>
                <w:color w:val="auto"/>
              </w:rPr>
              <w:t>Proposed d</w:t>
            </w:r>
            <w:r w:rsidR="00052B09" w:rsidRPr="00803BFE">
              <w:rPr>
                <w:color w:val="auto"/>
              </w:rPr>
              <w:t xml:space="preserve">ecision to adopt the ASEM </w:t>
            </w:r>
          </w:p>
        </w:tc>
      </w:tr>
      <w:tr w:rsidR="00052B09" w14:paraId="5846FE25" w14:textId="77777777" w:rsidTr="00EA3D27">
        <w:tc>
          <w:tcPr>
            <w:cnfStyle w:val="001000000000" w:firstRow="0" w:lastRow="0" w:firstColumn="1" w:lastColumn="0" w:oddVBand="0" w:evenVBand="0" w:oddHBand="0" w:evenHBand="0" w:firstRowFirstColumn="0" w:firstRowLastColumn="0" w:lastRowFirstColumn="0" w:lastRowLastColumn="0"/>
            <w:tcW w:w="2439" w:type="dxa"/>
          </w:tcPr>
          <w:p w14:paraId="27846753" w14:textId="2CB24C5F" w:rsidR="00052B09" w:rsidRPr="003523EA" w:rsidRDefault="00052B09" w:rsidP="006347CF">
            <w:pPr>
              <w:ind w:left="0"/>
              <w:rPr>
                <w:b/>
                <w:bCs/>
              </w:rPr>
            </w:pPr>
            <w:r w:rsidRPr="003523EA">
              <w:rPr>
                <w:b/>
                <w:bCs/>
              </w:rPr>
              <w:t>December 2024</w:t>
            </w:r>
          </w:p>
        </w:tc>
        <w:tc>
          <w:tcPr>
            <w:tcW w:w="6628" w:type="dxa"/>
          </w:tcPr>
          <w:p w14:paraId="10FD4539" w14:textId="77777777" w:rsidR="00155941" w:rsidRPr="00803BFE" w:rsidRDefault="00155941" w:rsidP="00155941">
            <w:pPr>
              <w:pStyle w:val="Numberbullet2"/>
              <w:numPr>
                <w:ilvl w:val="1"/>
                <w:numId w:val="24"/>
              </w:numPr>
              <w:cnfStyle w:val="000000000000" w:firstRow="0" w:lastRow="0" w:firstColumn="0" w:lastColumn="0" w:oddVBand="0" w:evenVBand="0" w:oddHBand="0" w:evenHBand="0" w:firstRowFirstColumn="0" w:firstRowLastColumn="0" w:lastRowFirstColumn="0" w:lastRowLastColumn="0"/>
              <w:rPr>
                <w:color w:val="auto"/>
              </w:rPr>
            </w:pPr>
            <w:r w:rsidRPr="00803BFE">
              <w:rPr>
                <w:color w:val="auto"/>
              </w:rPr>
              <w:t>Consultation outcomes published on website</w:t>
            </w:r>
          </w:p>
          <w:p w14:paraId="0B2BE4D1" w14:textId="08ACAE70" w:rsidR="00052B09" w:rsidRPr="00803BFE" w:rsidRDefault="00052B09" w:rsidP="00155941">
            <w:pPr>
              <w:pStyle w:val="Numberbullet2"/>
              <w:numPr>
                <w:ilvl w:val="1"/>
                <w:numId w:val="24"/>
              </w:numPr>
              <w:cnfStyle w:val="000000000000" w:firstRow="0" w:lastRow="0" w:firstColumn="0" w:lastColumn="0" w:oddVBand="0" w:evenVBand="0" w:oddHBand="0" w:evenHBand="0" w:firstRowFirstColumn="0" w:firstRowLastColumn="0" w:lastRowFirstColumn="0" w:lastRowLastColumn="0"/>
              <w:rPr>
                <w:color w:val="auto"/>
              </w:rPr>
            </w:pPr>
            <w:r w:rsidRPr="00803BFE">
              <w:rPr>
                <w:color w:val="auto"/>
              </w:rPr>
              <w:t xml:space="preserve">Industry will be advised </w:t>
            </w:r>
            <w:r w:rsidR="00155941">
              <w:rPr>
                <w:color w:val="auto"/>
              </w:rPr>
              <w:t xml:space="preserve">on website and in the </w:t>
            </w:r>
            <w:r w:rsidR="00155941" w:rsidRPr="00803BFE">
              <w:rPr>
                <w:color w:val="auto"/>
              </w:rPr>
              <w:t xml:space="preserve">Australian Regulatory Guidelines for Sunscreens (ARGS) </w:t>
            </w:r>
            <w:r w:rsidR="00155941">
              <w:rPr>
                <w:color w:val="auto"/>
              </w:rPr>
              <w:t xml:space="preserve">that </w:t>
            </w:r>
            <w:r w:rsidRPr="00803BFE">
              <w:rPr>
                <w:color w:val="auto"/>
              </w:rPr>
              <w:t xml:space="preserve">all new sunscreen ingredient evaluations will be evaluated using the ASEM. </w:t>
            </w:r>
          </w:p>
          <w:p w14:paraId="1D7CA5C9" w14:textId="1D42265B" w:rsidR="00052B09" w:rsidRPr="00A97C55" w:rsidRDefault="00155941" w:rsidP="00A97C55">
            <w:pPr>
              <w:pStyle w:val="Numberbullet2"/>
              <w:numPr>
                <w:ilvl w:val="1"/>
                <w:numId w:val="24"/>
              </w:numPr>
              <w:cnfStyle w:val="000000000000" w:firstRow="0" w:lastRow="0" w:firstColumn="0" w:lastColumn="0" w:oddVBand="0" w:evenVBand="0" w:oddHBand="0" w:evenHBand="0" w:firstRowFirstColumn="0" w:firstRowLastColumn="0" w:lastRowFirstColumn="0" w:lastRowLastColumn="0"/>
              <w:rPr>
                <w:color w:val="auto"/>
                <w:shd w:val="clear" w:color="auto" w:fill="FFFFFF"/>
              </w:rPr>
            </w:pPr>
            <w:r>
              <w:rPr>
                <w:color w:val="auto"/>
              </w:rPr>
              <w:t>Draft of u</w:t>
            </w:r>
            <w:r w:rsidR="00052B09" w:rsidRPr="00803BFE">
              <w:rPr>
                <w:color w:val="auto"/>
              </w:rPr>
              <w:t xml:space="preserve">pdate </w:t>
            </w:r>
            <w:r>
              <w:rPr>
                <w:color w:val="auto"/>
              </w:rPr>
              <w:t xml:space="preserve">to </w:t>
            </w:r>
            <w:r w:rsidR="00052B09" w:rsidRPr="00803BFE">
              <w:rPr>
                <w:color w:val="auto"/>
              </w:rPr>
              <w:t xml:space="preserve">the ARGS </w:t>
            </w:r>
            <w:r>
              <w:rPr>
                <w:color w:val="auto"/>
              </w:rPr>
              <w:t>with information about how to use the ASEM for new ingredient applications provided to sunscreen industry peak bodies, Accord and CHP Australia</w:t>
            </w:r>
            <w:r w:rsidR="0017572D">
              <w:rPr>
                <w:color w:val="auto"/>
              </w:rPr>
              <w:t xml:space="preserve"> for review prior to publication</w:t>
            </w:r>
            <w:r>
              <w:rPr>
                <w:color w:val="auto"/>
              </w:rPr>
              <w:t>. G</w:t>
            </w:r>
            <w:r w:rsidR="00052B09" w:rsidRPr="00803BFE">
              <w:rPr>
                <w:color w:val="auto"/>
              </w:rPr>
              <w:t xml:space="preserve">uidance will apply to assessments where an ingredient can absorb through the outer layer of the skin (the stratum corneum) and can lead to systemic absorption. The final model will not be applicable to ingredients that are not absorbed beyond the stratum corneum or do not have the potential for systemic exposure.   </w:t>
            </w:r>
          </w:p>
        </w:tc>
      </w:tr>
      <w:tr w:rsidR="00052B09" w14:paraId="23385601" w14:textId="77777777" w:rsidTr="00052B09">
        <w:tc>
          <w:tcPr>
            <w:cnfStyle w:val="001000000000" w:firstRow="0" w:lastRow="0" w:firstColumn="1" w:lastColumn="0" w:oddVBand="0" w:evenVBand="0" w:oddHBand="0" w:evenHBand="0" w:firstRowFirstColumn="0" w:firstRowLastColumn="0" w:lastRowFirstColumn="0" w:lastRowLastColumn="0"/>
            <w:tcW w:w="2439" w:type="dxa"/>
          </w:tcPr>
          <w:p w14:paraId="7ECDEA6F" w14:textId="5A2A0EE1" w:rsidR="00052B09" w:rsidRPr="003523EA" w:rsidRDefault="00155941" w:rsidP="006347CF">
            <w:pPr>
              <w:ind w:left="0"/>
              <w:rPr>
                <w:b/>
                <w:bCs/>
              </w:rPr>
            </w:pPr>
            <w:r>
              <w:rPr>
                <w:b/>
                <w:bCs/>
              </w:rPr>
              <w:t>January</w:t>
            </w:r>
            <w:r w:rsidR="00052B09" w:rsidRPr="003523EA">
              <w:rPr>
                <w:b/>
                <w:bCs/>
              </w:rPr>
              <w:t xml:space="preserve"> 2025 onwards</w:t>
            </w:r>
          </w:p>
          <w:p w14:paraId="716EDB15" w14:textId="77777777" w:rsidR="00052B09" w:rsidRPr="003523EA" w:rsidRDefault="00052B09" w:rsidP="003523EA">
            <w:pPr>
              <w:rPr>
                <w:b/>
                <w:bCs/>
              </w:rPr>
            </w:pPr>
          </w:p>
        </w:tc>
        <w:tc>
          <w:tcPr>
            <w:tcW w:w="6628" w:type="dxa"/>
          </w:tcPr>
          <w:p w14:paraId="589044DA" w14:textId="77777777" w:rsidR="00052B09" w:rsidRPr="00803BFE" w:rsidRDefault="00052B09">
            <w:pPr>
              <w:pStyle w:val="ListBullet2"/>
              <w:numPr>
                <w:ilvl w:val="1"/>
                <w:numId w:val="26"/>
              </w:numPr>
              <w:cnfStyle w:val="000000000000" w:firstRow="0" w:lastRow="0" w:firstColumn="0" w:lastColumn="0" w:oddVBand="0" w:evenVBand="0" w:oddHBand="0" w:evenHBand="0" w:firstRowFirstColumn="0" w:firstRowLastColumn="0" w:lastRowFirstColumn="0" w:lastRowLastColumn="0"/>
              <w:rPr>
                <w:color w:val="auto"/>
                <w:shd w:val="clear" w:color="auto" w:fill="FFFFFF"/>
              </w:rPr>
            </w:pPr>
            <w:r w:rsidRPr="00803BFE">
              <w:rPr>
                <w:color w:val="auto"/>
              </w:rPr>
              <w:t xml:space="preserve">The </w:t>
            </w:r>
            <w:r w:rsidRPr="00803BFE">
              <w:rPr>
                <w:color w:val="auto"/>
                <w:shd w:val="clear" w:color="auto" w:fill="FFFFFF"/>
              </w:rPr>
              <w:t xml:space="preserve">TGA will engage with new sunscreen ingredient applicants, including by offering free pre-submission meetings to discuss potential applications and provide guidance to assist applicants prior to submission. </w:t>
            </w:r>
          </w:p>
          <w:p w14:paraId="44D7BB46" w14:textId="544ACB64" w:rsidR="00052B09" w:rsidRPr="001D2139" w:rsidRDefault="00052B09">
            <w:pPr>
              <w:pStyle w:val="ListBullet2"/>
              <w:numPr>
                <w:ilvl w:val="1"/>
                <w:numId w:val="26"/>
              </w:numPr>
              <w:cnfStyle w:val="000000000000" w:firstRow="0" w:lastRow="0" w:firstColumn="0" w:lastColumn="0" w:oddVBand="0" w:evenVBand="0" w:oddHBand="0" w:evenHBand="0" w:firstRowFirstColumn="0" w:firstRowLastColumn="0" w:lastRowFirstColumn="0" w:lastRowLastColumn="0"/>
              <w:rPr>
                <w:color w:val="auto"/>
                <w:shd w:val="clear" w:color="auto" w:fill="FFFFFF"/>
              </w:rPr>
            </w:pPr>
            <w:r w:rsidRPr="00803BFE">
              <w:rPr>
                <w:color w:val="auto"/>
                <w:shd w:val="clear" w:color="auto" w:fill="FFFFFF"/>
              </w:rPr>
              <w:t>The TGA will continue to consult with peak industry bodies, Accord and CHP Australia</w:t>
            </w:r>
            <w:r w:rsidR="00155941">
              <w:rPr>
                <w:color w:val="auto"/>
                <w:shd w:val="clear" w:color="auto" w:fill="FFFFFF"/>
              </w:rPr>
              <w:t xml:space="preserve"> regarding review of the ARGS before an updated version is published on the TGA website. </w:t>
            </w:r>
          </w:p>
        </w:tc>
      </w:tr>
    </w:tbl>
    <w:p w14:paraId="65F698B1" w14:textId="486D5881" w:rsidR="001F76D0" w:rsidRDefault="00FB33CD" w:rsidP="00F47305">
      <w:pPr>
        <w:pStyle w:val="Heading4"/>
      </w:pPr>
      <w:bookmarkStart w:id="159" w:name="_Toc184730616"/>
      <w:r>
        <w:t>Implementation risks</w:t>
      </w:r>
      <w:r w:rsidR="004F0C05">
        <w:t xml:space="preserve"> and mitigation measures</w:t>
      </w:r>
      <w:bookmarkEnd w:id="159"/>
    </w:p>
    <w:p w14:paraId="274AF3BE" w14:textId="5EE4C04B" w:rsidR="0043526D" w:rsidRDefault="00127677" w:rsidP="00127677">
      <w:r>
        <w:t>The ASEM</w:t>
      </w:r>
      <w:r w:rsidRPr="00127677">
        <w:t xml:space="preserve"> </w:t>
      </w:r>
      <w:r w:rsidR="00DA7A14">
        <w:t>(</w:t>
      </w:r>
      <w:r w:rsidR="007B5731">
        <w:t>O</w:t>
      </w:r>
      <w:r w:rsidR="00DA7A14">
        <w:t xml:space="preserve">ption 1) </w:t>
      </w:r>
      <w:r w:rsidRPr="00127677">
        <w:t xml:space="preserve">provides estimations of sunscreen use based on Australian evidence-based recommendations and </w:t>
      </w:r>
      <w:r w:rsidR="00A635E8">
        <w:t xml:space="preserve">best </w:t>
      </w:r>
      <w:r>
        <w:t>available research</w:t>
      </w:r>
      <w:r w:rsidR="00A635E8">
        <w:t xml:space="preserve"> to date</w:t>
      </w:r>
      <w:r w:rsidRPr="00127677">
        <w:t xml:space="preserve">. </w:t>
      </w:r>
      <w:r w:rsidR="006228E4">
        <w:t xml:space="preserve">The implementation risks are outlined in </w:t>
      </w:r>
      <w:hyperlink w:anchor="Table17" w:history="1">
        <w:r w:rsidR="006228E4" w:rsidRPr="00BB356B">
          <w:rPr>
            <w:rStyle w:val="Hyperlink"/>
          </w:rPr>
          <w:t xml:space="preserve">table </w:t>
        </w:r>
        <w:r w:rsidR="00BA117E" w:rsidRPr="00BB356B">
          <w:rPr>
            <w:rStyle w:val="Hyperlink"/>
          </w:rPr>
          <w:t>1</w:t>
        </w:r>
        <w:r w:rsidR="00BB356B" w:rsidRPr="00BB356B">
          <w:rPr>
            <w:rStyle w:val="Hyperlink"/>
          </w:rPr>
          <w:t>7</w:t>
        </w:r>
      </w:hyperlink>
      <w:r w:rsidR="006228E4" w:rsidRPr="00BB356B">
        <w:t xml:space="preserve"> and</w:t>
      </w:r>
      <w:r w:rsidR="006228E4">
        <w:t xml:space="preserve"> have been categorised by the</w:t>
      </w:r>
      <w:r w:rsidR="002665B0">
        <w:t xml:space="preserve"> Department of Health and Aged Care’s</w:t>
      </w:r>
      <w:r w:rsidR="006228E4">
        <w:t xml:space="preserve"> Risk Assessment Matrix</w:t>
      </w:r>
      <w:r w:rsidR="002665B0">
        <w:t xml:space="preserve"> (</w:t>
      </w:r>
      <w:hyperlink w:anchor="Figure4" w:history="1">
        <w:r w:rsidR="002665B0" w:rsidRPr="002665B0">
          <w:rPr>
            <w:rStyle w:val="Hyperlink"/>
          </w:rPr>
          <w:t>Figure 4</w:t>
        </w:r>
      </w:hyperlink>
      <w:r w:rsidR="002665B0">
        <w:t>)</w:t>
      </w:r>
      <w:r w:rsidR="006228E4">
        <w:t xml:space="preserve">. </w:t>
      </w:r>
    </w:p>
    <w:p w14:paraId="4B8C4994" w14:textId="4A930EDB" w:rsidR="006228E4" w:rsidRDefault="002665B0" w:rsidP="00B478EB">
      <w:pPr>
        <w:pStyle w:val="Tabletitle"/>
      </w:pPr>
      <w:bookmarkStart w:id="160" w:name="Figure4"/>
      <w:r>
        <w:t>Figure 4</w:t>
      </w:r>
      <w:bookmarkEnd w:id="160"/>
      <w:r>
        <w:t xml:space="preserve">: </w:t>
      </w:r>
      <w:r w:rsidR="004307FF" w:rsidRPr="00B478EB">
        <w:t>The Department of Health and Aged Care’s</w:t>
      </w:r>
      <w:r w:rsidR="006228E4" w:rsidRPr="001437E1">
        <w:t xml:space="preserve"> Risk Assessment Matrix</w:t>
      </w:r>
    </w:p>
    <w:p w14:paraId="4133F621" w14:textId="1BB90141" w:rsidR="004307FF" w:rsidRDefault="001437E1" w:rsidP="00127677">
      <w:r w:rsidRPr="001437E1">
        <w:rPr>
          <w:noProof/>
          <w:lang w:eastAsia="en-AU"/>
        </w:rPr>
        <w:drawing>
          <wp:inline distT="0" distB="0" distL="0" distR="0" wp14:anchorId="2371CC85" wp14:editId="14C9F048">
            <wp:extent cx="5799151" cy="2494804"/>
            <wp:effectExtent l="0" t="0" r="0" b="1270"/>
            <wp:docPr id="1054716431"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16431" name="Picture 1" descr="A screen shot of a chart&#10;&#10;Description automatically generated"/>
                    <pic:cNvPicPr/>
                  </pic:nvPicPr>
                  <pic:blipFill>
                    <a:blip r:embed="rId64"/>
                    <a:stretch>
                      <a:fillRect/>
                    </a:stretch>
                  </pic:blipFill>
                  <pic:spPr>
                    <a:xfrm>
                      <a:off x="0" y="0"/>
                      <a:ext cx="5823839" cy="2505425"/>
                    </a:xfrm>
                    <a:prstGeom prst="rect">
                      <a:avLst/>
                    </a:prstGeom>
                  </pic:spPr>
                </pic:pic>
              </a:graphicData>
            </a:graphic>
          </wp:inline>
        </w:drawing>
      </w:r>
    </w:p>
    <w:p w14:paraId="44E6169D" w14:textId="53452CAF" w:rsidR="002665B0" w:rsidRDefault="002665B0" w:rsidP="00B478EB">
      <w:pPr>
        <w:pStyle w:val="Tabletitle"/>
      </w:pPr>
      <w:bookmarkStart w:id="161" w:name="Table17"/>
      <w:r w:rsidRPr="00BB356B">
        <w:t xml:space="preserve">Table </w:t>
      </w:r>
      <w:r w:rsidR="00BA117E" w:rsidRPr="00BB356B">
        <w:t>1</w:t>
      </w:r>
      <w:r w:rsidR="00BB356B">
        <w:t>7</w:t>
      </w:r>
      <w:r w:rsidRPr="00BB356B">
        <w:t>:</w:t>
      </w:r>
      <w:r>
        <w:t xml:space="preserve"> Implementation risk, rating and mitigation measures</w:t>
      </w:r>
    </w:p>
    <w:tbl>
      <w:tblPr>
        <w:tblStyle w:val="TableTGAblue2023"/>
        <w:tblW w:w="9067" w:type="dxa"/>
        <w:tblLook w:val="04A0" w:firstRow="1" w:lastRow="0" w:firstColumn="1" w:lastColumn="0" w:noHBand="0" w:noVBand="1"/>
      </w:tblPr>
      <w:tblGrid>
        <w:gridCol w:w="2530"/>
        <w:gridCol w:w="1700"/>
        <w:gridCol w:w="1316"/>
        <w:gridCol w:w="970"/>
        <w:gridCol w:w="2551"/>
      </w:tblGrid>
      <w:tr w:rsidR="004E19B9" w:rsidRPr="0073370F" w14:paraId="4A370469" w14:textId="77777777" w:rsidTr="004E1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bookmarkEnd w:id="161"/>
          <w:p w14:paraId="597B8D19" w14:textId="69170F8F" w:rsidR="00AD35FB" w:rsidRPr="003413F6" w:rsidRDefault="00AD35FB" w:rsidP="00367D22">
            <w:pPr>
              <w:rPr>
                <w:sz w:val="20"/>
                <w:szCs w:val="20"/>
              </w:rPr>
            </w:pPr>
            <w:r w:rsidRPr="0073370F">
              <w:t>Risk description</w:t>
            </w:r>
          </w:p>
        </w:tc>
        <w:tc>
          <w:tcPr>
            <w:tcW w:w="1700" w:type="dxa"/>
          </w:tcPr>
          <w:p w14:paraId="73E0E4CD" w14:textId="1C3A91E1" w:rsidR="00AD35FB" w:rsidRPr="003413F6" w:rsidRDefault="00AD35FB"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Consequence</w:t>
            </w:r>
          </w:p>
        </w:tc>
        <w:tc>
          <w:tcPr>
            <w:tcW w:w="1316" w:type="dxa"/>
          </w:tcPr>
          <w:p w14:paraId="15B67BD2" w14:textId="3E8ADB75" w:rsidR="00AD35FB" w:rsidRPr="003413F6" w:rsidRDefault="00AD35FB"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Likelihood</w:t>
            </w:r>
          </w:p>
        </w:tc>
        <w:tc>
          <w:tcPr>
            <w:tcW w:w="970" w:type="dxa"/>
          </w:tcPr>
          <w:p w14:paraId="037534B6" w14:textId="5239F7C2" w:rsidR="00AD35FB" w:rsidRPr="003413F6" w:rsidRDefault="00AD35FB"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Rating</w:t>
            </w:r>
          </w:p>
        </w:tc>
        <w:tc>
          <w:tcPr>
            <w:tcW w:w="2551" w:type="dxa"/>
          </w:tcPr>
          <w:p w14:paraId="479979EA" w14:textId="2EDBA185" w:rsidR="00AD35FB" w:rsidRPr="003413F6" w:rsidRDefault="00AD35FB"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Mitigation</w:t>
            </w:r>
          </w:p>
        </w:tc>
      </w:tr>
      <w:tr w:rsidR="004E19B9" w14:paraId="4D02A2B1" w14:textId="77777777" w:rsidTr="004E19B9">
        <w:tc>
          <w:tcPr>
            <w:cnfStyle w:val="001000000000" w:firstRow="0" w:lastRow="0" w:firstColumn="1" w:lastColumn="0" w:oddVBand="0" w:evenVBand="0" w:oddHBand="0" w:evenHBand="0" w:firstRowFirstColumn="0" w:firstRowLastColumn="0" w:lastRowFirstColumn="0" w:lastRowLastColumn="0"/>
            <w:tcW w:w="2530" w:type="dxa"/>
          </w:tcPr>
          <w:p w14:paraId="123A680D" w14:textId="065BE7B0" w:rsidR="00AD35FB" w:rsidRPr="00CE0174" w:rsidRDefault="00AD35FB" w:rsidP="00CE0174">
            <w:pPr>
              <w:pStyle w:val="ListBullet2"/>
              <w:numPr>
                <w:ilvl w:val="0"/>
                <w:numId w:val="0"/>
              </w:numPr>
              <w:rPr>
                <w:color w:val="auto"/>
                <w:shd w:val="clear" w:color="auto" w:fill="FFFFFF"/>
              </w:rPr>
            </w:pPr>
            <w:r w:rsidRPr="00CE0174">
              <w:rPr>
                <w:color w:val="auto"/>
                <w:shd w:val="clear" w:color="auto" w:fill="FFFFFF"/>
              </w:rPr>
              <w:t xml:space="preserve">If actual comprehensive Australian sunscreen use data or further research is conducted, this could provide more robust information to model the estimating highest-use exposure in the Australian context. This may necessitate re-review of the ASEM which could require analysis and consultation. </w:t>
            </w:r>
          </w:p>
        </w:tc>
        <w:tc>
          <w:tcPr>
            <w:tcW w:w="1700" w:type="dxa"/>
          </w:tcPr>
          <w:p w14:paraId="65B67923" w14:textId="6E55BB3B" w:rsidR="00AD35FB" w:rsidRDefault="001437E1" w:rsidP="004E19B9">
            <w:pPr>
              <w:ind w:left="0"/>
              <w:cnfStyle w:val="000000000000" w:firstRow="0" w:lastRow="0" w:firstColumn="0" w:lastColumn="0" w:oddVBand="0" w:evenVBand="0" w:oddHBand="0" w:evenHBand="0" w:firstRowFirstColumn="0" w:firstRowLastColumn="0" w:lastRowFirstColumn="0" w:lastRowLastColumn="0"/>
            </w:pPr>
            <w:r>
              <w:t>Moderate</w:t>
            </w:r>
          </w:p>
        </w:tc>
        <w:tc>
          <w:tcPr>
            <w:tcW w:w="1316" w:type="dxa"/>
          </w:tcPr>
          <w:p w14:paraId="24521952" w14:textId="26355A54" w:rsidR="00AD35FB" w:rsidRDefault="001437E1" w:rsidP="004E19B9">
            <w:pPr>
              <w:ind w:left="0"/>
              <w:cnfStyle w:val="000000000000" w:firstRow="0" w:lastRow="0" w:firstColumn="0" w:lastColumn="0" w:oddVBand="0" w:evenVBand="0" w:oddHBand="0" w:evenHBand="0" w:firstRowFirstColumn="0" w:firstRowLastColumn="0" w:lastRowFirstColumn="0" w:lastRowLastColumn="0"/>
            </w:pPr>
            <w:r>
              <w:t>Unlikely</w:t>
            </w:r>
            <w:r w:rsidR="00AD35FB">
              <w:t xml:space="preserve"> </w:t>
            </w:r>
          </w:p>
        </w:tc>
        <w:tc>
          <w:tcPr>
            <w:tcW w:w="970" w:type="dxa"/>
            <w:shd w:val="clear" w:color="auto" w:fill="FFFF00"/>
          </w:tcPr>
          <w:p w14:paraId="6F4B8172" w14:textId="5F5A1021" w:rsidR="00AD35FB" w:rsidRDefault="001437E1" w:rsidP="004E19B9">
            <w:pPr>
              <w:ind w:left="0"/>
              <w:cnfStyle w:val="000000000000" w:firstRow="0" w:lastRow="0" w:firstColumn="0" w:lastColumn="0" w:oddVBand="0" w:evenVBand="0" w:oddHBand="0" w:evenHBand="0" w:firstRowFirstColumn="0" w:firstRowLastColumn="0" w:lastRowFirstColumn="0" w:lastRowLastColumn="0"/>
            </w:pPr>
            <w:r>
              <w:t>Medium</w:t>
            </w:r>
          </w:p>
        </w:tc>
        <w:tc>
          <w:tcPr>
            <w:tcW w:w="2551" w:type="dxa"/>
          </w:tcPr>
          <w:p w14:paraId="6BD984FB" w14:textId="017F33AB" w:rsidR="00AD35FB" w:rsidRPr="00B478EB" w:rsidRDefault="00AD35FB" w:rsidP="004E19B9">
            <w:pPr>
              <w:ind w:left="0"/>
              <w:cnfStyle w:val="000000000000" w:firstRow="0" w:lastRow="0" w:firstColumn="0" w:lastColumn="0" w:oddVBand="0" w:evenVBand="0" w:oddHBand="0" w:evenHBand="0" w:firstRowFirstColumn="0" w:firstRowLastColumn="0" w:lastRowFirstColumn="0" w:lastRowLastColumn="0"/>
            </w:pPr>
            <w:r w:rsidRPr="00B478EB">
              <w:rPr>
                <w:rFonts w:eastAsiaTheme="minorHAnsi" w:cstheme="minorBidi"/>
              </w:rPr>
              <w:t xml:space="preserve">This is unlikely however, as gathering such extensive data that would be statistically representative of all Australians poses challenges. The TGA will </w:t>
            </w:r>
            <w:r w:rsidR="007B5731">
              <w:rPr>
                <w:rFonts w:eastAsiaTheme="minorHAnsi" w:cstheme="minorBidi"/>
              </w:rPr>
              <w:t xml:space="preserve">continue to </w:t>
            </w:r>
            <w:r w:rsidRPr="00B478EB">
              <w:rPr>
                <w:rFonts w:eastAsiaTheme="minorHAnsi" w:cstheme="minorBidi"/>
              </w:rPr>
              <w:t>collaborate with relevant interested</w:t>
            </w:r>
            <w:r w:rsidR="007B5731">
              <w:rPr>
                <w:rFonts w:eastAsiaTheme="minorHAnsi" w:cstheme="minorBidi"/>
              </w:rPr>
              <w:t xml:space="preserve"> </w:t>
            </w:r>
            <w:r w:rsidRPr="00B478EB">
              <w:rPr>
                <w:rFonts w:eastAsiaTheme="minorHAnsi" w:cstheme="minorBidi"/>
              </w:rPr>
              <w:t>stakeholder</w:t>
            </w:r>
            <w:r w:rsidR="007B5731">
              <w:rPr>
                <w:rFonts w:eastAsiaTheme="minorHAnsi" w:cstheme="minorBidi"/>
              </w:rPr>
              <w:t>s</w:t>
            </w:r>
            <w:r w:rsidRPr="00B478EB">
              <w:rPr>
                <w:rFonts w:eastAsiaTheme="minorHAnsi" w:cstheme="minorBidi"/>
              </w:rPr>
              <w:t xml:space="preserve"> </w:t>
            </w:r>
            <w:r w:rsidR="007B5731">
              <w:rPr>
                <w:rFonts w:eastAsiaTheme="minorHAnsi" w:cstheme="minorBidi"/>
              </w:rPr>
              <w:t xml:space="preserve">on sunscreen issues to review the evidence </w:t>
            </w:r>
            <w:r w:rsidRPr="00B478EB">
              <w:rPr>
                <w:rFonts w:eastAsiaTheme="minorHAnsi" w:cstheme="minorBidi"/>
              </w:rPr>
              <w:t>should this arise.</w:t>
            </w:r>
          </w:p>
          <w:p w14:paraId="66798A3E" w14:textId="4B045DEF" w:rsidR="00AD35FB" w:rsidRDefault="00AD35FB" w:rsidP="00367D22">
            <w:pPr>
              <w:cnfStyle w:val="000000000000" w:firstRow="0" w:lastRow="0" w:firstColumn="0" w:lastColumn="0" w:oddVBand="0" w:evenVBand="0" w:oddHBand="0" w:evenHBand="0" w:firstRowFirstColumn="0" w:firstRowLastColumn="0" w:lastRowFirstColumn="0" w:lastRowLastColumn="0"/>
            </w:pPr>
          </w:p>
        </w:tc>
      </w:tr>
      <w:tr w:rsidR="004E19B9" w14:paraId="5FD9FC15" w14:textId="77777777" w:rsidTr="004E19B9">
        <w:tc>
          <w:tcPr>
            <w:cnfStyle w:val="001000000000" w:firstRow="0" w:lastRow="0" w:firstColumn="1" w:lastColumn="0" w:oddVBand="0" w:evenVBand="0" w:oddHBand="0" w:evenHBand="0" w:firstRowFirstColumn="0" w:firstRowLastColumn="0" w:lastRowFirstColumn="0" w:lastRowLastColumn="0"/>
            <w:tcW w:w="2530" w:type="dxa"/>
          </w:tcPr>
          <w:p w14:paraId="08C4D919" w14:textId="0603BBCB" w:rsidR="00AD35FB" w:rsidRPr="00CE0174" w:rsidRDefault="00AD35FB" w:rsidP="00CE0174">
            <w:pPr>
              <w:pStyle w:val="ListBullet2"/>
              <w:numPr>
                <w:ilvl w:val="0"/>
                <w:numId w:val="0"/>
              </w:numPr>
              <w:rPr>
                <w:color w:val="auto"/>
                <w:shd w:val="clear" w:color="auto" w:fill="FFFFFF"/>
              </w:rPr>
            </w:pPr>
            <w:r w:rsidRPr="00CE0174">
              <w:rPr>
                <w:color w:val="auto"/>
                <w:shd w:val="clear" w:color="auto" w:fill="FFFFFF"/>
              </w:rPr>
              <w:t>If there are technological advancements, changes in public behaviour, alternative sunscreen use guidelines, and new international risk assessment methods, this could also question the validity of the ASEM and require review.</w:t>
            </w:r>
          </w:p>
        </w:tc>
        <w:tc>
          <w:tcPr>
            <w:tcW w:w="1700" w:type="dxa"/>
          </w:tcPr>
          <w:p w14:paraId="02C94F34" w14:textId="67CBCCB9"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Major</w:t>
            </w:r>
          </w:p>
        </w:tc>
        <w:tc>
          <w:tcPr>
            <w:tcW w:w="1316" w:type="dxa"/>
          </w:tcPr>
          <w:p w14:paraId="7FF03D6D" w14:textId="44BF9C9A"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Possible</w:t>
            </w:r>
          </w:p>
        </w:tc>
        <w:tc>
          <w:tcPr>
            <w:tcW w:w="970" w:type="dxa"/>
            <w:shd w:val="clear" w:color="auto" w:fill="FF9933"/>
          </w:tcPr>
          <w:p w14:paraId="3E718000" w14:textId="0C51399F"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High</w:t>
            </w:r>
          </w:p>
        </w:tc>
        <w:tc>
          <w:tcPr>
            <w:tcW w:w="2551" w:type="dxa"/>
          </w:tcPr>
          <w:p w14:paraId="23486515" w14:textId="2D18C9AB" w:rsidR="00AD35FB" w:rsidRDefault="00AD35FB" w:rsidP="003523EA">
            <w:pPr>
              <w:ind w:left="0"/>
              <w:cnfStyle w:val="000000000000" w:firstRow="0" w:lastRow="0" w:firstColumn="0" w:lastColumn="0" w:oddVBand="0" w:evenVBand="0" w:oddHBand="0" w:evenHBand="0" w:firstRowFirstColumn="0" w:firstRowLastColumn="0" w:lastRowFirstColumn="0" w:lastRowLastColumn="0"/>
            </w:pPr>
            <w:r>
              <w:t>The TGA will maintain a watching brief in this area to determine if future revisions to the ASEM would be necessary, and to ensure that the ASEM remains fit for purpose.</w:t>
            </w:r>
          </w:p>
        </w:tc>
      </w:tr>
      <w:tr w:rsidR="004E19B9" w14:paraId="5EA20637" w14:textId="77777777" w:rsidTr="004E19B9">
        <w:tc>
          <w:tcPr>
            <w:cnfStyle w:val="001000000000" w:firstRow="0" w:lastRow="0" w:firstColumn="1" w:lastColumn="0" w:oddVBand="0" w:evenVBand="0" w:oddHBand="0" w:evenHBand="0" w:firstRowFirstColumn="0" w:firstRowLastColumn="0" w:lastRowFirstColumn="0" w:lastRowLastColumn="0"/>
            <w:tcW w:w="2530" w:type="dxa"/>
          </w:tcPr>
          <w:p w14:paraId="4A5CB0BF" w14:textId="57AC42B1" w:rsidR="00AD35FB" w:rsidRPr="00CE0174" w:rsidRDefault="00AD35FB" w:rsidP="00CE0174">
            <w:pPr>
              <w:pStyle w:val="ListBullet2"/>
              <w:numPr>
                <w:ilvl w:val="0"/>
                <w:numId w:val="0"/>
              </w:numPr>
              <w:rPr>
                <w:color w:val="auto"/>
                <w:shd w:val="clear" w:color="auto" w:fill="FFFFFF"/>
              </w:rPr>
            </w:pPr>
            <w:r w:rsidRPr="00CE0174">
              <w:rPr>
                <w:color w:val="auto"/>
                <w:shd w:val="clear" w:color="auto" w:fill="FFFFFF"/>
              </w:rPr>
              <w:t xml:space="preserve">The formal adoption of ASEM would not align with international jurisdictions that use the SCCS estimation of sunscreen use for risk assessments. This could lead to discrepancies where certain sunscreen ingredients are permitted overseas but restricted or limited to lower or higher maximum concentrations in therapeutic sunscreens in Australia and perceived by some industry stakeholders as a potential barrier to trade. </w:t>
            </w:r>
          </w:p>
        </w:tc>
        <w:tc>
          <w:tcPr>
            <w:tcW w:w="1700" w:type="dxa"/>
          </w:tcPr>
          <w:p w14:paraId="60F569E7" w14:textId="0D64C4DC"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Minor</w:t>
            </w:r>
          </w:p>
        </w:tc>
        <w:tc>
          <w:tcPr>
            <w:tcW w:w="1316" w:type="dxa"/>
          </w:tcPr>
          <w:p w14:paraId="41EC9D95" w14:textId="417B1A61"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Likely</w:t>
            </w:r>
          </w:p>
        </w:tc>
        <w:tc>
          <w:tcPr>
            <w:tcW w:w="970" w:type="dxa"/>
            <w:shd w:val="clear" w:color="auto" w:fill="FFFF00"/>
          </w:tcPr>
          <w:p w14:paraId="2D662EBA" w14:textId="59E76381" w:rsidR="00AD35FB" w:rsidRDefault="001437E1" w:rsidP="003523EA">
            <w:pPr>
              <w:ind w:left="0"/>
              <w:cnfStyle w:val="000000000000" w:firstRow="0" w:lastRow="0" w:firstColumn="0" w:lastColumn="0" w:oddVBand="0" w:evenVBand="0" w:oddHBand="0" w:evenHBand="0" w:firstRowFirstColumn="0" w:firstRowLastColumn="0" w:lastRowFirstColumn="0" w:lastRowLastColumn="0"/>
            </w:pPr>
            <w:r>
              <w:t>Medium</w:t>
            </w:r>
          </w:p>
        </w:tc>
        <w:tc>
          <w:tcPr>
            <w:tcW w:w="2551" w:type="dxa"/>
          </w:tcPr>
          <w:p w14:paraId="441B67FE" w14:textId="0ED3F31A" w:rsidR="00AD35FB" w:rsidRDefault="00AD35FB" w:rsidP="004E19B9">
            <w:pPr>
              <w:pStyle w:val="ListBullet2"/>
              <w:numPr>
                <w:ilvl w:val="0"/>
                <w:numId w:val="0"/>
              </w:numPr>
              <w:cnfStyle w:val="000000000000" w:firstRow="0" w:lastRow="0" w:firstColumn="0" w:lastColumn="0" w:oddVBand="0" w:evenVBand="0" w:oddHBand="0" w:evenHBand="0" w:firstRowFirstColumn="0" w:firstRowLastColumn="0" w:lastRowFirstColumn="0" w:lastRowLastColumn="0"/>
            </w:pPr>
            <w:r>
              <w:t xml:space="preserve">However, </w:t>
            </w:r>
            <w:r w:rsidRPr="004F0C05">
              <w:rPr>
                <w:color w:val="auto"/>
                <w:shd w:val="clear" w:color="auto" w:fill="FFFFFF"/>
              </w:rPr>
              <w:t xml:space="preserve">this also is currently the case, as sunscreens are regulated as therapeutic goods in Australia, and as such, have different regulatory requirements compared to overseas jurisdictions where these goods are regulated as cosmetics. Furthermore, use of the SCCS estimation is based on two methods depending on how dermal absorption data is reported, and this was discussed in detail the consultation paper to demonstrate that there could be significant differences in the risk assessments between each method. As such, even if the SCCS method was adopted in Australia, this could still result in significantly different risk assessments depending on the method used in the SCCS method. </w:t>
            </w:r>
          </w:p>
        </w:tc>
      </w:tr>
    </w:tbl>
    <w:p w14:paraId="3AA3F8A6" w14:textId="77777777" w:rsidR="006228E4" w:rsidRDefault="006228E4" w:rsidP="00127677"/>
    <w:p w14:paraId="7FCB5EE8" w14:textId="77A28C29" w:rsidR="006228E4" w:rsidRDefault="006228E4" w:rsidP="00F47305">
      <w:pPr>
        <w:pStyle w:val="Heading4"/>
      </w:pPr>
      <w:bookmarkStart w:id="162" w:name="_Toc184730617"/>
      <w:r>
        <w:t>Impact Analysis</w:t>
      </w:r>
      <w:r w:rsidR="0017572D">
        <w:t xml:space="preserve"> development</w:t>
      </w:r>
      <w:bookmarkEnd w:id="162"/>
    </w:p>
    <w:p w14:paraId="0C8F2532" w14:textId="779D2BC9" w:rsidR="006228E4" w:rsidRPr="00BB356B" w:rsidRDefault="006228E4" w:rsidP="006228E4">
      <w:r>
        <w:t xml:space="preserve">The table below </w:t>
      </w:r>
      <w:r w:rsidR="002665B0" w:rsidRPr="00BB356B">
        <w:t>(</w:t>
      </w:r>
      <w:hyperlink w:anchor="Table18" w:history="1">
        <w:r w:rsidR="002665B0" w:rsidRPr="00BB356B">
          <w:rPr>
            <w:rStyle w:val="Hyperlink"/>
          </w:rPr>
          <w:t xml:space="preserve">table </w:t>
        </w:r>
        <w:r w:rsidR="00BA117E" w:rsidRPr="00BB356B">
          <w:rPr>
            <w:rStyle w:val="Hyperlink"/>
          </w:rPr>
          <w:t>1</w:t>
        </w:r>
        <w:r w:rsidR="00BB356B" w:rsidRPr="00BB356B">
          <w:rPr>
            <w:rStyle w:val="Hyperlink"/>
          </w:rPr>
          <w:t>8</w:t>
        </w:r>
      </w:hyperlink>
      <w:r w:rsidR="002665B0" w:rsidRPr="00BB356B">
        <w:t>)</w:t>
      </w:r>
      <w:r w:rsidR="002665B0">
        <w:t xml:space="preserve"> </w:t>
      </w:r>
      <w:r>
        <w:t xml:space="preserve">documents the development if the IA in relation to major decision points in </w:t>
      </w:r>
      <w:r w:rsidRPr="00BB356B">
        <w:t>the process.</w:t>
      </w:r>
    </w:p>
    <w:p w14:paraId="116C333B" w14:textId="35525E8C" w:rsidR="002665B0" w:rsidRDefault="002665B0" w:rsidP="00B478EB">
      <w:pPr>
        <w:pStyle w:val="Tabletitle"/>
      </w:pPr>
      <w:bookmarkStart w:id="163" w:name="Table18"/>
      <w:r w:rsidRPr="00BB356B">
        <w:t xml:space="preserve">Table </w:t>
      </w:r>
      <w:r w:rsidR="00BA117E" w:rsidRPr="00BB356B">
        <w:t>1</w:t>
      </w:r>
      <w:r w:rsidR="00BB356B">
        <w:t>8</w:t>
      </w:r>
      <w:r w:rsidRPr="00BB356B">
        <w:t>: Impact</w:t>
      </w:r>
      <w:r>
        <w:t xml:space="preserve"> Analysis decision points and timelines</w:t>
      </w:r>
    </w:p>
    <w:tbl>
      <w:tblPr>
        <w:tblStyle w:val="TableTGAblue2023"/>
        <w:tblW w:w="9067" w:type="dxa"/>
        <w:tblLook w:val="04A0" w:firstRow="1" w:lastRow="0" w:firstColumn="1" w:lastColumn="0" w:noHBand="0" w:noVBand="1"/>
      </w:tblPr>
      <w:tblGrid>
        <w:gridCol w:w="4248"/>
        <w:gridCol w:w="2693"/>
        <w:gridCol w:w="2126"/>
      </w:tblGrid>
      <w:tr w:rsidR="006228E4" w:rsidRPr="0073370F" w14:paraId="2451BD69" w14:textId="77777777" w:rsidTr="004E1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bookmarkEnd w:id="163"/>
          <w:p w14:paraId="7C8A595E" w14:textId="5ED8D1CF" w:rsidR="006228E4" w:rsidRPr="003413F6" w:rsidRDefault="008D37E0" w:rsidP="00367D22">
            <w:pPr>
              <w:rPr>
                <w:sz w:val="20"/>
                <w:szCs w:val="20"/>
              </w:rPr>
            </w:pPr>
            <w:r w:rsidRPr="0073370F">
              <w:t>Decision point</w:t>
            </w:r>
          </w:p>
        </w:tc>
        <w:tc>
          <w:tcPr>
            <w:tcW w:w="2693" w:type="dxa"/>
          </w:tcPr>
          <w:p w14:paraId="497F306A" w14:textId="64E77879" w:rsidR="006228E4" w:rsidRPr="003413F6" w:rsidRDefault="006228E4" w:rsidP="00367D22">
            <w:pPr>
              <w:cnfStyle w:val="100000000000" w:firstRow="1" w:lastRow="0" w:firstColumn="0" w:lastColumn="0" w:oddVBand="0" w:evenVBand="0" w:oddHBand="0" w:evenHBand="0" w:firstRowFirstColumn="0" w:firstRowLastColumn="0" w:lastRowFirstColumn="0" w:lastRowLastColumn="0"/>
              <w:rPr>
                <w:sz w:val="20"/>
                <w:szCs w:val="20"/>
              </w:rPr>
            </w:pPr>
            <w:r w:rsidRPr="0073370F">
              <w:t>Timeframe</w:t>
            </w:r>
          </w:p>
        </w:tc>
        <w:tc>
          <w:tcPr>
            <w:tcW w:w="2126" w:type="dxa"/>
          </w:tcPr>
          <w:p w14:paraId="2F71302B" w14:textId="697EEA66" w:rsidR="006228E4" w:rsidRPr="003413F6" w:rsidRDefault="006228E4" w:rsidP="00367D22">
            <w:pPr>
              <w:cnfStyle w:val="100000000000" w:firstRow="1" w:lastRow="0" w:firstColumn="0" w:lastColumn="0" w:oddVBand="0" w:evenVBand="0" w:oddHBand="0" w:evenHBand="0" w:firstRowFirstColumn="0" w:firstRowLastColumn="0" w:lastRowFirstColumn="0" w:lastRowLastColumn="0"/>
              <w:rPr>
                <w:sz w:val="20"/>
                <w:szCs w:val="20"/>
              </w:rPr>
            </w:pPr>
            <w:r w:rsidRPr="0073370F">
              <w:t>Status of the IA</w:t>
            </w:r>
          </w:p>
        </w:tc>
      </w:tr>
      <w:tr w:rsidR="006228E4" w14:paraId="2B8E5EB5"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6EDC2C2D" w14:textId="0DC86ACE" w:rsidR="006228E4" w:rsidRPr="004E19B9" w:rsidRDefault="008D37E0" w:rsidP="006347CF">
            <w:pPr>
              <w:ind w:left="0"/>
              <w:rPr>
                <w:shd w:val="clear" w:color="auto" w:fill="FFFFFF"/>
              </w:rPr>
            </w:pPr>
            <w:r>
              <w:rPr>
                <w:shd w:val="clear" w:color="auto" w:fill="FFFFFF"/>
              </w:rPr>
              <w:t>C</w:t>
            </w:r>
            <w:r w:rsidR="006228E4" w:rsidRPr="004E19B9">
              <w:rPr>
                <w:shd w:val="clear" w:color="auto" w:fill="FFFFFF"/>
              </w:rPr>
              <w:t xml:space="preserve">onsider whether a sunscreen exposure model can be developed for the Australian </w:t>
            </w:r>
            <w:r w:rsidR="0018081C" w:rsidRPr="004E19B9">
              <w:rPr>
                <w:shd w:val="clear" w:color="auto" w:fill="FFFFFF"/>
              </w:rPr>
              <w:t>context</w:t>
            </w:r>
            <w:r w:rsidR="0018081C" w:rsidRPr="00A97C55">
              <w:rPr>
                <w:rFonts w:eastAsiaTheme="minorHAnsi" w:cstheme="minorBidi"/>
                <w:szCs w:val="20"/>
                <w:shd w:val="clear" w:color="auto" w:fill="FFFFFF"/>
                <w:vertAlign w:val="superscript"/>
                <w:lang w:eastAsia="en-US"/>
              </w:rPr>
              <w:footnoteReference w:id="33"/>
            </w:r>
          </w:p>
        </w:tc>
        <w:tc>
          <w:tcPr>
            <w:tcW w:w="2693" w:type="dxa"/>
          </w:tcPr>
          <w:p w14:paraId="463C3A40" w14:textId="5208D03D" w:rsidR="006228E4" w:rsidRPr="004E19B9" w:rsidRDefault="006228E4"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4E19B9">
              <w:rPr>
                <w:shd w:val="clear" w:color="auto" w:fill="FFFFFF"/>
              </w:rPr>
              <w:t>December 2023</w:t>
            </w:r>
          </w:p>
        </w:tc>
        <w:tc>
          <w:tcPr>
            <w:tcW w:w="2126" w:type="dxa"/>
          </w:tcPr>
          <w:p w14:paraId="0F939380" w14:textId="6A6CED0C" w:rsidR="006228E4" w:rsidRPr="004E19B9" w:rsidRDefault="00322449"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Not commenced</w:t>
            </w:r>
          </w:p>
        </w:tc>
      </w:tr>
      <w:tr w:rsidR="006228E4" w14:paraId="4368E489"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53FD96FC" w14:textId="2B10AE22" w:rsidR="006228E4" w:rsidRPr="004E19B9" w:rsidRDefault="0018081C" w:rsidP="006347CF">
            <w:pPr>
              <w:ind w:left="0"/>
              <w:rPr>
                <w:shd w:val="clear" w:color="auto" w:fill="FFFFFF"/>
              </w:rPr>
            </w:pPr>
            <w:r w:rsidRPr="00A97C55">
              <w:rPr>
                <w:rFonts w:eastAsiaTheme="minorHAnsi" w:cstheme="minorBidi"/>
                <w:szCs w:val="20"/>
                <w:lang w:eastAsia="en-US"/>
              </w:rPr>
              <w:t>Internal</w:t>
            </w:r>
            <w:r w:rsidRPr="004E19B9">
              <w:rPr>
                <w:shd w:val="clear" w:color="auto" w:fill="FFFFFF"/>
              </w:rPr>
              <w:t xml:space="preserve"> pre-consultation</w:t>
            </w:r>
          </w:p>
        </w:tc>
        <w:tc>
          <w:tcPr>
            <w:tcW w:w="2693" w:type="dxa"/>
          </w:tcPr>
          <w:p w14:paraId="42962FFE" w14:textId="0E6BB875" w:rsidR="006228E4" w:rsidRPr="004E19B9"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January</w:t>
            </w:r>
            <w:r w:rsidRPr="004E19B9">
              <w:rPr>
                <w:shd w:val="clear" w:color="auto" w:fill="FFFFFF"/>
              </w:rPr>
              <w:t xml:space="preserve"> </w:t>
            </w:r>
            <w:r w:rsidR="003472FD" w:rsidRPr="004E19B9">
              <w:rPr>
                <w:shd w:val="clear" w:color="auto" w:fill="FFFFFF"/>
              </w:rPr>
              <w:t>2024 – May 2024</w:t>
            </w:r>
          </w:p>
        </w:tc>
        <w:tc>
          <w:tcPr>
            <w:tcW w:w="2126" w:type="dxa"/>
          </w:tcPr>
          <w:p w14:paraId="16BBF313" w14:textId="11A03912" w:rsidR="006228E4" w:rsidRPr="004E19B9" w:rsidRDefault="00322449"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Not commenced</w:t>
            </w:r>
          </w:p>
        </w:tc>
      </w:tr>
      <w:tr w:rsidR="00322449" w14:paraId="35CE9F86"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4778DA5B" w14:textId="18948BDD" w:rsidR="00322449" w:rsidRDefault="00322449" w:rsidP="006347CF">
            <w:pPr>
              <w:ind w:left="0"/>
            </w:pPr>
            <w:r w:rsidRPr="000A420A">
              <w:rPr>
                <w:rFonts w:eastAsiaTheme="minorHAnsi" w:cstheme="minorBidi"/>
                <w:szCs w:val="20"/>
                <w:lang w:eastAsia="en-US"/>
              </w:rPr>
              <w:t>External pre-consultation: Key stakeholders</w:t>
            </w:r>
          </w:p>
        </w:tc>
        <w:tc>
          <w:tcPr>
            <w:tcW w:w="2693" w:type="dxa"/>
          </w:tcPr>
          <w:p w14:paraId="025DA802" w14:textId="74B56380" w:rsidR="00322449" w:rsidRPr="000A420A" w:rsidRDefault="00322449"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May 2024 – June 2024</w:t>
            </w:r>
          </w:p>
        </w:tc>
        <w:tc>
          <w:tcPr>
            <w:tcW w:w="2126" w:type="dxa"/>
          </w:tcPr>
          <w:p w14:paraId="5E030B1F" w14:textId="43620019" w:rsidR="00322449" w:rsidRPr="000A420A" w:rsidRDefault="00322449"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A62064">
              <w:rPr>
                <w:shd w:val="clear" w:color="auto" w:fill="FFFFFF"/>
              </w:rPr>
              <w:t>Not commenced</w:t>
            </w:r>
          </w:p>
        </w:tc>
      </w:tr>
      <w:tr w:rsidR="008D37E0" w14:paraId="291195AC"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64A2A7F1" w14:textId="60A9B7EF" w:rsidR="008D37E0" w:rsidRPr="000A420A" w:rsidRDefault="008D37E0" w:rsidP="006347CF">
            <w:pPr>
              <w:ind w:left="0"/>
              <w:rPr>
                <w:rFonts w:eastAsiaTheme="minorHAnsi" w:cstheme="minorBidi"/>
                <w:szCs w:val="20"/>
                <w:lang w:eastAsia="en-US"/>
              </w:rPr>
            </w:pPr>
            <w:r w:rsidRPr="000A420A">
              <w:rPr>
                <w:rFonts w:eastAsiaTheme="minorHAnsi" w:cstheme="minorBidi"/>
                <w:szCs w:val="20"/>
                <w:lang w:eastAsia="en-US"/>
              </w:rPr>
              <w:t>Public consultation opened</w:t>
            </w:r>
          </w:p>
        </w:tc>
        <w:tc>
          <w:tcPr>
            <w:tcW w:w="2693" w:type="dxa"/>
          </w:tcPr>
          <w:p w14:paraId="4F11BC3D" w14:textId="1145986B"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July 2024</w:t>
            </w:r>
          </w:p>
        </w:tc>
        <w:tc>
          <w:tcPr>
            <w:tcW w:w="2126" w:type="dxa"/>
          </w:tcPr>
          <w:p w14:paraId="766F5B61" w14:textId="69DAA964"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A62064">
              <w:rPr>
                <w:shd w:val="clear" w:color="auto" w:fill="FFFFFF"/>
              </w:rPr>
              <w:t>Not commenced</w:t>
            </w:r>
          </w:p>
        </w:tc>
      </w:tr>
      <w:tr w:rsidR="008D37E0" w14:paraId="02590134"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1DB6076A" w14:textId="7BA79042" w:rsidR="008D37E0" w:rsidRPr="000A420A" w:rsidRDefault="008D37E0" w:rsidP="006347CF">
            <w:pPr>
              <w:ind w:left="0"/>
              <w:rPr>
                <w:rFonts w:eastAsiaTheme="minorHAnsi" w:cstheme="minorBidi"/>
                <w:szCs w:val="20"/>
                <w:lang w:eastAsia="en-US"/>
              </w:rPr>
            </w:pPr>
            <w:r w:rsidRPr="000A420A">
              <w:rPr>
                <w:rFonts w:eastAsiaTheme="minorHAnsi" w:cstheme="minorBidi"/>
                <w:szCs w:val="20"/>
                <w:lang w:eastAsia="en-US"/>
              </w:rPr>
              <w:t>Public consultation closed</w:t>
            </w:r>
          </w:p>
        </w:tc>
        <w:tc>
          <w:tcPr>
            <w:tcW w:w="2693" w:type="dxa"/>
          </w:tcPr>
          <w:p w14:paraId="6B4724E1" w14:textId="4ADEAC5F"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August 2024</w:t>
            </w:r>
          </w:p>
        </w:tc>
        <w:tc>
          <w:tcPr>
            <w:tcW w:w="2126" w:type="dxa"/>
          </w:tcPr>
          <w:p w14:paraId="235EAE7F" w14:textId="6CDE9949"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Under development</w:t>
            </w:r>
          </w:p>
        </w:tc>
      </w:tr>
      <w:tr w:rsidR="008D37E0" w14:paraId="5372CDAC"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0238C420" w14:textId="27C6DDC7" w:rsidR="008D37E0" w:rsidRPr="000A420A" w:rsidRDefault="008D37E0" w:rsidP="006347CF">
            <w:pPr>
              <w:ind w:left="0"/>
              <w:rPr>
                <w:rFonts w:eastAsiaTheme="minorHAnsi" w:cstheme="minorBidi"/>
                <w:szCs w:val="20"/>
                <w:lang w:eastAsia="en-US"/>
              </w:rPr>
            </w:pPr>
            <w:r w:rsidRPr="000A420A">
              <w:rPr>
                <w:rFonts w:eastAsiaTheme="minorHAnsi" w:cstheme="minorBidi"/>
                <w:szCs w:val="20"/>
                <w:lang w:eastAsia="en-US"/>
              </w:rPr>
              <w:t>Assess feedback from consultation</w:t>
            </w:r>
          </w:p>
        </w:tc>
        <w:tc>
          <w:tcPr>
            <w:tcW w:w="2693" w:type="dxa"/>
          </w:tcPr>
          <w:p w14:paraId="56C8C349" w14:textId="4BD48ECD"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August 2024</w:t>
            </w:r>
          </w:p>
        </w:tc>
        <w:tc>
          <w:tcPr>
            <w:tcW w:w="2126" w:type="dxa"/>
          </w:tcPr>
          <w:p w14:paraId="6EF8A22F" w14:textId="15086FCE"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Under development</w:t>
            </w:r>
          </w:p>
        </w:tc>
      </w:tr>
      <w:tr w:rsidR="008D37E0" w14:paraId="2BE54664"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1DF3921D" w14:textId="0C3C03AE" w:rsidR="008D37E0" w:rsidRDefault="008D37E0" w:rsidP="006347CF">
            <w:pPr>
              <w:ind w:left="0"/>
            </w:pPr>
            <w:r w:rsidRPr="000A420A">
              <w:rPr>
                <w:rFonts w:eastAsiaTheme="minorHAnsi" w:cstheme="minorBidi"/>
                <w:szCs w:val="20"/>
                <w:lang w:eastAsia="en-US"/>
              </w:rPr>
              <w:t>Draft ASEM outcome</w:t>
            </w:r>
          </w:p>
        </w:tc>
        <w:tc>
          <w:tcPr>
            <w:tcW w:w="2693" w:type="dxa"/>
          </w:tcPr>
          <w:p w14:paraId="24391CC2" w14:textId="3F2BC7D9"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September 2024 – November 2024</w:t>
            </w:r>
          </w:p>
        </w:tc>
        <w:tc>
          <w:tcPr>
            <w:tcW w:w="2126" w:type="dxa"/>
          </w:tcPr>
          <w:p w14:paraId="3E10F71F" w14:textId="70A165EC"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Under development</w:t>
            </w:r>
          </w:p>
        </w:tc>
      </w:tr>
      <w:tr w:rsidR="008D37E0" w14:paraId="4D2CBE97"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563EA28F" w14:textId="17477199" w:rsidR="008D37E0" w:rsidRDefault="008D37E0" w:rsidP="006347CF">
            <w:pPr>
              <w:ind w:left="0"/>
            </w:pPr>
            <w:r w:rsidRPr="000A420A">
              <w:rPr>
                <w:rFonts w:eastAsiaTheme="minorHAnsi" w:cstheme="minorBidi"/>
                <w:szCs w:val="20"/>
                <w:lang w:eastAsia="en-US"/>
              </w:rPr>
              <w:t>IA submitted to the OIA for 1st Pass assessment</w:t>
            </w:r>
          </w:p>
        </w:tc>
        <w:tc>
          <w:tcPr>
            <w:tcW w:w="2693" w:type="dxa"/>
          </w:tcPr>
          <w:p w14:paraId="3BEF2B4E" w14:textId="6E8750DB"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September 2024</w:t>
            </w:r>
          </w:p>
        </w:tc>
        <w:tc>
          <w:tcPr>
            <w:tcW w:w="2126" w:type="dxa"/>
          </w:tcPr>
          <w:p w14:paraId="615D23A1" w14:textId="3B3DE0DB" w:rsidR="008D37E0" w:rsidRPr="000A420A" w:rsidRDefault="0017572D"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1</w:t>
            </w:r>
            <w:r w:rsidRPr="000A420A">
              <w:rPr>
                <w:shd w:val="clear" w:color="auto" w:fill="FFFFFF"/>
                <w:vertAlign w:val="superscript"/>
              </w:rPr>
              <w:t xml:space="preserve">st </w:t>
            </w:r>
            <w:r w:rsidR="008D37E0" w:rsidRPr="000A420A">
              <w:rPr>
                <w:shd w:val="clear" w:color="auto" w:fill="FFFFFF"/>
              </w:rPr>
              <w:t>Pass assessment of IA completed</w:t>
            </w:r>
          </w:p>
        </w:tc>
      </w:tr>
      <w:tr w:rsidR="008D37E0" w14:paraId="464F58CD"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7C95D1AE" w14:textId="01BADF29" w:rsidR="008D37E0" w:rsidRPr="000A420A" w:rsidRDefault="008D37E0" w:rsidP="006347CF">
            <w:pPr>
              <w:ind w:left="0"/>
              <w:rPr>
                <w:rFonts w:eastAsiaTheme="minorHAnsi" w:cstheme="minorBidi"/>
                <w:szCs w:val="20"/>
                <w:lang w:eastAsia="en-US"/>
              </w:rPr>
            </w:pPr>
            <w:r w:rsidRPr="000A420A">
              <w:rPr>
                <w:rFonts w:eastAsiaTheme="minorHAnsi" w:cstheme="minorBidi"/>
                <w:szCs w:val="20"/>
                <w:lang w:eastAsia="en-US"/>
              </w:rPr>
              <w:t>OIA 1</w:t>
            </w:r>
            <w:r w:rsidRPr="000A420A">
              <w:rPr>
                <w:rFonts w:eastAsiaTheme="minorHAnsi" w:cstheme="minorBidi"/>
                <w:szCs w:val="20"/>
                <w:vertAlign w:val="superscript"/>
                <w:lang w:eastAsia="en-US"/>
              </w:rPr>
              <w:t>st</w:t>
            </w:r>
            <w:r w:rsidRPr="000A420A">
              <w:rPr>
                <w:rFonts w:eastAsiaTheme="minorHAnsi" w:cstheme="minorBidi"/>
                <w:szCs w:val="20"/>
                <w:lang w:eastAsia="en-US"/>
              </w:rPr>
              <w:t xml:space="preserve"> Pass assessment comments addressed in the IA and IA submitted to the OIA for 2</w:t>
            </w:r>
            <w:r w:rsidRPr="000A420A">
              <w:rPr>
                <w:rFonts w:eastAsiaTheme="minorHAnsi" w:cstheme="minorBidi"/>
                <w:szCs w:val="20"/>
                <w:vertAlign w:val="superscript"/>
                <w:lang w:eastAsia="en-US"/>
              </w:rPr>
              <w:t xml:space="preserve">nd </w:t>
            </w:r>
            <w:r w:rsidRPr="000A420A">
              <w:rPr>
                <w:rFonts w:eastAsiaTheme="minorHAnsi" w:cstheme="minorBidi"/>
                <w:szCs w:val="20"/>
                <w:lang w:eastAsia="en-US"/>
              </w:rPr>
              <w:t>Pass Final assessment</w:t>
            </w:r>
          </w:p>
        </w:tc>
        <w:tc>
          <w:tcPr>
            <w:tcW w:w="2693" w:type="dxa"/>
          </w:tcPr>
          <w:p w14:paraId="1A99FD32" w14:textId="7696B846"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November 2024</w:t>
            </w:r>
          </w:p>
        </w:tc>
        <w:tc>
          <w:tcPr>
            <w:tcW w:w="2126" w:type="dxa"/>
          </w:tcPr>
          <w:p w14:paraId="209319BE" w14:textId="5F03A962"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IA presented to OIA for 2</w:t>
            </w:r>
            <w:r w:rsidRPr="000A420A">
              <w:rPr>
                <w:shd w:val="clear" w:color="auto" w:fill="FFFFFF"/>
                <w:vertAlign w:val="superscript"/>
              </w:rPr>
              <w:t>nd</w:t>
            </w:r>
            <w:r w:rsidRPr="000A420A">
              <w:rPr>
                <w:shd w:val="clear" w:color="auto" w:fill="FFFFFF"/>
              </w:rPr>
              <w:t xml:space="preserve"> Pass assessment</w:t>
            </w:r>
          </w:p>
        </w:tc>
      </w:tr>
      <w:tr w:rsidR="008D37E0" w14:paraId="740DC8D1"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3636DD5F" w14:textId="075DE2BC" w:rsidR="008D37E0" w:rsidRPr="000A420A" w:rsidRDefault="008D37E0" w:rsidP="006347CF">
            <w:pPr>
              <w:ind w:left="0"/>
              <w:rPr>
                <w:rFonts w:eastAsiaTheme="minorHAnsi" w:cstheme="minorBidi"/>
                <w:szCs w:val="20"/>
                <w:lang w:eastAsia="en-US"/>
              </w:rPr>
            </w:pPr>
            <w:r w:rsidRPr="000A420A">
              <w:rPr>
                <w:rFonts w:eastAsiaTheme="minorHAnsi" w:cstheme="minorBidi"/>
                <w:szCs w:val="20"/>
                <w:lang w:eastAsia="en-US"/>
              </w:rPr>
              <w:t xml:space="preserve">Final ASEM </w:t>
            </w:r>
            <w:r w:rsidR="0017572D" w:rsidRPr="000A420A">
              <w:rPr>
                <w:rFonts w:eastAsiaTheme="minorHAnsi" w:cstheme="minorBidi"/>
                <w:szCs w:val="20"/>
                <w:lang w:eastAsia="en-US"/>
              </w:rPr>
              <w:t xml:space="preserve">and IA </w:t>
            </w:r>
            <w:r w:rsidRPr="000A420A">
              <w:rPr>
                <w:rFonts w:eastAsiaTheme="minorHAnsi" w:cstheme="minorBidi"/>
                <w:szCs w:val="20"/>
                <w:lang w:eastAsia="en-US"/>
              </w:rPr>
              <w:t>published</w:t>
            </w:r>
          </w:p>
        </w:tc>
        <w:tc>
          <w:tcPr>
            <w:tcW w:w="2693" w:type="dxa"/>
          </w:tcPr>
          <w:p w14:paraId="71D76352" w14:textId="10D523D3"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December 2024</w:t>
            </w:r>
          </w:p>
        </w:tc>
        <w:tc>
          <w:tcPr>
            <w:tcW w:w="2126" w:type="dxa"/>
          </w:tcPr>
          <w:p w14:paraId="6F0A2A83" w14:textId="2BA5B844" w:rsidR="008D37E0" w:rsidRPr="000A420A" w:rsidRDefault="008D37E0" w:rsidP="006347CF">
            <w:pPr>
              <w:ind w:left="0"/>
              <w:cnfStyle w:val="000000000000" w:firstRow="0" w:lastRow="0" w:firstColumn="0" w:lastColumn="0" w:oddVBand="0" w:evenVBand="0" w:oddHBand="0" w:evenHBand="0" w:firstRowFirstColumn="0" w:firstRowLastColumn="0" w:lastRowFirstColumn="0" w:lastRowLastColumn="0"/>
              <w:rPr>
                <w:shd w:val="clear" w:color="auto" w:fill="FFFFFF"/>
              </w:rPr>
            </w:pPr>
            <w:r w:rsidRPr="000A420A">
              <w:rPr>
                <w:shd w:val="clear" w:color="auto" w:fill="FFFFFF"/>
              </w:rPr>
              <w:t>To be informed by an IA that has been assessed by the OIA</w:t>
            </w:r>
          </w:p>
        </w:tc>
      </w:tr>
    </w:tbl>
    <w:p w14:paraId="19FB6CDE" w14:textId="2983AEFD" w:rsidR="00100B1C" w:rsidRDefault="00100B1C" w:rsidP="000A420A">
      <w:pPr>
        <w:pStyle w:val="Heading2"/>
        <w:numPr>
          <w:ilvl w:val="0"/>
          <w:numId w:val="32"/>
        </w:numPr>
      </w:pPr>
      <w:bookmarkStart w:id="164" w:name="_Toc181179991"/>
      <w:bookmarkStart w:id="165" w:name="_Toc181863317"/>
      <w:bookmarkStart w:id="166" w:name="_Toc182485153"/>
      <w:bookmarkStart w:id="167" w:name="_Toc182485240"/>
      <w:bookmarkStart w:id="168" w:name="_Toc184730618"/>
      <w:bookmarkEnd w:id="164"/>
      <w:bookmarkEnd w:id="165"/>
      <w:bookmarkEnd w:id="166"/>
      <w:bookmarkEnd w:id="167"/>
      <w:r>
        <w:t>How will you evaluate yo</w:t>
      </w:r>
      <w:r w:rsidR="002437AC">
        <w:t>ur chosen option against the success matrices?</w:t>
      </w:r>
      <w:bookmarkEnd w:id="168"/>
    </w:p>
    <w:p w14:paraId="7EBF40F3" w14:textId="5818FDAB" w:rsidR="004A476E" w:rsidRDefault="00492C8C" w:rsidP="00A45737">
      <w:r>
        <w:t>Continuous</w:t>
      </w:r>
      <w:r w:rsidR="00A45737">
        <w:t xml:space="preserve"> assessment </w:t>
      </w:r>
      <w:r>
        <w:t>will follow</w:t>
      </w:r>
      <w:r w:rsidR="002D7E9A">
        <w:t xml:space="preserve"> the</w:t>
      </w:r>
      <w:r w:rsidR="00A45737">
        <w:t xml:space="preserve"> adopti</w:t>
      </w:r>
      <w:r>
        <w:t>on</w:t>
      </w:r>
      <w:r w:rsidR="00A45737">
        <w:t xml:space="preserve"> </w:t>
      </w:r>
      <w:r w:rsidR="009237C0">
        <w:t xml:space="preserve">of </w:t>
      </w:r>
      <w:r w:rsidR="00A45737">
        <w:t xml:space="preserve">Option 1 as the </w:t>
      </w:r>
      <w:r w:rsidR="009237C0">
        <w:t xml:space="preserve">preferred </w:t>
      </w:r>
      <w:r w:rsidR="00A45737">
        <w:t>model for risk assessments for sunscreen active ingredients. The monitoring and evaluation plan</w:t>
      </w:r>
      <w:r>
        <w:t xml:space="preserve">, detailed </w:t>
      </w:r>
      <w:r w:rsidR="00BA117E" w:rsidRPr="00BB356B">
        <w:t xml:space="preserve">in </w:t>
      </w:r>
      <w:hyperlink w:anchor="Table19" w:history="1">
        <w:r w:rsidR="00BA117E" w:rsidRPr="00BB356B">
          <w:rPr>
            <w:rStyle w:val="Hyperlink"/>
          </w:rPr>
          <w:t>table 1</w:t>
        </w:r>
        <w:r w:rsidR="00BB356B" w:rsidRPr="00BB356B">
          <w:rPr>
            <w:rStyle w:val="Hyperlink"/>
          </w:rPr>
          <w:t>9</w:t>
        </w:r>
        <w:r w:rsidRPr="00BB356B">
          <w:rPr>
            <w:rStyle w:val="Hyperlink"/>
          </w:rPr>
          <w:t>,</w:t>
        </w:r>
      </w:hyperlink>
      <w:r>
        <w:t xml:space="preserve"> will be conducted both continuously and at scheduled intervals. </w:t>
      </w:r>
      <w:r w:rsidR="00A45737">
        <w:t xml:space="preserve">This will be </w:t>
      </w:r>
      <w:r>
        <w:t xml:space="preserve">carried out by </w:t>
      </w:r>
      <w:r w:rsidR="00A45737">
        <w:t xml:space="preserve">the TGA, </w:t>
      </w:r>
      <w:r>
        <w:t xml:space="preserve">with ongoing collaboration with </w:t>
      </w:r>
      <w:r w:rsidR="00A45737">
        <w:t>domestic regulators and agencies</w:t>
      </w:r>
      <w:r w:rsidR="003F3A3A">
        <w:t>,</w:t>
      </w:r>
      <w:r w:rsidR="00A45737">
        <w:t xml:space="preserve"> and industry </w:t>
      </w:r>
      <w:r w:rsidR="004A476E">
        <w:t>peak bodies</w:t>
      </w:r>
      <w:r w:rsidR="00A45737">
        <w:t>.</w:t>
      </w:r>
    </w:p>
    <w:p w14:paraId="1458B4B5" w14:textId="69F5FDA8" w:rsidR="002665B0" w:rsidRDefault="002665B0" w:rsidP="00B478EB">
      <w:pPr>
        <w:pStyle w:val="Tabletitle"/>
      </w:pPr>
      <w:bookmarkStart w:id="169" w:name="Table19"/>
      <w:r w:rsidRPr="00BB356B">
        <w:t xml:space="preserve">Table </w:t>
      </w:r>
      <w:r w:rsidR="00BA117E" w:rsidRPr="00BB356B">
        <w:t>1</w:t>
      </w:r>
      <w:r w:rsidR="00BB356B" w:rsidRPr="00BB356B">
        <w:t>9</w:t>
      </w:r>
      <w:r w:rsidRPr="00BB356B">
        <w:t>:</w:t>
      </w:r>
      <w:r>
        <w:t xml:space="preserve"> Evaluation plan for adopting the Australian Sunscreen Exposure Model</w:t>
      </w:r>
    </w:p>
    <w:tbl>
      <w:tblPr>
        <w:tblStyle w:val="TableTGAblue2023"/>
        <w:tblW w:w="9067" w:type="dxa"/>
        <w:tblLayout w:type="fixed"/>
        <w:tblLook w:val="04A0" w:firstRow="1" w:lastRow="0" w:firstColumn="1" w:lastColumn="0" w:noHBand="0" w:noVBand="1"/>
      </w:tblPr>
      <w:tblGrid>
        <w:gridCol w:w="4248"/>
        <w:gridCol w:w="1843"/>
        <w:gridCol w:w="1559"/>
        <w:gridCol w:w="1417"/>
      </w:tblGrid>
      <w:tr w:rsidR="00322449" w:rsidRPr="0073370F" w14:paraId="65AEEDFA" w14:textId="221113FB" w:rsidTr="004E1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bookmarkEnd w:id="169"/>
          <w:p w14:paraId="3FDF16D6" w14:textId="3970C439" w:rsidR="004A476E" w:rsidRPr="003413F6" w:rsidRDefault="004A476E" w:rsidP="00035B0B">
            <w:pPr>
              <w:rPr>
                <w:sz w:val="20"/>
                <w:szCs w:val="20"/>
              </w:rPr>
            </w:pPr>
            <w:r w:rsidRPr="0073370F">
              <w:t>Evaluation criteria</w:t>
            </w:r>
          </w:p>
        </w:tc>
        <w:tc>
          <w:tcPr>
            <w:tcW w:w="1843" w:type="dxa"/>
          </w:tcPr>
          <w:p w14:paraId="01DACC20" w14:textId="2ADC9927" w:rsidR="004A476E" w:rsidRPr="003413F6" w:rsidRDefault="004901E0"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Responsibility</w:t>
            </w:r>
          </w:p>
        </w:tc>
        <w:tc>
          <w:tcPr>
            <w:tcW w:w="1559" w:type="dxa"/>
          </w:tcPr>
          <w:p w14:paraId="6C7BD533" w14:textId="48A37FA1" w:rsidR="004A476E" w:rsidRPr="003413F6" w:rsidRDefault="004A476E"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Relevant data</w:t>
            </w:r>
          </w:p>
        </w:tc>
        <w:tc>
          <w:tcPr>
            <w:tcW w:w="1417" w:type="dxa"/>
          </w:tcPr>
          <w:p w14:paraId="04384573" w14:textId="598037D0" w:rsidR="004A476E" w:rsidRPr="003413F6" w:rsidRDefault="004A476E" w:rsidP="004E19B9">
            <w:pPr>
              <w:ind w:left="0"/>
              <w:cnfStyle w:val="100000000000" w:firstRow="1" w:lastRow="0" w:firstColumn="0" w:lastColumn="0" w:oddVBand="0" w:evenVBand="0" w:oddHBand="0" w:evenHBand="0" w:firstRowFirstColumn="0" w:firstRowLastColumn="0" w:lastRowFirstColumn="0" w:lastRowLastColumn="0"/>
              <w:rPr>
                <w:sz w:val="20"/>
                <w:szCs w:val="20"/>
              </w:rPr>
            </w:pPr>
            <w:r w:rsidRPr="0073370F">
              <w:t>Timeframe</w:t>
            </w:r>
          </w:p>
        </w:tc>
      </w:tr>
      <w:tr w:rsidR="006D4CE9" w14:paraId="334518F1" w14:textId="01E6FF4A" w:rsidTr="004E19B9">
        <w:tc>
          <w:tcPr>
            <w:cnfStyle w:val="001000000000" w:firstRow="0" w:lastRow="0" w:firstColumn="1" w:lastColumn="0" w:oddVBand="0" w:evenVBand="0" w:oddHBand="0" w:evenHBand="0" w:firstRowFirstColumn="0" w:firstRowLastColumn="0" w:lastRowFirstColumn="0" w:lastRowLastColumn="0"/>
            <w:tcW w:w="4248" w:type="dxa"/>
          </w:tcPr>
          <w:p w14:paraId="7422D503" w14:textId="6EF141D3" w:rsidR="006D4CE9" w:rsidRPr="00B478EB" w:rsidRDefault="006D4CE9" w:rsidP="006D4CE9">
            <w:pPr>
              <w:ind w:left="0"/>
              <w:rPr>
                <w:b/>
                <w:bCs/>
              </w:rPr>
            </w:pPr>
            <w:bookmarkStart w:id="170" w:name="_Hlk181109929"/>
            <w:r w:rsidRPr="00B478EB">
              <w:rPr>
                <w:b/>
                <w:bCs/>
              </w:rPr>
              <w:t>Peak</w:t>
            </w:r>
            <w:r>
              <w:rPr>
                <w:b/>
                <w:bCs/>
              </w:rPr>
              <w:t xml:space="preserve"> industry</w:t>
            </w:r>
            <w:r w:rsidRPr="00B478EB">
              <w:rPr>
                <w:b/>
                <w:bCs/>
              </w:rPr>
              <w:t xml:space="preserve"> bodies to provide an update to the TGA at the TGA’s Industry forum (</w:t>
            </w:r>
            <w:r w:rsidRPr="002D7E9A">
              <w:rPr>
                <w:b/>
                <w:bCs/>
              </w:rPr>
              <w:t>Complementary and OTC Medicines Regulatory and Technical Consultative Forum</w:t>
            </w:r>
            <w:r w:rsidRPr="00B478EB">
              <w:rPr>
                <w:b/>
                <w:bCs/>
              </w:rPr>
              <w:t xml:space="preserve">) </w:t>
            </w:r>
          </w:p>
          <w:p w14:paraId="7DD440CD" w14:textId="3E9E4380" w:rsidR="006D4CE9" w:rsidRDefault="006D4CE9" w:rsidP="006D4CE9">
            <w:pPr>
              <w:ind w:left="0"/>
            </w:pPr>
            <w:r>
              <w:t>Specific agenda item at ComTech meeting in mid 2025-2026 to discuss adoption of the ASEM. Industry to provide feedback from a</w:t>
            </w:r>
            <w:r w:rsidRPr="004E19B9">
              <w:t>pplicants/agents outlining their experience regarding interpretation of the ASEM and updated ARGS</w:t>
            </w:r>
            <w:r>
              <w:t>. Industry can provide feedback if there have been quantitative changes in dollar value /time required to complete an application that could be attributed to using the ASEM, as this information was not able to be provided during development of the IA.</w:t>
            </w:r>
          </w:p>
        </w:tc>
        <w:tc>
          <w:tcPr>
            <w:tcW w:w="1843" w:type="dxa"/>
          </w:tcPr>
          <w:p w14:paraId="50ECEF0A" w14:textId="7F840B8B" w:rsidR="006D4CE9" w:rsidRDefault="006D4CE9" w:rsidP="006D4CE9">
            <w:pPr>
              <w:ind w:left="0"/>
              <w:cnfStyle w:val="000000000000" w:firstRow="0" w:lastRow="0" w:firstColumn="0" w:lastColumn="0" w:oddVBand="0" w:evenVBand="0" w:oddHBand="0" w:evenHBand="0" w:firstRowFirstColumn="0" w:firstRowLastColumn="0" w:lastRowFirstColumn="0" w:lastRowLastColumn="0"/>
            </w:pPr>
            <w:r>
              <w:t>Industry peak bodies</w:t>
            </w:r>
          </w:p>
        </w:tc>
        <w:tc>
          <w:tcPr>
            <w:tcW w:w="1559" w:type="dxa"/>
          </w:tcPr>
          <w:p w14:paraId="52C6E4D1" w14:textId="288F0A77" w:rsidR="006D4CE9" w:rsidRDefault="006D4CE9" w:rsidP="006D4CE9">
            <w:pPr>
              <w:ind w:left="0"/>
              <w:cnfStyle w:val="000000000000" w:firstRow="0" w:lastRow="0" w:firstColumn="0" w:lastColumn="0" w:oddVBand="0" w:evenVBand="0" w:oddHBand="0" w:evenHBand="0" w:firstRowFirstColumn="0" w:firstRowLastColumn="0" w:lastRowFirstColumn="0" w:lastRowLastColumn="0"/>
            </w:pPr>
            <w:r>
              <w:t>Analysis of Member feedback.</w:t>
            </w:r>
          </w:p>
        </w:tc>
        <w:tc>
          <w:tcPr>
            <w:tcW w:w="1417" w:type="dxa"/>
          </w:tcPr>
          <w:p w14:paraId="15DC6A70" w14:textId="1879ED40" w:rsidR="006D4CE9" w:rsidRDefault="006D4CE9" w:rsidP="006D4CE9">
            <w:pPr>
              <w:ind w:left="0"/>
              <w:cnfStyle w:val="000000000000" w:firstRow="0" w:lastRow="0" w:firstColumn="0" w:lastColumn="0" w:oddVBand="0" w:evenVBand="0" w:oddHBand="0" w:evenHBand="0" w:firstRowFirstColumn="0" w:firstRowLastColumn="0" w:lastRowFirstColumn="0" w:lastRowLastColumn="0"/>
            </w:pPr>
            <w:r>
              <w:t xml:space="preserve">Yearly over a five-year period, and ad-hoc feedback </w:t>
            </w:r>
            <w:r w:rsidR="00E00F26">
              <w:t>can be</w:t>
            </w:r>
            <w:r>
              <w:t xml:space="preserve"> provided if issues arise. </w:t>
            </w:r>
          </w:p>
        </w:tc>
      </w:tr>
      <w:tr w:rsidR="00322449" w14:paraId="110C9EA3" w14:textId="43EC1924" w:rsidTr="004E19B9">
        <w:tc>
          <w:tcPr>
            <w:cnfStyle w:val="001000000000" w:firstRow="0" w:lastRow="0" w:firstColumn="1" w:lastColumn="0" w:oddVBand="0" w:evenVBand="0" w:oddHBand="0" w:evenHBand="0" w:firstRowFirstColumn="0" w:firstRowLastColumn="0" w:lastRowFirstColumn="0" w:lastRowLastColumn="0"/>
            <w:tcW w:w="4248" w:type="dxa"/>
          </w:tcPr>
          <w:p w14:paraId="01F7EC52" w14:textId="7DE6F7D1" w:rsidR="004A476E" w:rsidRPr="00B478EB" w:rsidRDefault="00904992" w:rsidP="004E19B9">
            <w:pPr>
              <w:ind w:left="0"/>
              <w:rPr>
                <w:b/>
                <w:bCs/>
              </w:rPr>
            </w:pPr>
            <w:r w:rsidRPr="00B478EB">
              <w:rPr>
                <w:b/>
                <w:bCs/>
              </w:rPr>
              <w:t>Stakeholder engagement/feedback</w:t>
            </w:r>
          </w:p>
          <w:p w14:paraId="0083B6C8" w14:textId="77777777" w:rsidR="004901E0" w:rsidRDefault="004901E0" w:rsidP="004E19B9">
            <w:pPr>
              <w:ind w:left="0"/>
            </w:pPr>
            <w:r>
              <w:t>The TGA will consider any feedback from applicants for new ingredients and TGA evaluators, regarding whether the ARGS guidance is clear about the risk assessment process and the ASEM is easy to understand and use.</w:t>
            </w:r>
          </w:p>
          <w:p w14:paraId="7CDAA86B" w14:textId="59C0FE3E" w:rsidR="004901E0" w:rsidRDefault="004901E0" w:rsidP="004E19B9">
            <w:pPr>
              <w:ind w:left="0"/>
            </w:pPr>
            <w:r>
              <w:t xml:space="preserve">Negative feedback could indicate the guidance requires revision to ensure the ASEM is easy to use and supports ingredient applicants to understand the process. The aim will be to understand if the ASEM has made the evaluation process clearer and easier to follow.  </w:t>
            </w:r>
          </w:p>
        </w:tc>
        <w:tc>
          <w:tcPr>
            <w:tcW w:w="1843" w:type="dxa"/>
          </w:tcPr>
          <w:p w14:paraId="57A713E5" w14:textId="4807680A" w:rsidR="004A476E" w:rsidRDefault="004901E0" w:rsidP="004E19B9">
            <w:pPr>
              <w:ind w:left="0"/>
              <w:cnfStyle w:val="000000000000" w:firstRow="0" w:lastRow="0" w:firstColumn="0" w:lastColumn="0" w:oddVBand="0" w:evenVBand="0" w:oddHBand="0" w:evenHBand="0" w:firstRowFirstColumn="0" w:firstRowLastColumn="0" w:lastRowFirstColumn="0" w:lastRowLastColumn="0"/>
            </w:pPr>
            <w:r>
              <w:t xml:space="preserve">TGA </w:t>
            </w:r>
          </w:p>
        </w:tc>
        <w:tc>
          <w:tcPr>
            <w:tcW w:w="1559" w:type="dxa"/>
          </w:tcPr>
          <w:p w14:paraId="6B7C0D06" w14:textId="78C1D959" w:rsidR="004A476E" w:rsidRDefault="006D4CE9" w:rsidP="004E19B9">
            <w:pPr>
              <w:ind w:left="0"/>
              <w:cnfStyle w:val="000000000000" w:firstRow="0" w:lastRow="0" w:firstColumn="0" w:lastColumn="0" w:oddVBand="0" w:evenVBand="0" w:oddHBand="0" w:evenHBand="0" w:firstRowFirstColumn="0" w:firstRowLastColumn="0" w:lastRowFirstColumn="0" w:lastRowLastColumn="0"/>
            </w:pPr>
            <w:r>
              <w:t>A</w:t>
            </w:r>
            <w:r w:rsidR="009237C0">
              <w:t>nalysis</w:t>
            </w:r>
            <w:r w:rsidR="00E9393F">
              <w:t xml:space="preserve"> of evaluator and applicant feedback</w:t>
            </w:r>
            <w:r w:rsidR="009237C0">
              <w:t>.</w:t>
            </w:r>
          </w:p>
        </w:tc>
        <w:tc>
          <w:tcPr>
            <w:tcW w:w="1417" w:type="dxa"/>
          </w:tcPr>
          <w:p w14:paraId="538D4B60" w14:textId="6DAD1CE3" w:rsidR="004A476E" w:rsidRDefault="009237C0" w:rsidP="004E19B9">
            <w:pPr>
              <w:ind w:left="0"/>
              <w:cnfStyle w:val="000000000000" w:firstRow="0" w:lastRow="0" w:firstColumn="0" w:lastColumn="0" w:oddVBand="0" w:evenVBand="0" w:oddHBand="0" w:evenHBand="0" w:firstRowFirstColumn="0" w:firstRowLastColumn="0" w:lastRowFirstColumn="0" w:lastRowLastColumn="0"/>
            </w:pPr>
            <w:r>
              <w:t xml:space="preserve">At end of an ingredient evaluation. </w:t>
            </w:r>
          </w:p>
        </w:tc>
      </w:tr>
      <w:tr w:rsidR="00322449" w14:paraId="4B023060" w14:textId="6E917EC9" w:rsidTr="004E19B9">
        <w:tc>
          <w:tcPr>
            <w:cnfStyle w:val="001000000000" w:firstRow="0" w:lastRow="0" w:firstColumn="1" w:lastColumn="0" w:oddVBand="0" w:evenVBand="0" w:oddHBand="0" w:evenHBand="0" w:firstRowFirstColumn="0" w:firstRowLastColumn="0" w:lastRowFirstColumn="0" w:lastRowLastColumn="0"/>
            <w:tcW w:w="4248" w:type="dxa"/>
          </w:tcPr>
          <w:p w14:paraId="2BD7EB68" w14:textId="344161DB" w:rsidR="004A476E" w:rsidRPr="00B478EB" w:rsidRDefault="00904992" w:rsidP="004E19B9">
            <w:pPr>
              <w:ind w:left="0"/>
              <w:rPr>
                <w:b/>
                <w:bCs/>
              </w:rPr>
            </w:pPr>
            <w:r w:rsidRPr="00B478EB">
              <w:rPr>
                <w:b/>
                <w:bCs/>
              </w:rPr>
              <w:t>Overseas regulators and other models</w:t>
            </w:r>
            <w:r w:rsidR="004901E0" w:rsidRPr="00B478EB">
              <w:rPr>
                <w:b/>
                <w:bCs/>
              </w:rPr>
              <w:t xml:space="preserve"> </w:t>
            </w:r>
          </w:p>
          <w:p w14:paraId="580DADC4" w14:textId="77777777" w:rsidR="004901E0" w:rsidRDefault="004901E0" w:rsidP="004E19B9">
            <w:pPr>
              <w:ind w:left="0"/>
            </w:pPr>
            <w:r>
              <w:t xml:space="preserve">The TGA will continue to monitor developments with other overseas regulators (such as the SCCS and US FDA) and internationally, on matters relating to safety of sunscreen ingredient assessments. </w:t>
            </w:r>
          </w:p>
          <w:p w14:paraId="2C2E85A5" w14:textId="1FD01C29" w:rsidR="004901E0" w:rsidRDefault="004901E0" w:rsidP="004E19B9">
            <w:pPr>
              <w:ind w:left="0"/>
            </w:pPr>
            <w:r>
              <w:t xml:space="preserve">Any new models or risk assessment approaches will be considered and inform whether the ASEM is still fit for purpose.    </w:t>
            </w:r>
          </w:p>
        </w:tc>
        <w:tc>
          <w:tcPr>
            <w:tcW w:w="1843" w:type="dxa"/>
          </w:tcPr>
          <w:p w14:paraId="56D84B45" w14:textId="2EFF2983" w:rsidR="004A476E" w:rsidRDefault="004901E0" w:rsidP="004E19B9">
            <w:pPr>
              <w:ind w:left="0"/>
              <w:cnfStyle w:val="000000000000" w:firstRow="0" w:lastRow="0" w:firstColumn="0" w:lastColumn="0" w:oddVBand="0" w:evenVBand="0" w:oddHBand="0" w:evenHBand="0" w:firstRowFirstColumn="0" w:firstRowLastColumn="0" w:lastRowFirstColumn="0" w:lastRowLastColumn="0"/>
            </w:pPr>
            <w:r>
              <w:t>TGA</w:t>
            </w:r>
          </w:p>
        </w:tc>
        <w:tc>
          <w:tcPr>
            <w:tcW w:w="1559" w:type="dxa"/>
          </w:tcPr>
          <w:p w14:paraId="1CC1676F" w14:textId="0FD74C5A" w:rsidR="004A476E" w:rsidRDefault="00E9393F" w:rsidP="004E19B9">
            <w:pPr>
              <w:ind w:left="0"/>
              <w:cnfStyle w:val="000000000000" w:firstRow="0" w:lastRow="0" w:firstColumn="0" w:lastColumn="0" w:oddVBand="0" w:evenVBand="0" w:oddHBand="0" w:evenHBand="0" w:firstRowFirstColumn="0" w:firstRowLastColumn="0" w:lastRowFirstColumn="0" w:lastRowLastColumn="0"/>
            </w:pPr>
            <w:r>
              <w:t>Periodic review of overseas regulators web publications/guidance.</w:t>
            </w:r>
          </w:p>
          <w:p w14:paraId="0FC9C7C9" w14:textId="48553977" w:rsidR="001C1CE3" w:rsidRDefault="001C1CE3" w:rsidP="00035B0B">
            <w:pPr>
              <w:cnfStyle w:val="000000000000" w:firstRow="0" w:lastRow="0" w:firstColumn="0" w:lastColumn="0" w:oddVBand="0" w:evenVBand="0" w:oddHBand="0" w:evenHBand="0" w:firstRowFirstColumn="0" w:firstRowLastColumn="0" w:lastRowFirstColumn="0" w:lastRowLastColumn="0"/>
            </w:pPr>
          </w:p>
        </w:tc>
        <w:tc>
          <w:tcPr>
            <w:tcW w:w="1417" w:type="dxa"/>
          </w:tcPr>
          <w:p w14:paraId="5EB9C7D9" w14:textId="62E53815" w:rsidR="004A476E" w:rsidRDefault="001C1CE3" w:rsidP="004E19B9">
            <w:pPr>
              <w:ind w:left="0"/>
              <w:cnfStyle w:val="000000000000" w:firstRow="0" w:lastRow="0" w:firstColumn="0" w:lastColumn="0" w:oddVBand="0" w:evenVBand="0" w:oddHBand="0" w:evenHBand="0" w:firstRowFirstColumn="0" w:firstRowLastColumn="0" w:lastRowFirstColumn="0" w:lastRowLastColumn="0"/>
            </w:pPr>
            <w:r>
              <w:t>Ongoing</w:t>
            </w:r>
          </w:p>
        </w:tc>
      </w:tr>
      <w:tr w:rsidR="00322449" w14:paraId="4697A1DC" w14:textId="77777777" w:rsidTr="004E19B9">
        <w:tc>
          <w:tcPr>
            <w:cnfStyle w:val="001000000000" w:firstRow="0" w:lastRow="0" w:firstColumn="1" w:lastColumn="0" w:oddVBand="0" w:evenVBand="0" w:oddHBand="0" w:evenHBand="0" w:firstRowFirstColumn="0" w:firstRowLastColumn="0" w:lastRowFirstColumn="0" w:lastRowLastColumn="0"/>
            <w:tcW w:w="4248" w:type="dxa"/>
          </w:tcPr>
          <w:p w14:paraId="0699398A" w14:textId="4F380999" w:rsidR="007134F8" w:rsidRPr="00B478EB" w:rsidRDefault="00E9393F" w:rsidP="004E19B9">
            <w:pPr>
              <w:ind w:left="0"/>
              <w:rPr>
                <w:b/>
                <w:bCs/>
              </w:rPr>
            </w:pPr>
            <w:r>
              <w:rPr>
                <w:b/>
                <w:bCs/>
              </w:rPr>
              <w:t>Numbers of</w:t>
            </w:r>
            <w:r w:rsidR="007134F8" w:rsidRPr="00B478EB">
              <w:rPr>
                <w:b/>
                <w:bCs/>
              </w:rPr>
              <w:t xml:space="preserve"> new ingredient applications</w:t>
            </w:r>
            <w:r w:rsidR="004901E0" w:rsidRPr="00B478EB">
              <w:rPr>
                <w:b/>
                <w:bCs/>
              </w:rPr>
              <w:t xml:space="preserve"> </w:t>
            </w:r>
          </w:p>
          <w:p w14:paraId="1B7B619D" w14:textId="7BF40F1F" w:rsidR="004901E0" w:rsidRDefault="004901E0" w:rsidP="004E19B9">
            <w:pPr>
              <w:ind w:left="0"/>
            </w:pPr>
            <w:r>
              <w:t>The TGA will monitor how may new sunscreen ingredient applications are received and compare this to application numbers prior to adopting the ASEM over the next 5 years, noting that application numbers can vary based on a range of other factors that may not be related to the ASEM. Higher application numbers could indicate more confidence in the regulatory assessment process.</w:t>
            </w:r>
          </w:p>
        </w:tc>
        <w:tc>
          <w:tcPr>
            <w:tcW w:w="1843" w:type="dxa"/>
          </w:tcPr>
          <w:p w14:paraId="675C74D0" w14:textId="64372C5C" w:rsidR="007134F8" w:rsidRDefault="004901E0" w:rsidP="004E19B9">
            <w:pPr>
              <w:ind w:left="0"/>
              <w:cnfStyle w:val="000000000000" w:firstRow="0" w:lastRow="0" w:firstColumn="0" w:lastColumn="0" w:oddVBand="0" w:evenVBand="0" w:oddHBand="0" w:evenHBand="0" w:firstRowFirstColumn="0" w:firstRowLastColumn="0" w:lastRowFirstColumn="0" w:lastRowLastColumn="0"/>
            </w:pPr>
            <w:r>
              <w:t>TGA</w:t>
            </w:r>
          </w:p>
        </w:tc>
        <w:tc>
          <w:tcPr>
            <w:tcW w:w="1559" w:type="dxa"/>
          </w:tcPr>
          <w:p w14:paraId="60FA32EA" w14:textId="139101B7" w:rsidR="007134F8" w:rsidRDefault="001D1344" w:rsidP="004E19B9">
            <w:pPr>
              <w:ind w:left="0"/>
              <w:cnfStyle w:val="000000000000" w:firstRow="0" w:lastRow="0" w:firstColumn="0" w:lastColumn="0" w:oddVBand="0" w:evenVBand="0" w:oddHBand="0" w:evenHBand="0" w:firstRowFirstColumn="0" w:firstRowLastColumn="0" w:lastRowFirstColumn="0" w:lastRowLastColumn="0"/>
            </w:pPr>
            <w:r>
              <w:t>Recording number of applications accepted for evaluation</w:t>
            </w:r>
            <w:r w:rsidR="00E9393F">
              <w:t xml:space="preserve"> before and after ASEM</w:t>
            </w:r>
            <w:r>
              <w:t>.</w:t>
            </w:r>
          </w:p>
        </w:tc>
        <w:tc>
          <w:tcPr>
            <w:tcW w:w="1417" w:type="dxa"/>
          </w:tcPr>
          <w:p w14:paraId="798035AA" w14:textId="2AAEA32A" w:rsidR="007134F8" w:rsidRDefault="001D1344" w:rsidP="004E19B9">
            <w:pPr>
              <w:ind w:left="0"/>
              <w:cnfStyle w:val="000000000000" w:firstRow="0" w:lastRow="0" w:firstColumn="0" w:lastColumn="0" w:oddVBand="0" w:evenVBand="0" w:oddHBand="0" w:evenHBand="0" w:firstRowFirstColumn="0" w:firstRowLastColumn="0" w:lastRowFirstColumn="0" w:lastRowLastColumn="0"/>
            </w:pPr>
            <w:r>
              <w:t xml:space="preserve">Yearly over a five-year period. </w:t>
            </w:r>
          </w:p>
        </w:tc>
      </w:tr>
      <w:bookmarkEnd w:id="170"/>
    </w:tbl>
    <w:p w14:paraId="60C4C4DB" w14:textId="2722337E" w:rsidR="0086256D" w:rsidRDefault="0086256D">
      <w:pPr>
        <w:rPr>
          <w:rFonts w:eastAsia="Times New Roman" w:cs="Times New Roman"/>
          <w:b/>
          <w:bCs/>
          <w:color w:val="001871"/>
          <w:sz w:val="38"/>
          <w:szCs w:val="38"/>
        </w:rPr>
      </w:pPr>
      <w:r>
        <w:br w:type="page"/>
      </w:r>
    </w:p>
    <w:p w14:paraId="343D9A3E" w14:textId="7C4E3E9B" w:rsidR="002437AC" w:rsidRDefault="002437AC" w:rsidP="002437AC">
      <w:pPr>
        <w:pStyle w:val="Heading2"/>
      </w:pPr>
      <w:bookmarkStart w:id="171" w:name="_Toc184730619"/>
      <w:r>
        <w:t>Key Terms</w:t>
      </w:r>
      <w:bookmarkEnd w:id="171"/>
    </w:p>
    <w:tbl>
      <w:tblPr>
        <w:tblStyle w:val="TableTGAblue2023"/>
        <w:tblW w:w="9067" w:type="dxa"/>
        <w:tblLook w:val="04A0" w:firstRow="1" w:lastRow="0" w:firstColumn="1" w:lastColumn="0" w:noHBand="0" w:noVBand="1"/>
      </w:tblPr>
      <w:tblGrid>
        <w:gridCol w:w="3008"/>
        <w:gridCol w:w="6059"/>
      </w:tblGrid>
      <w:tr w:rsidR="00133538" w:rsidRPr="0073370F" w14:paraId="121EB001" w14:textId="77777777" w:rsidTr="00133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6A92100" w14:textId="5359F530" w:rsidR="00133538" w:rsidRPr="003413F6" w:rsidRDefault="00133538" w:rsidP="00001DCC">
            <w:pPr>
              <w:rPr>
                <w:sz w:val="20"/>
                <w:szCs w:val="20"/>
              </w:rPr>
            </w:pPr>
            <w:r w:rsidRPr="0073370F">
              <w:t>Abbreviation</w:t>
            </w:r>
          </w:p>
        </w:tc>
        <w:tc>
          <w:tcPr>
            <w:tcW w:w="6059" w:type="dxa"/>
          </w:tcPr>
          <w:p w14:paraId="51640200" w14:textId="48360B94" w:rsidR="00133538" w:rsidRPr="003413F6" w:rsidRDefault="00133538" w:rsidP="00001DCC">
            <w:pPr>
              <w:cnfStyle w:val="100000000000" w:firstRow="1" w:lastRow="0" w:firstColumn="0" w:lastColumn="0" w:oddVBand="0" w:evenVBand="0" w:oddHBand="0" w:evenHBand="0" w:firstRowFirstColumn="0" w:firstRowLastColumn="0" w:lastRowFirstColumn="0" w:lastRowLastColumn="0"/>
              <w:rPr>
                <w:sz w:val="20"/>
                <w:szCs w:val="20"/>
              </w:rPr>
            </w:pPr>
            <w:r w:rsidRPr="0073370F">
              <w:t>Explanation</w:t>
            </w:r>
          </w:p>
        </w:tc>
      </w:tr>
      <w:tr w:rsidR="004D7525" w14:paraId="7027487C"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3E52D707" w14:textId="5E86BAF3" w:rsidR="004D7525" w:rsidRDefault="004D7525" w:rsidP="004D7525">
            <w:r>
              <w:rPr>
                <w:spacing w:val="-5"/>
              </w:rPr>
              <w:t>ABS</w:t>
            </w:r>
          </w:p>
        </w:tc>
        <w:tc>
          <w:tcPr>
            <w:tcW w:w="6059" w:type="dxa"/>
          </w:tcPr>
          <w:p w14:paraId="0B0FF805" w14:textId="71BED54A"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4"/>
              </w:rPr>
              <w:t xml:space="preserve"> </w:t>
            </w:r>
            <w:r>
              <w:t>Bureau</w:t>
            </w:r>
            <w:r>
              <w:rPr>
                <w:spacing w:val="-1"/>
              </w:rPr>
              <w:t xml:space="preserve"> </w:t>
            </w:r>
            <w:r>
              <w:t>of</w:t>
            </w:r>
            <w:r>
              <w:rPr>
                <w:spacing w:val="-3"/>
              </w:rPr>
              <w:t xml:space="preserve"> </w:t>
            </w:r>
            <w:r>
              <w:rPr>
                <w:spacing w:val="-2"/>
              </w:rPr>
              <w:t>Statistics</w:t>
            </w:r>
          </w:p>
        </w:tc>
      </w:tr>
      <w:tr w:rsidR="004D7525" w14:paraId="26C6A74F"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E696914" w14:textId="41096FFE" w:rsidR="004D7525" w:rsidRDefault="004D7525" w:rsidP="004D7525">
            <w:r>
              <w:rPr>
                <w:spacing w:val="-2"/>
              </w:rPr>
              <w:t>AICIS</w:t>
            </w:r>
          </w:p>
        </w:tc>
        <w:tc>
          <w:tcPr>
            <w:tcW w:w="6059" w:type="dxa"/>
          </w:tcPr>
          <w:p w14:paraId="5CF10E83" w14:textId="221A43B5"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7"/>
              </w:rPr>
              <w:t xml:space="preserve"> </w:t>
            </w:r>
            <w:r>
              <w:t>Industrial</w:t>
            </w:r>
            <w:r>
              <w:rPr>
                <w:spacing w:val="-4"/>
              </w:rPr>
              <w:t xml:space="preserve"> </w:t>
            </w:r>
            <w:r>
              <w:t>Chemicals</w:t>
            </w:r>
            <w:r>
              <w:rPr>
                <w:spacing w:val="-4"/>
              </w:rPr>
              <w:t xml:space="preserve"> </w:t>
            </w:r>
            <w:r>
              <w:t>Introduction</w:t>
            </w:r>
            <w:r>
              <w:rPr>
                <w:spacing w:val="-4"/>
              </w:rPr>
              <w:t xml:space="preserve"> </w:t>
            </w:r>
            <w:r>
              <w:rPr>
                <w:spacing w:val="-2"/>
              </w:rPr>
              <w:t>Scheme</w:t>
            </w:r>
          </w:p>
        </w:tc>
      </w:tr>
      <w:tr w:rsidR="004D7525" w14:paraId="63CAFFB6"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16A04EF" w14:textId="64A447D3" w:rsidR="004D7525" w:rsidRDefault="004D7525" w:rsidP="004D7525">
            <w:r>
              <w:rPr>
                <w:spacing w:val="-4"/>
              </w:rPr>
              <w:t>ARGS</w:t>
            </w:r>
          </w:p>
        </w:tc>
        <w:tc>
          <w:tcPr>
            <w:tcW w:w="6059" w:type="dxa"/>
          </w:tcPr>
          <w:p w14:paraId="6B4C28ED" w14:textId="0D645806"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6"/>
              </w:rPr>
              <w:t xml:space="preserve"> </w:t>
            </w:r>
            <w:r>
              <w:t>Regulatory</w:t>
            </w:r>
            <w:r>
              <w:rPr>
                <w:spacing w:val="-3"/>
              </w:rPr>
              <w:t xml:space="preserve"> </w:t>
            </w:r>
            <w:r>
              <w:t>Guidelines</w:t>
            </w:r>
            <w:r>
              <w:rPr>
                <w:spacing w:val="-3"/>
              </w:rPr>
              <w:t xml:space="preserve"> </w:t>
            </w:r>
            <w:r>
              <w:t>for</w:t>
            </w:r>
            <w:r>
              <w:rPr>
                <w:spacing w:val="-5"/>
              </w:rPr>
              <w:t xml:space="preserve"> </w:t>
            </w:r>
            <w:r>
              <w:rPr>
                <w:spacing w:val="-2"/>
              </w:rPr>
              <w:t>Sunscreens</w:t>
            </w:r>
          </w:p>
        </w:tc>
      </w:tr>
      <w:tr w:rsidR="004D7525" w14:paraId="43B70C7D"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1CF6379" w14:textId="5D91A702" w:rsidR="004D7525" w:rsidRDefault="004D7525" w:rsidP="004D7525">
            <w:r>
              <w:rPr>
                <w:spacing w:val="-4"/>
              </w:rPr>
              <w:t>ARNS</w:t>
            </w:r>
          </w:p>
        </w:tc>
        <w:tc>
          <w:tcPr>
            <w:tcW w:w="6059" w:type="dxa"/>
          </w:tcPr>
          <w:p w14:paraId="1C27F38C" w14:textId="37C0E6D9" w:rsidR="004D7525" w:rsidRDefault="004D7525" w:rsidP="004D7525">
            <w:pPr>
              <w:cnfStyle w:val="000000000000" w:firstRow="0" w:lastRow="0" w:firstColumn="0" w:lastColumn="0" w:oddVBand="0" w:evenVBand="0" w:oddHBand="0" w:evenHBand="0" w:firstRowFirstColumn="0" w:firstRowLastColumn="0" w:lastRowFirstColumn="0" w:lastRowLastColumn="0"/>
            </w:pPr>
            <w:r>
              <w:t>Application</w:t>
            </w:r>
            <w:r>
              <w:rPr>
                <w:spacing w:val="-2"/>
              </w:rPr>
              <w:t xml:space="preserve"> </w:t>
            </w:r>
            <w:r>
              <w:t>Requirements</w:t>
            </w:r>
            <w:r>
              <w:rPr>
                <w:spacing w:val="-4"/>
              </w:rPr>
              <w:t xml:space="preserve"> </w:t>
            </w:r>
            <w:r>
              <w:t>for</w:t>
            </w:r>
            <w:r>
              <w:rPr>
                <w:spacing w:val="-4"/>
              </w:rPr>
              <w:t xml:space="preserve"> </w:t>
            </w:r>
            <w:r>
              <w:t>New</w:t>
            </w:r>
            <w:r>
              <w:rPr>
                <w:spacing w:val="-3"/>
              </w:rPr>
              <w:t xml:space="preserve"> </w:t>
            </w:r>
            <w:r>
              <w:t>Substances</w:t>
            </w:r>
            <w:r>
              <w:rPr>
                <w:spacing w:val="-3"/>
              </w:rPr>
              <w:t xml:space="preserve"> </w:t>
            </w:r>
            <w:r>
              <w:t>in</w:t>
            </w:r>
            <w:r>
              <w:rPr>
                <w:spacing w:val="-2"/>
              </w:rPr>
              <w:t xml:space="preserve"> </w:t>
            </w:r>
            <w:r>
              <w:t>listed</w:t>
            </w:r>
            <w:r>
              <w:rPr>
                <w:spacing w:val="-4"/>
              </w:rPr>
              <w:t xml:space="preserve"> </w:t>
            </w:r>
            <w:r>
              <w:rPr>
                <w:spacing w:val="-2"/>
              </w:rPr>
              <w:t>medicines</w:t>
            </w:r>
          </w:p>
        </w:tc>
      </w:tr>
      <w:tr w:rsidR="004D7525" w14:paraId="4D1C19D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87237E2" w14:textId="7E64D49E" w:rsidR="004D7525" w:rsidRDefault="004D7525" w:rsidP="004D7525">
            <w:r>
              <w:rPr>
                <w:spacing w:val="-2"/>
              </w:rPr>
              <w:t>ARPANSA</w:t>
            </w:r>
          </w:p>
        </w:tc>
        <w:tc>
          <w:tcPr>
            <w:tcW w:w="6059" w:type="dxa"/>
          </w:tcPr>
          <w:p w14:paraId="00D6D7A9" w14:textId="7D3D9DAB"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6"/>
              </w:rPr>
              <w:t xml:space="preserve"> </w:t>
            </w:r>
            <w:r>
              <w:t>Radiation</w:t>
            </w:r>
            <w:r>
              <w:rPr>
                <w:spacing w:val="-3"/>
              </w:rPr>
              <w:t xml:space="preserve"> </w:t>
            </w:r>
            <w:r>
              <w:t>Protection</w:t>
            </w:r>
            <w:r>
              <w:rPr>
                <w:spacing w:val="-3"/>
              </w:rPr>
              <w:t xml:space="preserve"> </w:t>
            </w:r>
            <w:r>
              <w:t>and</w:t>
            </w:r>
            <w:r>
              <w:rPr>
                <w:spacing w:val="-3"/>
              </w:rPr>
              <w:t xml:space="preserve"> </w:t>
            </w:r>
            <w:r>
              <w:t>Nuclear</w:t>
            </w:r>
            <w:r>
              <w:rPr>
                <w:spacing w:val="-4"/>
              </w:rPr>
              <w:t xml:space="preserve"> </w:t>
            </w:r>
            <w:r>
              <w:t>Safety</w:t>
            </w:r>
            <w:r>
              <w:rPr>
                <w:spacing w:val="-2"/>
              </w:rPr>
              <w:t xml:space="preserve"> Agency</w:t>
            </w:r>
          </w:p>
        </w:tc>
      </w:tr>
      <w:tr w:rsidR="004D7525" w14:paraId="257A729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523A96A" w14:textId="160DF770" w:rsidR="004D7525" w:rsidRDefault="004D7525" w:rsidP="004D7525">
            <w:r>
              <w:rPr>
                <w:spacing w:val="-4"/>
              </w:rPr>
              <w:t>ASEM</w:t>
            </w:r>
          </w:p>
        </w:tc>
        <w:tc>
          <w:tcPr>
            <w:tcW w:w="6059" w:type="dxa"/>
          </w:tcPr>
          <w:p w14:paraId="4426F464" w14:textId="30DA355E"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6"/>
              </w:rPr>
              <w:t xml:space="preserve"> </w:t>
            </w:r>
            <w:r>
              <w:t>Sunscreen</w:t>
            </w:r>
            <w:r>
              <w:rPr>
                <w:spacing w:val="-3"/>
              </w:rPr>
              <w:t xml:space="preserve"> </w:t>
            </w:r>
            <w:r>
              <w:t>Exposure</w:t>
            </w:r>
            <w:r>
              <w:rPr>
                <w:spacing w:val="-2"/>
              </w:rPr>
              <w:t xml:space="preserve"> Model</w:t>
            </w:r>
          </w:p>
        </w:tc>
      </w:tr>
      <w:tr w:rsidR="00E23A20" w14:paraId="461EB49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1E51F8F" w14:textId="3B46BF7A" w:rsidR="00E23A20" w:rsidRDefault="00E23A20" w:rsidP="004D7525">
            <w:pPr>
              <w:rPr>
                <w:spacing w:val="-4"/>
              </w:rPr>
            </w:pPr>
            <w:r>
              <w:rPr>
                <w:spacing w:val="-4"/>
              </w:rPr>
              <w:t>ASSC</w:t>
            </w:r>
          </w:p>
        </w:tc>
        <w:tc>
          <w:tcPr>
            <w:tcW w:w="6059" w:type="dxa"/>
          </w:tcPr>
          <w:p w14:paraId="7DF89FFD" w14:textId="5691FE36" w:rsidR="00E23A20" w:rsidRDefault="00E23A20" w:rsidP="004D7525">
            <w:pPr>
              <w:cnfStyle w:val="000000000000" w:firstRow="0" w:lastRow="0" w:firstColumn="0" w:lastColumn="0" w:oddVBand="0" w:evenVBand="0" w:oddHBand="0" w:evenHBand="0" w:firstRowFirstColumn="0" w:firstRowLastColumn="0" w:lastRowFirstColumn="0" w:lastRowLastColumn="0"/>
            </w:pPr>
            <w:r w:rsidRPr="0092301D">
              <w:t>Australian</w:t>
            </w:r>
            <w:r w:rsidRPr="0092301D">
              <w:rPr>
                <w:spacing w:val="-2"/>
              </w:rPr>
              <w:t xml:space="preserve"> </w:t>
            </w:r>
            <w:r w:rsidRPr="0092301D">
              <w:t>Skin</w:t>
            </w:r>
            <w:r w:rsidRPr="0092301D">
              <w:rPr>
                <w:spacing w:val="-2"/>
              </w:rPr>
              <w:t xml:space="preserve"> </w:t>
            </w:r>
            <w:r w:rsidRPr="0092301D">
              <w:t>and</w:t>
            </w:r>
            <w:r w:rsidRPr="0092301D">
              <w:rPr>
                <w:spacing w:val="-2"/>
              </w:rPr>
              <w:t xml:space="preserve"> </w:t>
            </w:r>
            <w:r w:rsidRPr="0092301D">
              <w:t>Skin</w:t>
            </w:r>
            <w:r w:rsidRPr="0092301D">
              <w:rPr>
                <w:spacing w:val="-4"/>
              </w:rPr>
              <w:t xml:space="preserve"> </w:t>
            </w:r>
            <w:r w:rsidRPr="0092301D">
              <w:t>Cancer</w:t>
            </w:r>
            <w:r w:rsidRPr="0092301D">
              <w:rPr>
                <w:spacing w:val="-3"/>
              </w:rPr>
              <w:t xml:space="preserve"> </w:t>
            </w:r>
            <w:r w:rsidRPr="0092301D">
              <w:t>Research</w:t>
            </w:r>
            <w:r w:rsidRPr="0092301D">
              <w:rPr>
                <w:spacing w:val="-4"/>
              </w:rPr>
              <w:t xml:space="preserve"> </w:t>
            </w:r>
            <w:r w:rsidRPr="0092301D">
              <w:t>Centre</w:t>
            </w:r>
          </w:p>
        </w:tc>
      </w:tr>
      <w:tr w:rsidR="004D7525" w14:paraId="3DFC433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9F229B7" w14:textId="3E3E1B09" w:rsidR="004D7525" w:rsidRDefault="004D7525" w:rsidP="004D7525">
            <w:r>
              <w:rPr>
                <w:spacing w:val="-5"/>
              </w:rPr>
              <w:t>BoM</w:t>
            </w:r>
          </w:p>
        </w:tc>
        <w:tc>
          <w:tcPr>
            <w:tcW w:w="6059" w:type="dxa"/>
          </w:tcPr>
          <w:p w14:paraId="4A3713B7" w14:textId="6F9FF179" w:rsidR="004D7525" w:rsidRDefault="004D7525" w:rsidP="004D7525">
            <w:pPr>
              <w:cnfStyle w:val="000000000000" w:firstRow="0" w:lastRow="0" w:firstColumn="0" w:lastColumn="0" w:oddVBand="0" w:evenVBand="0" w:oddHBand="0" w:evenHBand="0" w:firstRowFirstColumn="0" w:firstRowLastColumn="0" w:lastRowFirstColumn="0" w:lastRowLastColumn="0"/>
            </w:pPr>
            <w:r>
              <w:t>Bureau</w:t>
            </w:r>
            <w:r>
              <w:rPr>
                <w:spacing w:val="-3"/>
              </w:rPr>
              <w:t xml:space="preserve"> </w:t>
            </w:r>
            <w:r>
              <w:t xml:space="preserve">of </w:t>
            </w:r>
            <w:r>
              <w:rPr>
                <w:spacing w:val="-2"/>
              </w:rPr>
              <w:t>Meteorology</w:t>
            </w:r>
          </w:p>
        </w:tc>
      </w:tr>
      <w:tr w:rsidR="00E23A20" w14:paraId="14307B2C"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559B8C4" w14:textId="1D817A37" w:rsidR="00E23A20" w:rsidRDefault="00E23A20" w:rsidP="004D7525">
            <w:pPr>
              <w:rPr>
                <w:spacing w:val="-5"/>
              </w:rPr>
            </w:pPr>
            <w:r>
              <w:rPr>
                <w:spacing w:val="-5"/>
              </w:rPr>
              <w:t>Excluded Goods Determination</w:t>
            </w:r>
          </w:p>
        </w:tc>
        <w:tc>
          <w:tcPr>
            <w:tcW w:w="6059" w:type="dxa"/>
          </w:tcPr>
          <w:p w14:paraId="7E120400" w14:textId="269F64D0" w:rsidR="00E23A20" w:rsidRDefault="00ED32F1" w:rsidP="004D7525">
            <w:pPr>
              <w:cnfStyle w:val="000000000000" w:firstRow="0" w:lastRow="0" w:firstColumn="0" w:lastColumn="0" w:oddVBand="0" w:evenVBand="0" w:oddHBand="0" w:evenHBand="0" w:firstRowFirstColumn="0" w:firstRowLastColumn="0" w:lastRowFirstColumn="0" w:lastRowLastColumn="0"/>
            </w:pPr>
            <w:hyperlink r:id="rId65">
              <w:r w:rsidR="00E23A20" w:rsidRPr="00E37D50">
                <w:rPr>
                  <w:i/>
                  <w:color w:val="0000FF"/>
                  <w:u w:val="single" w:color="0000FF"/>
                </w:rPr>
                <w:t>Therapeutic Goods</w:t>
              </w:r>
            </w:hyperlink>
            <w:r w:rsidR="00E23A20" w:rsidRPr="00E37D50">
              <w:rPr>
                <w:i/>
                <w:color w:val="0000FF"/>
              </w:rPr>
              <w:t xml:space="preserve"> </w:t>
            </w:r>
            <w:hyperlink r:id="rId66">
              <w:r w:rsidR="00E23A20" w:rsidRPr="00E37D50">
                <w:rPr>
                  <w:i/>
                  <w:color w:val="0000FF"/>
                  <w:u w:val="single" w:color="0000FF"/>
                </w:rPr>
                <w:t>(Excluded Goods) Determination 2018</w:t>
              </w:r>
            </w:hyperlink>
          </w:p>
        </w:tc>
      </w:tr>
      <w:tr w:rsidR="00E23A20" w14:paraId="03B4A33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46D1C4F4" w14:textId="46B0FCB8" w:rsidR="00E23A20" w:rsidRDefault="00E23A20" w:rsidP="004D7525">
            <w:pPr>
              <w:rPr>
                <w:spacing w:val="-5"/>
              </w:rPr>
            </w:pPr>
            <w:r>
              <w:rPr>
                <w:spacing w:val="-5"/>
              </w:rPr>
              <w:t>FDA</w:t>
            </w:r>
          </w:p>
        </w:tc>
        <w:tc>
          <w:tcPr>
            <w:tcW w:w="6059" w:type="dxa"/>
          </w:tcPr>
          <w:p w14:paraId="787D8DC4" w14:textId="1C39E6A6" w:rsidR="00E23A20" w:rsidRDefault="00E23A20" w:rsidP="004D7525">
            <w:pPr>
              <w:cnfStyle w:val="000000000000" w:firstRow="0" w:lastRow="0" w:firstColumn="0" w:lastColumn="0" w:oddVBand="0" w:evenVBand="0" w:oddHBand="0" w:evenHBand="0" w:firstRowFirstColumn="0" w:firstRowLastColumn="0" w:lastRowFirstColumn="0" w:lastRowLastColumn="0"/>
            </w:pPr>
            <w:r>
              <w:t>U.S. Food and Drug administration</w:t>
            </w:r>
          </w:p>
        </w:tc>
      </w:tr>
      <w:tr w:rsidR="00E23A20" w14:paraId="36AF4DA4"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664C38D" w14:textId="7E7C8228" w:rsidR="00E23A20" w:rsidRDefault="00E23A20" w:rsidP="004D7525">
            <w:pPr>
              <w:rPr>
                <w:spacing w:val="-5"/>
              </w:rPr>
            </w:pPr>
            <w:r>
              <w:rPr>
                <w:spacing w:val="-5"/>
              </w:rPr>
              <w:t>GRASE</w:t>
            </w:r>
          </w:p>
        </w:tc>
        <w:tc>
          <w:tcPr>
            <w:tcW w:w="6059" w:type="dxa"/>
          </w:tcPr>
          <w:p w14:paraId="72AECB04" w14:textId="2BC9E73D" w:rsidR="00E23A20" w:rsidRDefault="00E23A20" w:rsidP="004D7525">
            <w:pPr>
              <w:cnfStyle w:val="000000000000" w:firstRow="0" w:lastRow="0" w:firstColumn="0" w:lastColumn="0" w:oddVBand="0" w:evenVBand="0" w:oddHBand="0" w:evenHBand="0" w:firstRowFirstColumn="0" w:firstRowLastColumn="0" w:lastRowFirstColumn="0" w:lastRowLastColumn="0"/>
            </w:pPr>
            <w:r w:rsidRPr="0036002F">
              <w:rPr>
                <w:rFonts w:cs="Arial"/>
              </w:rPr>
              <w:t>Generally Recognised as Safe and Effective</w:t>
            </w:r>
          </w:p>
        </w:tc>
      </w:tr>
      <w:tr w:rsidR="004D7525" w14:paraId="433B90E8"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60D3F98" w14:textId="65FF9A8D" w:rsidR="004D7525" w:rsidRDefault="004D7525" w:rsidP="004D7525">
            <w:r>
              <w:rPr>
                <w:spacing w:val="-5"/>
              </w:rPr>
              <w:t>MoS</w:t>
            </w:r>
          </w:p>
        </w:tc>
        <w:tc>
          <w:tcPr>
            <w:tcW w:w="6059" w:type="dxa"/>
          </w:tcPr>
          <w:p w14:paraId="454D5826" w14:textId="19D90D22" w:rsidR="004D7525" w:rsidRDefault="004D7525" w:rsidP="004D7525">
            <w:pPr>
              <w:cnfStyle w:val="000000000000" w:firstRow="0" w:lastRow="0" w:firstColumn="0" w:lastColumn="0" w:oddVBand="0" w:evenVBand="0" w:oddHBand="0" w:evenHBand="0" w:firstRowFirstColumn="0" w:firstRowLastColumn="0" w:lastRowFirstColumn="0" w:lastRowLastColumn="0"/>
            </w:pPr>
            <w:r>
              <w:t>Margin of</w:t>
            </w:r>
            <w:r>
              <w:rPr>
                <w:spacing w:val="-2"/>
              </w:rPr>
              <w:t xml:space="preserve"> Safety</w:t>
            </w:r>
          </w:p>
        </w:tc>
      </w:tr>
      <w:tr w:rsidR="004D7525" w14:paraId="5CB88A6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943F45C" w14:textId="36D99922" w:rsidR="004D7525" w:rsidRDefault="004D7525" w:rsidP="004D7525">
            <w:r>
              <w:rPr>
                <w:spacing w:val="-2"/>
              </w:rPr>
              <w:t>NOAEL</w:t>
            </w:r>
          </w:p>
        </w:tc>
        <w:tc>
          <w:tcPr>
            <w:tcW w:w="6059" w:type="dxa"/>
          </w:tcPr>
          <w:p w14:paraId="3F0277BE" w14:textId="54D487A4" w:rsidR="004D7525" w:rsidRDefault="004D7525" w:rsidP="004D7525">
            <w:pPr>
              <w:cnfStyle w:val="000000000000" w:firstRow="0" w:lastRow="0" w:firstColumn="0" w:lastColumn="0" w:oddVBand="0" w:evenVBand="0" w:oddHBand="0" w:evenHBand="0" w:firstRowFirstColumn="0" w:firstRowLastColumn="0" w:lastRowFirstColumn="0" w:lastRowLastColumn="0"/>
            </w:pPr>
            <w:r>
              <w:t>No</w:t>
            </w:r>
            <w:r>
              <w:rPr>
                <w:spacing w:val="-2"/>
              </w:rPr>
              <w:t xml:space="preserve"> </w:t>
            </w:r>
            <w:r>
              <w:t>Observed</w:t>
            </w:r>
            <w:r>
              <w:rPr>
                <w:spacing w:val="-2"/>
              </w:rPr>
              <w:t xml:space="preserve"> </w:t>
            </w:r>
            <w:r>
              <w:t>Adverse</w:t>
            </w:r>
            <w:r>
              <w:rPr>
                <w:spacing w:val="-2"/>
              </w:rPr>
              <w:t xml:space="preserve"> </w:t>
            </w:r>
            <w:r>
              <w:t>Effect</w:t>
            </w:r>
            <w:r>
              <w:rPr>
                <w:spacing w:val="-3"/>
              </w:rPr>
              <w:t xml:space="preserve"> </w:t>
            </w:r>
            <w:r>
              <w:rPr>
                <w:spacing w:val="-4"/>
              </w:rPr>
              <w:t>Level</w:t>
            </w:r>
          </w:p>
        </w:tc>
      </w:tr>
      <w:tr w:rsidR="004D7525" w14:paraId="5B8CBEF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AE29490" w14:textId="786473B2" w:rsidR="004D7525" w:rsidRDefault="004D7525" w:rsidP="004D7525">
            <w:r>
              <w:rPr>
                <w:spacing w:val="-5"/>
              </w:rPr>
              <w:t>PoD</w:t>
            </w:r>
          </w:p>
        </w:tc>
        <w:tc>
          <w:tcPr>
            <w:tcW w:w="6059" w:type="dxa"/>
          </w:tcPr>
          <w:p w14:paraId="016A069F" w14:textId="40B75AB1" w:rsidR="004D7525" w:rsidRDefault="004D7525" w:rsidP="004D7525">
            <w:pPr>
              <w:cnfStyle w:val="000000000000" w:firstRow="0" w:lastRow="0" w:firstColumn="0" w:lastColumn="0" w:oddVBand="0" w:evenVBand="0" w:oddHBand="0" w:evenHBand="0" w:firstRowFirstColumn="0" w:firstRowLastColumn="0" w:lastRowFirstColumn="0" w:lastRowLastColumn="0"/>
            </w:pPr>
            <w:r>
              <w:t>Point</w:t>
            </w:r>
            <w:r>
              <w:rPr>
                <w:spacing w:val="-4"/>
              </w:rPr>
              <w:t xml:space="preserve"> </w:t>
            </w:r>
            <w:r>
              <w:t>of</w:t>
            </w:r>
            <w:r>
              <w:rPr>
                <w:spacing w:val="-1"/>
              </w:rPr>
              <w:t xml:space="preserve"> </w:t>
            </w:r>
            <w:r>
              <w:rPr>
                <w:spacing w:val="-2"/>
              </w:rPr>
              <w:t>Departure</w:t>
            </w:r>
          </w:p>
        </w:tc>
      </w:tr>
      <w:tr w:rsidR="00E23A20" w14:paraId="30F789A5"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F82F3CC" w14:textId="6A5584CE" w:rsidR="00E23A20" w:rsidRDefault="00E23A20" w:rsidP="004D7525">
            <w:pPr>
              <w:rPr>
                <w:spacing w:val="-5"/>
              </w:rPr>
            </w:pPr>
            <w:r>
              <w:rPr>
                <w:spacing w:val="-5"/>
              </w:rPr>
              <w:t>Poisons Standard</w:t>
            </w:r>
          </w:p>
        </w:tc>
        <w:tc>
          <w:tcPr>
            <w:tcW w:w="6059" w:type="dxa"/>
          </w:tcPr>
          <w:p w14:paraId="4DCF9E45" w14:textId="358D1BB1" w:rsidR="00E23A20" w:rsidRDefault="00E23A20" w:rsidP="004D7525">
            <w:pPr>
              <w:cnfStyle w:val="000000000000" w:firstRow="0" w:lastRow="0" w:firstColumn="0" w:lastColumn="0" w:oddVBand="0" w:evenVBand="0" w:oddHBand="0" w:evenHBand="0" w:firstRowFirstColumn="0" w:firstRowLastColumn="0" w:lastRowFirstColumn="0" w:lastRowLastColumn="0"/>
            </w:pPr>
            <w:r>
              <w:t>Standard for the Uniform Scheduling of Medicines and Poisons (SUSMP)</w:t>
            </w:r>
          </w:p>
        </w:tc>
      </w:tr>
      <w:tr w:rsidR="004D7525" w14:paraId="70D68BF8"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F192895" w14:textId="551F08D9" w:rsidR="004D7525" w:rsidRDefault="004D7525" w:rsidP="004D7525">
            <w:r>
              <w:rPr>
                <w:spacing w:val="-2"/>
              </w:rPr>
              <w:t>SCCNFP</w:t>
            </w:r>
          </w:p>
        </w:tc>
        <w:tc>
          <w:tcPr>
            <w:tcW w:w="6059" w:type="dxa"/>
          </w:tcPr>
          <w:p w14:paraId="53369A9E" w14:textId="22A350CA" w:rsidR="004D7525" w:rsidRDefault="004D7525" w:rsidP="004D7525">
            <w:pPr>
              <w:cnfStyle w:val="000000000000" w:firstRow="0" w:lastRow="0" w:firstColumn="0" w:lastColumn="0" w:oddVBand="0" w:evenVBand="0" w:oddHBand="0" w:evenHBand="0" w:firstRowFirstColumn="0" w:firstRowLastColumn="0" w:lastRowFirstColumn="0" w:lastRowLastColumn="0"/>
            </w:pPr>
            <w:r>
              <w:t>Scientific</w:t>
            </w:r>
            <w:r>
              <w:rPr>
                <w:spacing w:val="-4"/>
              </w:rPr>
              <w:t xml:space="preserve"> </w:t>
            </w:r>
            <w:r>
              <w:t>Committee</w:t>
            </w:r>
            <w:r>
              <w:rPr>
                <w:spacing w:val="-7"/>
              </w:rPr>
              <w:t xml:space="preserve"> </w:t>
            </w:r>
            <w:r>
              <w:t>on</w:t>
            </w:r>
            <w:r>
              <w:rPr>
                <w:spacing w:val="-4"/>
              </w:rPr>
              <w:t xml:space="preserve"> </w:t>
            </w:r>
            <w:r>
              <w:t>Cosmetic</w:t>
            </w:r>
            <w:r>
              <w:rPr>
                <w:spacing w:val="-6"/>
              </w:rPr>
              <w:t xml:space="preserve"> </w:t>
            </w:r>
            <w:r>
              <w:t>and</w:t>
            </w:r>
            <w:r>
              <w:rPr>
                <w:spacing w:val="-4"/>
              </w:rPr>
              <w:t xml:space="preserve"> </w:t>
            </w:r>
            <w:r>
              <w:t>Non-Food</w:t>
            </w:r>
            <w:r>
              <w:rPr>
                <w:spacing w:val="-4"/>
              </w:rPr>
              <w:t xml:space="preserve"> </w:t>
            </w:r>
            <w:r>
              <w:t>Products</w:t>
            </w:r>
            <w:r>
              <w:rPr>
                <w:spacing w:val="-6"/>
              </w:rPr>
              <w:t xml:space="preserve"> </w:t>
            </w:r>
            <w:r>
              <w:t>intended</w:t>
            </w:r>
            <w:r>
              <w:rPr>
                <w:spacing w:val="-4"/>
              </w:rPr>
              <w:t xml:space="preserve"> </w:t>
            </w:r>
            <w:r>
              <w:t xml:space="preserve">for </w:t>
            </w:r>
            <w:r>
              <w:rPr>
                <w:spacing w:val="-2"/>
              </w:rPr>
              <w:t>Consumers</w:t>
            </w:r>
          </w:p>
        </w:tc>
      </w:tr>
      <w:tr w:rsidR="004D7525" w14:paraId="04733477"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31B70B1" w14:textId="6E5F14B2" w:rsidR="004D7525" w:rsidRDefault="004D7525" w:rsidP="004D7525">
            <w:r>
              <w:rPr>
                <w:spacing w:val="-4"/>
              </w:rPr>
              <w:t>SCCS</w:t>
            </w:r>
          </w:p>
        </w:tc>
        <w:tc>
          <w:tcPr>
            <w:tcW w:w="6059" w:type="dxa"/>
          </w:tcPr>
          <w:p w14:paraId="7EBF1AC7" w14:textId="50A9DD29" w:rsidR="004D7525" w:rsidRDefault="004D7525" w:rsidP="004D7525">
            <w:pPr>
              <w:cnfStyle w:val="000000000000" w:firstRow="0" w:lastRow="0" w:firstColumn="0" w:lastColumn="0" w:oddVBand="0" w:evenVBand="0" w:oddHBand="0" w:evenHBand="0" w:firstRowFirstColumn="0" w:firstRowLastColumn="0" w:lastRowFirstColumn="0" w:lastRowLastColumn="0"/>
            </w:pPr>
            <w:r>
              <w:t>Scientific</w:t>
            </w:r>
            <w:r>
              <w:rPr>
                <w:spacing w:val="-3"/>
              </w:rPr>
              <w:t xml:space="preserve"> </w:t>
            </w:r>
            <w:r>
              <w:t>Committee</w:t>
            </w:r>
            <w:r>
              <w:rPr>
                <w:spacing w:val="-4"/>
              </w:rPr>
              <w:t xml:space="preserve"> </w:t>
            </w:r>
            <w:r>
              <w:t>on</w:t>
            </w:r>
            <w:r>
              <w:rPr>
                <w:spacing w:val="-2"/>
              </w:rPr>
              <w:t xml:space="preserve"> </w:t>
            </w:r>
            <w:r>
              <w:t>Consumer</w:t>
            </w:r>
            <w:r>
              <w:rPr>
                <w:spacing w:val="-3"/>
              </w:rPr>
              <w:t xml:space="preserve"> </w:t>
            </w:r>
            <w:r>
              <w:rPr>
                <w:spacing w:val="-2"/>
              </w:rPr>
              <w:t>Safety</w:t>
            </w:r>
          </w:p>
        </w:tc>
      </w:tr>
      <w:tr w:rsidR="004D7525" w14:paraId="7C09925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1B37BA2" w14:textId="1F964856" w:rsidR="004D7525" w:rsidRDefault="004D7525" w:rsidP="004D7525">
            <w:r>
              <w:rPr>
                <w:spacing w:val="-5"/>
              </w:rPr>
              <w:t>SED</w:t>
            </w:r>
          </w:p>
        </w:tc>
        <w:tc>
          <w:tcPr>
            <w:tcW w:w="6059" w:type="dxa"/>
          </w:tcPr>
          <w:p w14:paraId="3D9AF082" w14:textId="6361C7EF" w:rsidR="004D7525" w:rsidRDefault="004D7525" w:rsidP="004D7525">
            <w:pPr>
              <w:cnfStyle w:val="000000000000" w:firstRow="0" w:lastRow="0" w:firstColumn="0" w:lastColumn="0" w:oddVBand="0" w:evenVBand="0" w:oddHBand="0" w:evenHBand="0" w:firstRowFirstColumn="0" w:firstRowLastColumn="0" w:lastRowFirstColumn="0" w:lastRowLastColumn="0"/>
            </w:pPr>
            <w:r>
              <w:t>Systemic</w:t>
            </w:r>
            <w:r>
              <w:rPr>
                <w:spacing w:val="-5"/>
              </w:rPr>
              <w:t xml:space="preserve"> </w:t>
            </w:r>
            <w:r>
              <w:t>Exposure</w:t>
            </w:r>
            <w:r>
              <w:rPr>
                <w:spacing w:val="-2"/>
              </w:rPr>
              <w:t xml:space="preserve"> </w:t>
            </w:r>
            <w:r>
              <w:rPr>
                <w:spacing w:val="-4"/>
              </w:rPr>
              <w:t>Dose</w:t>
            </w:r>
          </w:p>
        </w:tc>
      </w:tr>
      <w:tr w:rsidR="004D7525" w14:paraId="17EDAF25"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A184531" w14:textId="393FFA9C" w:rsidR="004D7525" w:rsidRDefault="004D7525" w:rsidP="004D7525">
            <w:r>
              <w:rPr>
                <w:spacing w:val="-5"/>
              </w:rPr>
              <w:t>SPF</w:t>
            </w:r>
          </w:p>
        </w:tc>
        <w:tc>
          <w:tcPr>
            <w:tcW w:w="6059" w:type="dxa"/>
          </w:tcPr>
          <w:p w14:paraId="70235E83" w14:textId="667E03E4" w:rsidR="004D7525" w:rsidRDefault="004D7525" w:rsidP="004D7525">
            <w:pPr>
              <w:cnfStyle w:val="000000000000" w:firstRow="0" w:lastRow="0" w:firstColumn="0" w:lastColumn="0" w:oddVBand="0" w:evenVBand="0" w:oddHBand="0" w:evenHBand="0" w:firstRowFirstColumn="0" w:firstRowLastColumn="0" w:lastRowFirstColumn="0" w:lastRowLastColumn="0"/>
            </w:pPr>
            <w:r>
              <w:t>Sun</w:t>
            </w:r>
            <w:r>
              <w:rPr>
                <w:spacing w:val="-2"/>
              </w:rPr>
              <w:t xml:space="preserve"> </w:t>
            </w:r>
            <w:r>
              <w:t>Protection</w:t>
            </w:r>
            <w:r>
              <w:rPr>
                <w:spacing w:val="-1"/>
              </w:rPr>
              <w:t xml:space="preserve"> </w:t>
            </w:r>
            <w:r>
              <w:rPr>
                <w:spacing w:val="-2"/>
              </w:rPr>
              <w:t>Factor</w:t>
            </w:r>
          </w:p>
        </w:tc>
      </w:tr>
      <w:tr w:rsidR="004D7525" w14:paraId="42CD392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A6DE26D" w14:textId="0B683E23" w:rsidR="004D7525" w:rsidRDefault="004D7525" w:rsidP="004D7525">
            <w:r>
              <w:rPr>
                <w:spacing w:val="-5"/>
              </w:rPr>
              <w:t>SSA</w:t>
            </w:r>
          </w:p>
        </w:tc>
        <w:tc>
          <w:tcPr>
            <w:tcW w:w="6059" w:type="dxa"/>
          </w:tcPr>
          <w:p w14:paraId="049427F3" w14:textId="3924854E" w:rsidR="004D7525" w:rsidRDefault="004D7525" w:rsidP="004D7525">
            <w:pPr>
              <w:cnfStyle w:val="000000000000" w:firstRow="0" w:lastRow="0" w:firstColumn="0" w:lastColumn="0" w:oddVBand="0" w:evenVBand="0" w:oddHBand="0" w:evenHBand="0" w:firstRowFirstColumn="0" w:firstRowLastColumn="0" w:lastRowFirstColumn="0" w:lastRowLastColumn="0"/>
            </w:pPr>
            <w:r>
              <w:t>Skin</w:t>
            </w:r>
            <w:r>
              <w:rPr>
                <w:spacing w:val="-4"/>
              </w:rPr>
              <w:t xml:space="preserve"> </w:t>
            </w:r>
            <w:r>
              <w:t>Surface</w:t>
            </w:r>
            <w:r>
              <w:rPr>
                <w:spacing w:val="-1"/>
              </w:rPr>
              <w:t xml:space="preserve"> </w:t>
            </w:r>
            <w:r>
              <w:rPr>
                <w:spacing w:val="-4"/>
              </w:rPr>
              <w:t>Area</w:t>
            </w:r>
          </w:p>
        </w:tc>
      </w:tr>
      <w:tr w:rsidR="004D7525" w14:paraId="6A956E68"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90EA731" w14:textId="491ACAD7" w:rsidR="004D7525" w:rsidRDefault="004D7525" w:rsidP="004D7525">
            <w:r>
              <w:t>Sunscreen</w:t>
            </w:r>
            <w:r>
              <w:rPr>
                <w:spacing w:val="-4"/>
              </w:rPr>
              <w:t xml:space="preserve"> </w:t>
            </w:r>
            <w:r>
              <w:rPr>
                <w:spacing w:val="-2"/>
              </w:rPr>
              <w:t>Standard</w:t>
            </w:r>
          </w:p>
        </w:tc>
        <w:tc>
          <w:tcPr>
            <w:tcW w:w="6059" w:type="dxa"/>
          </w:tcPr>
          <w:p w14:paraId="4230F0DF" w14:textId="23E47B37"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Australian/New</w:t>
            </w:r>
            <w:r>
              <w:rPr>
                <w:spacing w:val="-6"/>
              </w:rPr>
              <w:t xml:space="preserve"> </w:t>
            </w:r>
            <w:r>
              <w:t>Zealand</w:t>
            </w:r>
            <w:r>
              <w:rPr>
                <w:spacing w:val="-5"/>
              </w:rPr>
              <w:t xml:space="preserve"> </w:t>
            </w:r>
            <w:r>
              <w:t>Standard</w:t>
            </w:r>
            <w:r>
              <w:rPr>
                <w:spacing w:val="-5"/>
              </w:rPr>
              <w:t xml:space="preserve"> </w:t>
            </w:r>
            <w:r>
              <w:t>Sunscreen</w:t>
            </w:r>
            <w:r>
              <w:rPr>
                <w:spacing w:val="-8"/>
              </w:rPr>
              <w:t xml:space="preserve"> </w:t>
            </w:r>
            <w:r>
              <w:t>products</w:t>
            </w:r>
            <w:r>
              <w:rPr>
                <w:spacing w:val="-5"/>
              </w:rPr>
              <w:t xml:space="preserve"> </w:t>
            </w:r>
            <w:r>
              <w:t>-</w:t>
            </w:r>
            <w:r>
              <w:rPr>
                <w:spacing w:val="-6"/>
              </w:rPr>
              <w:t xml:space="preserve"> </w:t>
            </w:r>
            <w:r>
              <w:t>Evaluation</w:t>
            </w:r>
            <w:r>
              <w:rPr>
                <w:spacing w:val="-5"/>
              </w:rPr>
              <w:t xml:space="preserve"> </w:t>
            </w:r>
            <w:r>
              <w:t xml:space="preserve">and classification </w:t>
            </w:r>
            <w:hyperlink r:id="rId67">
              <w:r>
                <w:t>AS/NZS 2604:2021 Amd 1:2022</w:t>
              </w:r>
            </w:hyperlink>
          </w:p>
        </w:tc>
      </w:tr>
      <w:tr w:rsidR="004D7525" w14:paraId="664098F6"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47AAEA8" w14:textId="0F57B00B" w:rsidR="004D7525" w:rsidRDefault="004D7525" w:rsidP="004D7525">
            <w:r>
              <w:rPr>
                <w:spacing w:val="-5"/>
              </w:rPr>
              <w:t>TGA</w:t>
            </w:r>
          </w:p>
        </w:tc>
        <w:tc>
          <w:tcPr>
            <w:tcW w:w="6059" w:type="dxa"/>
          </w:tcPr>
          <w:p w14:paraId="518B40C5" w14:textId="32095F47" w:rsidR="004D7525" w:rsidRDefault="004D7525" w:rsidP="004D7525">
            <w:pPr>
              <w:cnfStyle w:val="000000000000" w:firstRow="0" w:lastRow="0" w:firstColumn="0" w:lastColumn="0" w:oddVBand="0" w:evenVBand="0" w:oddHBand="0" w:evenHBand="0" w:firstRowFirstColumn="0" w:firstRowLastColumn="0" w:lastRowFirstColumn="0" w:lastRowLastColumn="0"/>
            </w:pPr>
            <w:r>
              <w:t>Therapeutic</w:t>
            </w:r>
            <w:r>
              <w:rPr>
                <w:spacing w:val="-3"/>
              </w:rPr>
              <w:t xml:space="preserve"> </w:t>
            </w:r>
            <w:r>
              <w:t>Goods</w:t>
            </w:r>
            <w:r>
              <w:rPr>
                <w:spacing w:val="-2"/>
              </w:rPr>
              <w:t xml:space="preserve"> Administration</w:t>
            </w:r>
          </w:p>
        </w:tc>
      </w:tr>
      <w:tr w:rsidR="001B0E75" w14:paraId="128FBAF0"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09F261A" w14:textId="2B421F3E" w:rsidR="001B0E75" w:rsidRDefault="002771FF" w:rsidP="004D7525">
            <w:pPr>
              <w:rPr>
                <w:spacing w:val="-5"/>
              </w:rPr>
            </w:pPr>
            <w:r>
              <w:rPr>
                <w:spacing w:val="-5"/>
              </w:rPr>
              <w:t>The Act</w:t>
            </w:r>
          </w:p>
        </w:tc>
        <w:tc>
          <w:tcPr>
            <w:tcW w:w="6059" w:type="dxa"/>
          </w:tcPr>
          <w:p w14:paraId="04858D70" w14:textId="1AE1AB27" w:rsidR="001B0E75" w:rsidRPr="002771FF" w:rsidRDefault="00ED32F1" w:rsidP="004D7525">
            <w:pPr>
              <w:cnfStyle w:val="000000000000" w:firstRow="0" w:lastRow="0" w:firstColumn="0" w:lastColumn="0" w:oddVBand="0" w:evenVBand="0" w:oddHBand="0" w:evenHBand="0" w:firstRowFirstColumn="0" w:firstRowLastColumn="0" w:lastRowFirstColumn="0" w:lastRowLastColumn="0"/>
              <w:rPr>
                <w:szCs w:val="18"/>
              </w:rPr>
            </w:pPr>
            <w:hyperlink r:id="rId68">
              <w:r w:rsidR="008E72BB" w:rsidRPr="002771FF">
                <w:rPr>
                  <w:i/>
                  <w:color w:val="0000FF"/>
                  <w:szCs w:val="18"/>
                  <w:u w:val="single" w:color="0000FF"/>
                </w:rPr>
                <w:t>Therapeutic</w:t>
              </w:r>
              <w:r w:rsidR="008E72BB" w:rsidRPr="002771FF">
                <w:rPr>
                  <w:i/>
                  <w:color w:val="0000FF"/>
                  <w:spacing w:val="-9"/>
                  <w:szCs w:val="18"/>
                  <w:u w:val="single" w:color="0000FF"/>
                </w:rPr>
                <w:t xml:space="preserve"> </w:t>
              </w:r>
              <w:r w:rsidR="008E72BB" w:rsidRPr="002771FF">
                <w:rPr>
                  <w:i/>
                  <w:color w:val="0000FF"/>
                  <w:szCs w:val="18"/>
                  <w:u w:val="single" w:color="0000FF"/>
                </w:rPr>
                <w:t>Goods</w:t>
              </w:r>
              <w:r w:rsidR="008E72BB" w:rsidRPr="002771FF">
                <w:rPr>
                  <w:i/>
                  <w:color w:val="0000FF"/>
                  <w:spacing w:val="-5"/>
                  <w:szCs w:val="18"/>
                  <w:u w:val="single" w:color="0000FF"/>
                </w:rPr>
                <w:t xml:space="preserve"> </w:t>
              </w:r>
              <w:r w:rsidR="008E72BB" w:rsidRPr="002771FF">
                <w:rPr>
                  <w:i/>
                  <w:color w:val="0000FF"/>
                  <w:szCs w:val="18"/>
                  <w:u w:val="single" w:color="0000FF"/>
                </w:rPr>
                <w:t>Ac</w:t>
              </w:r>
              <w:r w:rsidR="002771FF">
                <w:rPr>
                  <w:i/>
                  <w:color w:val="0000FF"/>
                  <w:szCs w:val="18"/>
                  <w:u w:val="single" w:color="0000FF"/>
                </w:rPr>
                <w:t>t 1989</w:t>
              </w:r>
            </w:hyperlink>
          </w:p>
        </w:tc>
      </w:tr>
      <w:tr w:rsidR="003A54C3" w14:paraId="537AE7CC"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4A2E5C1" w14:textId="37786391" w:rsidR="003A54C3" w:rsidRDefault="003A54C3" w:rsidP="004D7525">
            <w:pPr>
              <w:rPr>
                <w:spacing w:val="-5"/>
              </w:rPr>
            </w:pPr>
            <w:r>
              <w:rPr>
                <w:spacing w:val="-5"/>
              </w:rPr>
              <w:t>The Regulations</w:t>
            </w:r>
          </w:p>
        </w:tc>
        <w:tc>
          <w:tcPr>
            <w:tcW w:w="6059" w:type="dxa"/>
          </w:tcPr>
          <w:p w14:paraId="585517B2" w14:textId="4669835C" w:rsidR="003A54C3" w:rsidRPr="00E42FE3" w:rsidRDefault="00ED32F1" w:rsidP="004D7525">
            <w:pPr>
              <w:cnfStyle w:val="000000000000" w:firstRow="0" w:lastRow="0" w:firstColumn="0" w:lastColumn="0" w:oddVBand="0" w:evenVBand="0" w:oddHBand="0" w:evenHBand="0" w:firstRowFirstColumn="0" w:firstRowLastColumn="0" w:lastRowFirstColumn="0" w:lastRowLastColumn="0"/>
              <w:rPr>
                <w:szCs w:val="18"/>
              </w:rPr>
            </w:pPr>
            <w:hyperlink r:id="rId69">
              <w:r w:rsidR="00E42FE3" w:rsidRPr="00E42FE3">
                <w:rPr>
                  <w:color w:val="0000FF"/>
                  <w:szCs w:val="18"/>
                  <w:u w:val="single" w:color="0000FF"/>
                </w:rPr>
                <w:t>Therapeutic</w:t>
              </w:r>
              <w:r w:rsidR="00E42FE3" w:rsidRPr="00E42FE3">
                <w:rPr>
                  <w:color w:val="0000FF"/>
                  <w:spacing w:val="-12"/>
                  <w:szCs w:val="18"/>
                  <w:u w:val="single" w:color="0000FF"/>
                </w:rPr>
                <w:t xml:space="preserve"> </w:t>
              </w:r>
              <w:r w:rsidR="00E42FE3" w:rsidRPr="00E42FE3">
                <w:rPr>
                  <w:color w:val="0000FF"/>
                  <w:szCs w:val="18"/>
                  <w:u w:val="single" w:color="0000FF"/>
                </w:rPr>
                <w:t>Goods</w:t>
              </w:r>
              <w:r w:rsidR="00E42FE3" w:rsidRPr="00E42FE3">
                <w:rPr>
                  <w:color w:val="0000FF"/>
                  <w:spacing w:val="-11"/>
                  <w:szCs w:val="18"/>
                  <w:u w:val="single" w:color="0000FF"/>
                </w:rPr>
                <w:t xml:space="preserve"> </w:t>
              </w:r>
              <w:r w:rsidR="00E42FE3" w:rsidRPr="00E42FE3">
                <w:rPr>
                  <w:color w:val="0000FF"/>
                  <w:szCs w:val="18"/>
                  <w:u w:val="single" w:color="0000FF"/>
                </w:rPr>
                <w:t>Regulations</w:t>
              </w:r>
              <w:r w:rsidR="00E42FE3" w:rsidRPr="00E42FE3">
                <w:rPr>
                  <w:color w:val="0000FF"/>
                  <w:spacing w:val="-12"/>
                  <w:szCs w:val="18"/>
                  <w:u w:val="single" w:color="0000FF"/>
                </w:rPr>
                <w:t xml:space="preserve"> </w:t>
              </w:r>
              <w:r w:rsidR="00E42FE3" w:rsidRPr="00E42FE3">
                <w:rPr>
                  <w:color w:val="0000FF"/>
                  <w:spacing w:val="-4"/>
                  <w:szCs w:val="18"/>
                  <w:u w:val="single" w:color="0000FF"/>
                </w:rPr>
                <w:t>1990</w:t>
              </w:r>
            </w:hyperlink>
          </w:p>
        </w:tc>
      </w:tr>
      <w:tr w:rsidR="004D7525" w14:paraId="0DE8AE77"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8441951" w14:textId="2C98F2FF" w:rsidR="004D7525" w:rsidRDefault="004D7525" w:rsidP="004D7525">
            <w:r>
              <w:t>Therapeutic</w:t>
            </w:r>
            <w:r>
              <w:rPr>
                <w:spacing w:val="-5"/>
              </w:rPr>
              <w:t xml:space="preserve"> </w:t>
            </w:r>
            <w:r>
              <w:rPr>
                <w:spacing w:val="-2"/>
              </w:rPr>
              <w:t>sunscreen</w:t>
            </w:r>
          </w:p>
        </w:tc>
        <w:tc>
          <w:tcPr>
            <w:tcW w:w="6059" w:type="dxa"/>
          </w:tcPr>
          <w:p w14:paraId="378BEBFA" w14:textId="45FF3088" w:rsidR="004D7525" w:rsidRDefault="004D7525" w:rsidP="004D7525">
            <w:pPr>
              <w:cnfStyle w:val="000000000000" w:firstRow="0" w:lastRow="0" w:firstColumn="0" w:lastColumn="0" w:oddVBand="0" w:evenVBand="0" w:oddHBand="0" w:evenHBand="0" w:firstRowFirstColumn="0" w:firstRowLastColumn="0" w:lastRowFirstColumn="0" w:lastRowLastColumn="0"/>
            </w:pPr>
            <w:r>
              <w:t>Primary</w:t>
            </w:r>
            <w:r>
              <w:rPr>
                <w:spacing w:val="-4"/>
              </w:rPr>
              <w:t xml:space="preserve"> </w:t>
            </w:r>
            <w:r>
              <w:t>and</w:t>
            </w:r>
            <w:r>
              <w:rPr>
                <w:spacing w:val="-4"/>
              </w:rPr>
              <w:t xml:space="preserve"> </w:t>
            </w:r>
            <w:r>
              <w:t>some</w:t>
            </w:r>
            <w:r>
              <w:rPr>
                <w:spacing w:val="-7"/>
              </w:rPr>
              <w:t xml:space="preserve"> </w:t>
            </w:r>
            <w:r>
              <w:t>secondary</w:t>
            </w:r>
            <w:r>
              <w:rPr>
                <w:spacing w:val="-6"/>
              </w:rPr>
              <w:t xml:space="preserve"> </w:t>
            </w:r>
            <w:r>
              <w:t>sunscreens</w:t>
            </w:r>
            <w:r>
              <w:rPr>
                <w:spacing w:val="-6"/>
              </w:rPr>
              <w:t xml:space="preserve"> </w:t>
            </w:r>
            <w:r>
              <w:t>regulated</w:t>
            </w:r>
            <w:r>
              <w:rPr>
                <w:spacing w:val="-4"/>
              </w:rPr>
              <w:t xml:space="preserve"> </w:t>
            </w:r>
            <w:r>
              <w:t>under</w:t>
            </w:r>
            <w:r>
              <w:rPr>
                <w:spacing w:val="-5"/>
              </w:rPr>
              <w:t xml:space="preserve"> </w:t>
            </w:r>
            <w:r>
              <w:t>the</w:t>
            </w:r>
            <w:r>
              <w:rPr>
                <w:spacing w:val="-4"/>
              </w:rPr>
              <w:t xml:space="preserve"> </w:t>
            </w:r>
            <w:r>
              <w:rPr>
                <w:i/>
              </w:rPr>
              <w:t xml:space="preserve">Therapeutic Goods Act 1989 </w:t>
            </w:r>
            <w:r>
              <w:t xml:space="preserve">(see </w:t>
            </w:r>
            <w:hyperlink w:anchor="_Appendix_1:_Sunscreen" w:history="1">
              <w:r>
                <w:rPr>
                  <w:color w:val="0000FF"/>
                  <w:sz w:val="20"/>
                  <w:u w:val="single" w:color="0000FF"/>
                </w:rPr>
                <w:t>Attachment 1</w:t>
              </w:r>
              <w:r>
                <w:t>)</w:t>
              </w:r>
            </w:hyperlink>
          </w:p>
        </w:tc>
      </w:tr>
      <w:tr w:rsidR="004D7525" w14:paraId="4A1329E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6248B9B" w14:textId="0C3C5DF9" w:rsidR="004D7525" w:rsidRDefault="004D7525" w:rsidP="004D7525">
            <w:r>
              <w:rPr>
                <w:spacing w:val="-5"/>
              </w:rPr>
              <w:t>UF</w:t>
            </w:r>
          </w:p>
        </w:tc>
        <w:tc>
          <w:tcPr>
            <w:tcW w:w="6059" w:type="dxa"/>
          </w:tcPr>
          <w:p w14:paraId="730CB89C" w14:textId="02EDC9DE" w:rsidR="004D7525" w:rsidRDefault="004D7525" w:rsidP="004D7525">
            <w:pPr>
              <w:cnfStyle w:val="000000000000" w:firstRow="0" w:lastRow="0" w:firstColumn="0" w:lastColumn="0" w:oddVBand="0" w:evenVBand="0" w:oddHBand="0" w:evenHBand="0" w:firstRowFirstColumn="0" w:firstRowLastColumn="0" w:lastRowFirstColumn="0" w:lastRowLastColumn="0"/>
            </w:pPr>
            <w:r>
              <w:t>Uncertainty</w:t>
            </w:r>
            <w:r>
              <w:rPr>
                <w:spacing w:val="-5"/>
              </w:rPr>
              <w:t xml:space="preserve"> </w:t>
            </w:r>
            <w:r>
              <w:rPr>
                <w:spacing w:val="-2"/>
              </w:rPr>
              <w:t>Factor</w:t>
            </w:r>
          </w:p>
        </w:tc>
      </w:tr>
      <w:tr w:rsidR="004D7525" w14:paraId="783386E7"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AA5734F" w14:textId="11412DA0" w:rsidR="004D7525" w:rsidRDefault="004D7525" w:rsidP="004D7525">
            <w:r>
              <w:rPr>
                <w:spacing w:val="-5"/>
              </w:rPr>
              <w:t>UV</w:t>
            </w:r>
            <w:r w:rsidR="005E6877">
              <w:rPr>
                <w:spacing w:val="-5"/>
              </w:rPr>
              <w:t>R</w:t>
            </w:r>
          </w:p>
        </w:tc>
        <w:tc>
          <w:tcPr>
            <w:tcW w:w="6059" w:type="dxa"/>
          </w:tcPr>
          <w:p w14:paraId="58455DFD" w14:textId="3EBB51AC" w:rsidR="004D7525" w:rsidRDefault="004D7525" w:rsidP="004D7525">
            <w:pPr>
              <w:cnfStyle w:val="000000000000" w:firstRow="0" w:lastRow="0" w:firstColumn="0" w:lastColumn="0" w:oddVBand="0" w:evenVBand="0" w:oddHBand="0" w:evenHBand="0" w:firstRowFirstColumn="0" w:firstRowLastColumn="0" w:lastRowFirstColumn="0" w:lastRowLastColumn="0"/>
            </w:pPr>
            <w:r>
              <w:rPr>
                <w:spacing w:val="-2"/>
              </w:rPr>
              <w:t>Ultraviolet</w:t>
            </w:r>
            <w:r w:rsidR="005E6877">
              <w:rPr>
                <w:spacing w:val="-2"/>
              </w:rPr>
              <w:t xml:space="preserve"> radiation</w:t>
            </w:r>
          </w:p>
        </w:tc>
      </w:tr>
    </w:tbl>
    <w:p w14:paraId="6F53699F" w14:textId="6E07DCDD" w:rsidR="00A769C9" w:rsidRDefault="00A769C9">
      <w:r>
        <w:br w:type="page"/>
      </w:r>
    </w:p>
    <w:p w14:paraId="3EB0FDE6" w14:textId="439E913F" w:rsidR="00A769C9" w:rsidRDefault="00A769C9" w:rsidP="00A769C9">
      <w:pPr>
        <w:pStyle w:val="Heading2"/>
      </w:pPr>
      <w:bookmarkStart w:id="172" w:name="_Toc184730620"/>
      <w:r>
        <w:t>References</w:t>
      </w:r>
      <w:bookmarkEnd w:id="172"/>
    </w:p>
    <w:p w14:paraId="500C6B97" w14:textId="77777777" w:rsidR="00FE12C3" w:rsidRPr="001D61F0" w:rsidRDefault="00FE12C3" w:rsidP="00FE12C3">
      <w:pPr>
        <w:pStyle w:val="BodyText"/>
        <w:spacing w:before="118" w:line="259" w:lineRule="auto"/>
        <w:ind w:right="147"/>
      </w:pPr>
      <w:r w:rsidRPr="001D61F0">
        <w:rPr>
          <w:color w:val="232323"/>
        </w:rPr>
        <w:t>Australasian College of Dermatologists (2018). Media release new guideline warnings: sunscreen is not</w:t>
      </w:r>
      <w:r w:rsidRPr="001D61F0">
        <w:rPr>
          <w:color w:val="232323"/>
          <w:spacing w:val="-6"/>
        </w:rPr>
        <w:t xml:space="preserve"> </w:t>
      </w:r>
      <w:r w:rsidRPr="001D61F0">
        <w:rPr>
          <w:color w:val="232323"/>
        </w:rPr>
        <w:t>a</w:t>
      </w:r>
      <w:r w:rsidRPr="001D61F0">
        <w:rPr>
          <w:color w:val="232323"/>
          <w:spacing w:val="-4"/>
        </w:rPr>
        <w:t xml:space="preserve"> </w:t>
      </w:r>
      <w:r w:rsidRPr="001D61F0">
        <w:rPr>
          <w:color w:val="232323"/>
        </w:rPr>
        <w:t>suit</w:t>
      </w:r>
      <w:r w:rsidRPr="001D61F0">
        <w:rPr>
          <w:color w:val="232323"/>
          <w:spacing w:val="-4"/>
        </w:rPr>
        <w:t xml:space="preserve"> </w:t>
      </w:r>
      <w:r w:rsidRPr="001D61F0">
        <w:rPr>
          <w:color w:val="232323"/>
        </w:rPr>
        <w:t>of</w:t>
      </w:r>
      <w:r w:rsidRPr="001D61F0">
        <w:rPr>
          <w:color w:val="232323"/>
          <w:spacing w:val="-6"/>
        </w:rPr>
        <w:t xml:space="preserve"> </w:t>
      </w:r>
      <w:r w:rsidRPr="001D61F0">
        <w:rPr>
          <w:color w:val="232323"/>
        </w:rPr>
        <w:t>armour.</w:t>
      </w:r>
      <w:r w:rsidRPr="001D61F0">
        <w:rPr>
          <w:color w:val="232323"/>
          <w:spacing w:val="-6"/>
        </w:rPr>
        <w:t xml:space="preserve"> </w:t>
      </w:r>
      <w:r w:rsidRPr="001D61F0">
        <w:rPr>
          <w:color w:val="232323"/>
        </w:rPr>
        <w:t>[online]</w:t>
      </w:r>
      <w:r w:rsidRPr="001D61F0">
        <w:rPr>
          <w:color w:val="232323"/>
          <w:spacing w:val="-6"/>
        </w:rPr>
        <w:t xml:space="preserve"> </w:t>
      </w:r>
      <w:r w:rsidRPr="001D61F0">
        <w:rPr>
          <w:color w:val="232323"/>
        </w:rPr>
        <w:t>Available</w:t>
      </w:r>
      <w:r w:rsidRPr="001D61F0">
        <w:rPr>
          <w:color w:val="232323"/>
          <w:spacing w:val="-6"/>
        </w:rPr>
        <w:t xml:space="preserve"> </w:t>
      </w:r>
      <w:r w:rsidRPr="001D61F0">
        <w:rPr>
          <w:color w:val="232323"/>
        </w:rPr>
        <w:t>at:</w:t>
      </w:r>
      <w:r w:rsidRPr="001D61F0">
        <w:rPr>
          <w:color w:val="232323"/>
          <w:spacing w:val="-3"/>
        </w:rPr>
        <w:t xml:space="preserve"> </w:t>
      </w:r>
      <w:hyperlink r:id="rId70">
        <w:r w:rsidRPr="001D61F0">
          <w:rPr>
            <w:color w:val="0000FF"/>
            <w:u w:val="single" w:color="0000FF"/>
          </w:rPr>
          <w:t>https://www.dermcoll.edu.au/wp-content/uploads/Sunscreen-</w:t>
        </w:r>
      </w:hyperlink>
      <w:r w:rsidRPr="001D61F0">
        <w:rPr>
          <w:color w:val="0000FF"/>
        </w:rPr>
        <w:t xml:space="preserve"> </w:t>
      </w:r>
      <w:hyperlink r:id="rId71">
        <w:r w:rsidRPr="001D61F0">
          <w:rPr>
            <w:color w:val="0000FF"/>
            <w:u w:val="single" w:color="0000FF"/>
          </w:rPr>
          <w:t>is-not-a-suit-of-armour-12-January-2017.pdf</w:t>
        </w:r>
        <w:r w:rsidRPr="001D61F0">
          <w:rPr>
            <w:color w:val="232323"/>
          </w:rPr>
          <w:t>.</w:t>
        </w:r>
      </w:hyperlink>
      <w:r w:rsidRPr="001D61F0">
        <w:rPr>
          <w:color w:val="232323"/>
        </w:rPr>
        <w:t xml:space="preserve"> [Accessed 20 June 2024].</w:t>
      </w:r>
    </w:p>
    <w:p w14:paraId="07886EC1" w14:textId="77777777" w:rsidR="00FE12C3" w:rsidRPr="001D61F0" w:rsidRDefault="00FE12C3" w:rsidP="00FE12C3">
      <w:pPr>
        <w:pStyle w:val="BodyText"/>
        <w:spacing w:before="119" w:line="261" w:lineRule="auto"/>
        <w:ind w:right="501"/>
      </w:pPr>
      <w:r w:rsidRPr="001D61F0">
        <w:rPr>
          <w:color w:val="232323"/>
        </w:rPr>
        <w:t>Australasian</w:t>
      </w:r>
      <w:r w:rsidRPr="001D61F0">
        <w:rPr>
          <w:color w:val="232323"/>
          <w:spacing w:val="-4"/>
        </w:rPr>
        <w:t xml:space="preserve"> </w:t>
      </w:r>
      <w:r w:rsidRPr="001D61F0">
        <w:rPr>
          <w:color w:val="232323"/>
        </w:rPr>
        <w:t>College</w:t>
      </w:r>
      <w:r w:rsidRPr="001D61F0">
        <w:rPr>
          <w:color w:val="232323"/>
          <w:spacing w:val="-2"/>
        </w:rPr>
        <w:t xml:space="preserve"> </w:t>
      </w:r>
      <w:r w:rsidRPr="001D61F0">
        <w:rPr>
          <w:color w:val="232323"/>
        </w:rPr>
        <w:t>of</w:t>
      </w:r>
      <w:r w:rsidRPr="001D61F0">
        <w:rPr>
          <w:color w:val="232323"/>
          <w:spacing w:val="-4"/>
        </w:rPr>
        <w:t xml:space="preserve"> </w:t>
      </w:r>
      <w:r w:rsidRPr="001D61F0">
        <w:rPr>
          <w:color w:val="232323"/>
        </w:rPr>
        <w:t>Dermatologists</w:t>
      </w:r>
      <w:r w:rsidRPr="001D61F0">
        <w:rPr>
          <w:color w:val="232323"/>
          <w:spacing w:val="-3"/>
        </w:rPr>
        <w:t xml:space="preserve"> </w:t>
      </w:r>
      <w:r w:rsidRPr="001D61F0">
        <w:rPr>
          <w:color w:val="232323"/>
        </w:rPr>
        <w:t>(2019).</w:t>
      </w:r>
      <w:r w:rsidRPr="001D61F0">
        <w:rPr>
          <w:color w:val="232323"/>
          <w:spacing w:val="-4"/>
        </w:rPr>
        <w:t xml:space="preserve"> </w:t>
      </w:r>
      <w:r w:rsidRPr="001D61F0">
        <w:rPr>
          <w:color w:val="232323"/>
        </w:rPr>
        <w:t>Sun</w:t>
      </w:r>
      <w:r w:rsidRPr="001D61F0">
        <w:rPr>
          <w:color w:val="232323"/>
          <w:spacing w:val="-2"/>
        </w:rPr>
        <w:t xml:space="preserve"> </w:t>
      </w:r>
      <w:r w:rsidRPr="001D61F0">
        <w:rPr>
          <w:color w:val="232323"/>
        </w:rPr>
        <w:t>Protection</w:t>
      </w:r>
      <w:r w:rsidRPr="001D61F0">
        <w:rPr>
          <w:color w:val="232323"/>
          <w:spacing w:val="-2"/>
        </w:rPr>
        <w:t xml:space="preserve"> </w:t>
      </w:r>
      <w:r w:rsidRPr="001D61F0">
        <w:rPr>
          <w:color w:val="232323"/>
        </w:rPr>
        <w:t>&amp;</w:t>
      </w:r>
      <w:r w:rsidRPr="001D61F0">
        <w:rPr>
          <w:color w:val="232323"/>
          <w:spacing w:val="-5"/>
        </w:rPr>
        <w:t xml:space="preserve"> </w:t>
      </w:r>
      <w:r w:rsidRPr="001D61F0">
        <w:rPr>
          <w:color w:val="232323"/>
        </w:rPr>
        <w:t>Sunscreens.</w:t>
      </w:r>
      <w:r w:rsidRPr="001D61F0">
        <w:rPr>
          <w:color w:val="232323"/>
          <w:spacing w:val="-4"/>
        </w:rPr>
        <w:t xml:space="preserve"> </w:t>
      </w:r>
      <w:r w:rsidRPr="001D61F0">
        <w:rPr>
          <w:color w:val="232323"/>
        </w:rPr>
        <w:t>[online]</w:t>
      </w:r>
      <w:r w:rsidRPr="001D61F0">
        <w:rPr>
          <w:color w:val="232323"/>
          <w:spacing w:val="-2"/>
        </w:rPr>
        <w:t xml:space="preserve"> </w:t>
      </w:r>
      <w:r w:rsidRPr="001D61F0">
        <w:rPr>
          <w:color w:val="232323"/>
        </w:rPr>
        <w:t>Available</w:t>
      </w:r>
      <w:r w:rsidRPr="001D61F0">
        <w:rPr>
          <w:color w:val="232323"/>
          <w:spacing w:val="-4"/>
        </w:rPr>
        <w:t xml:space="preserve"> </w:t>
      </w:r>
      <w:r w:rsidRPr="001D61F0">
        <w:rPr>
          <w:color w:val="232323"/>
        </w:rPr>
        <w:t xml:space="preserve">at: </w:t>
      </w:r>
      <w:hyperlink r:id="rId72" w:anchor="%3A%7E%3Atext%3DApply%20at%20least%201%20teaspoon">
        <w:r w:rsidRPr="001D61F0">
          <w:rPr>
            <w:color w:val="0000FF"/>
            <w:u w:val="single" w:color="0000FF"/>
          </w:rPr>
          <w:t>https://www.dermcoll.edu.au/atoz/sun-protection-sunscreens/</w:t>
        </w:r>
        <w:r w:rsidRPr="001D61F0">
          <w:rPr>
            <w:color w:val="232323"/>
          </w:rPr>
          <w:t>.</w:t>
        </w:r>
      </w:hyperlink>
      <w:r w:rsidRPr="001D61F0">
        <w:rPr>
          <w:color w:val="232323"/>
        </w:rPr>
        <w:t xml:space="preserve"> [Accessed 20 June 2024].</w:t>
      </w:r>
    </w:p>
    <w:p w14:paraId="180D8F00" w14:textId="77777777" w:rsidR="00FE12C3" w:rsidRPr="00B25A37" w:rsidRDefault="00FE12C3" w:rsidP="00FE12C3">
      <w:pPr>
        <w:pStyle w:val="BodyText"/>
        <w:spacing w:before="115" w:line="259" w:lineRule="auto"/>
        <w:ind w:right="607"/>
      </w:pPr>
      <w:r w:rsidRPr="00B25A37">
        <w:rPr>
          <w:color w:val="232323"/>
        </w:rPr>
        <w:t>Australian</w:t>
      </w:r>
      <w:r w:rsidRPr="00B25A37">
        <w:rPr>
          <w:color w:val="232323"/>
          <w:spacing w:val="-5"/>
        </w:rPr>
        <w:t xml:space="preserve"> </w:t>
      </w:r>
      <w:r w:rsidRPr="00B25A37">
        <w:rPr>
          <w:color w:val="232323"/>
        </w:rPr>
        <w:t>Children’s</w:t>
      </w:r>
      <w:r w:rsidRPr="00B25A37">
        <w:rPr>
          <w:color w:val="232323"/>
          <w:spacing w:val="-4"/>
        </w:rPr>
        <w:t xml:space="preserve"> </w:t>
      </w:r>
      <w:r w:rsidRPr="00B25A37">
        <w:rPr>
          <w:color w:val="232323"/>
        </w:rPr>
        <w:t>Education</w:t>
      </w:r>
      <w:r w:rsidRPr="00B25A37">
        <w:rPr>
          <w:color w:val="232323"/>
          <w:spacing w:val="-5"/>
        </w:rPr>
        <w:t xml:space="preserve"> </w:t>
      </w:r>
      <w:r w:rsidRPr="00B25A37">
        <w:rPr>
          <w:color w:val="232323"/>
        </w:rPr>
        <w:t>&amp;</w:t>
      </w:r>
      <w:r w:rsidRPr="00B25A37">
        <w:rPr>
          <w:color w:val="232323"/>
          <w:spacing w:val="-3"/>
        </w:rPr>
        <w:t xml:space="preserve"> </w:t>
      </w:r>
      <w:r w:rsidRPr="00B25A37">
        <w:rPr>
          <w:color w:val="232323"/>
        </w:rPr>
        <w:t>Care</w:t>
      </w:r>
      <w:r w:rsidRPr="00B25A37">
        <w:rPr>
          <w:color w:val="232323"/>
          <w:spacing w:val="-5"/>
        </w:rPr>
        <w:t xml:space="preserve"> </w:t>
      </w:r>
      <w:r w:rsidRPr="00B25A37">
        <w:rPr>
          <w:color w:val="232323"/>
        </w:rPr>
        <w:t>Quality</w:t>
      </w:r>
      <w:r w:rsidRPr="00B25A37">
        <w:rPr>
          <w:color w:val="232323"/>
          <w:spacing w:val="-1"/>
        </w:rPr>
        <w:t xml:space="preserve"> </w:t>
      </w:r>
      <w:r w:rsidRPr="00B25A37">
        <w:rPr>
          <w:color w:val="232323"/>
        </w:rPr>
        <w:t>Authority</w:t>
      </w:r>
      <w:r w:rsidRPr="00B25A37">
        <w:rPr>
          <w:color w:val="232323"/>
          <w:spacing w:val="-3"/>
        </w:rPr>
        <w:t xml:space="preserve"> </w:t>
      </w:r>
      <w:r w:rsidRPr="00B25A37">
        <w:rPr>
          <w:color w:val="232323"/>
        </w:rPr>
        <w:t>–</w:t>
      </w:r>
      <w:r w:rsidRPr="00B25A37">
        <w:rPr>
          <w:color w:val="232323"/>
          <w:spacing w:val="-3"/>
        </w:rPr>
        <w:t xml:space="preserve"> </w:t>
      </w:r>
      <w:r w:rsidRPr="00B25A37">
        <w:rPr>
          <w:color w:val="232323"/>
        </w:rPr>
        <w:t>ACECQA</w:t>
      </w:r>
      <w:r w:rsidRPr="00B25A37">
        <w:rPr>
          <w:color w:val="232323"/>
          <w:spacing w:val="-6"/>
        </w:rPr>
        <w:t xml:space="preserve"> </w:t>
      </w:r>
      <w:r w:rsidRPr="00B25A37">
        <w:rPr>
          <w:color w:val="232323"/>
        </w:rPr>
        <w:t>(2024)</w:t>
      </w:r>
      <w:r w:rsidRPr="00B25A37">
        <w:rPr>
          <w:color w:val="232323"/>
          <w:spacing w:val="-1"/>
        </w:rPr>
        <w:t xml:space="preserve"> </w:t>
      </w:r>
      <w:r w:rsidRPr="00B25A37">
        <w:rPr>
          <w:color w:val="232323"/>
        </w:rPr>
        <w:t>Pregnancy,</w:t>
      </w:r>
      <w:r w:rsidRPr="00B25A37">
        <w:rPr>
          <w:color w:val="232323"/>
          <w:spacing w:val="-5"/>
        </w:rPr>
        <w:t xml:space="preserve"> </w:t>
      </w:r>
      <w:r w:rsidRPr="00B25A37">
        <w:rPr>
          <w:color w:val="232323"/>
        </w:rPr>
        <w:t>Birth</w:t>
      </w:r>
      <w:r w:rsidRPr="00B25A37">
        <w:rPr>
          <w:color w:val="232323"/>
          <w:spacing w:val="-3"/>
        </w:rPr>
        <w:t xml:space="preserve"> </w:t>
      </w:r>
      <w:r w:rsidRPr="00B25A37">
        <w:rPr>
          <w:color w:val="232323"/>
        </w:rPr>
        <w:t xml:space="preserve">and Baby. Your child’s development 1 to 2 year olds. [online] Available at: </w:t>
      </w:r>
      <w:hyperlink r:id="rId73">
        <w:r w:rsidRPr="00B25A37">
          <w:rPr>
            <w:color w:val="0000FF"/>
            <w:spacing w:val="-2"/>
            <w:u w:val="single" w:color="0000FF"/>
          </w:rPr>
          <w:t>https://www.startingblocks.gov.au/resources/parenting-and-home/your-childs-development/your-</w:t>
        </w:r>
      </w:hyperlink>
      <w:r w:rsidRPr="00B25A37">
        <w:rPr>
          <w:color w:val="0000FF"/>
          <w:spacing w:val="-2"/>
        </w:rPr>
        <w:t xml:space="preserve"> </w:t>
      </w:r>
      <w:hyperlink r:id="rId74">
        <w:r w:rsidRPr="00B25A37">
          <w:rPr>
            <w:color w:val="0000FF"/>
            <w:u w:val="single" w:color="0000FF"/>
          </w:rPr>
          <w:t>childs-development-1-to-2-years</w:t>
        </w:r>
        <w:r w:rsidRPr="00B25A37">
          <w:rPr>
            <w:color w:val="232323"/>
          </w:rPr>
          <w:t>.</w:t>
        </w:r>
      </w:hyperlink>
      <w:r w:rsidRPr="00B25A37">
        <w:rPr>
          <w:color w:val="232323"/>
        </w:rPr>
        <w:t xml:space="preserve"> [Accessed 20 June 2024].</w:t>
      </w:r>
    </w:p>
    <w:p w14:paraId="5B339EE8" w14:textId="77777777" w:rsidR="00FE12C3" w:rsidRPr="001D61F0" w:rsidRDefault="00FE12C3" w:rsidP="00FE12C3">
      <w:pPr>
        <w:pStyle w:val="BodyText"/>
        <w:spacing w:before="120" w:line="256" w:lineRule="auto"/>
        <w:ind w:right="293"/>
        <w:jc w:val="both"/>
      </w:pPr>
      <w:r w:rsidRPr="001D61F0">
        <w:rPr>
          <w:color w:val="232323"/>
        </w:rPr>
        <w:t>Australian Radiation Protection and Nuclear Safety Agency – ARPANSA</w:t>
      </w:r>
      <w:r w:rsidRPr="001D61F0">
        <w:rPr>
          <w:color w:val="232323"/>
          <w:spacing w:val="-1"/>
        </w:rPr>
        <w:t xml:space="preserve"> </w:t>
      </w:r>
      <w:r w:rsidRPr="001D61F0">
        <w:rPr>
          <w:color w:val="232323"/>
        </w:rPr>
        <w:t>(2024). Ultraviolet radiation model.</w:t>
      </w:r>
      <w:r w:rsidRPr="001D61F0">
        <w:rPr>
          <w:color w:val="232323"/>
          <w:spacing w:val="-11"/>
        </w:rPr>
        <w:t xml:space="preserve"> </w:t>
      </w:r>
      <w:r w:rsidRPr="001D61F0">
        <w:rPr>
          <w:color w:val="232323"/>
        </w:rPr>
        <w:t>[online]</w:t>
      </w:r>
      <w:r w:rsidRPr="001D61F0">
        <w:rPr>
          <w:color w:val="232323"/>
          <w:spacing w:val="-9"/>
        </w:rPr>
        <w:t xml:space="preserve"> </w:t>
      </w:r>
      <w:r w:rsidRPr="001D61F0">
        <w:rPr>
          <w:color w:val="232323"/>
        </w:rPr>
        <w:t>Available</w:t>
      </w:r>
      <w:r w:rsidRPr="001D61F0">
        <w:rPr>
          <w:color w:val="232323"/>
          <w:spacing w:val="-9"/>
        </w:rPr>
        <w:t xml:space="preserve"> </w:t>
      </w:r>
      <w:r w:rsidRPr="001D61F0">
        <w:rPr>
          <w:color w:val="232323"/>
        </w:rPr>
        <w:t>at:</w:t>
      </w:r>
      <w:r w:rsidRPr="001D61F0">
        <w:rPr>
          <w:color w:val="232323"/>
          <w:spacing w:val="-9"/>
        </w:rPr>
        <w:t xml:space="preserve"> </w:t>
      </w:r>
      <w:hyperlink r:id="rId75">
        <w:r w:rsidRPr="001D61F0">
          <w:rPr>
            <w:color w:val="0000FF"/>
            <w:u w:val="single" w:color="0000FF"/>
          </w:rPr>
          <w:t>https://www.arpansa.gov.au/our-services/monitoring/ultraviolet-radiation-</w:t>
        </w:r>
      </w:hyperlink>
      <w:r w:rsidRPr="001D61F0">
        <w:rPr>
          <w:color w:val="0000FF"/>
        </w:rPr>
        <w:t xml:space="preserve"> </w:t>
      </w:r>
      <w:hyperlink r:id="rId76">
        <w:r w:rsidRPr="001D61F0">
          <w:rPr>
            <w:color w:val="0000FF"/>
            <w:u w:val="single" w:color="0000FF"/>
          </w:rPr>
          <w:t>monitoring/uv-index-model</w:t>
        </w:r>
        <w:r w:rsidRPr="001D61F0">
          <w:rPr>
            <w:color w:val="232323"/>
          </w:rPr>
          <w:t>.</w:t>
        </w:r>
      </w:hyperlink>
      <w:r w:rsidRPr="001D61F0">
        <w:rPr>
          <w:color w:val="232323"/>
        </w:rPr>
        <w:t xml:space="preserve"> [Accessed on 20 June 2024].</w:t>
      </w:r>
    </w:p>
    <w:p w14:paraId="6664150D" w14:textId="77777777" w:rsidR="00FE12C3" w:rsidRPr="001D61F0" w:rsidRDefault="00FE12C3" w:rsidP="00FE12C3">
      <w:pPr>
        <w:pStyle w:val="BodyText"/>
        <w:spacing w:before="126" w:line="256" w:lineRule="auto"/>
      </w:pPr>
      <w:r w:rsidRPr="001D61F0">
        <w:rPr>
          <w:color w:val="232323"/>
        </w:rPr>
        <w:t>Australian</w:t>
      </w:r>
      <w:r w:rsidRPr="001D61F0">
        <w:rPr>
          <w:color w:val="232323"/>
          <w:spacing w:val="-5"/>
        </w:rPr>
        <w:t xml:space="preserve"> </w:t>
      </w:r>
      <w:r w:rsidRPr="001D61F0">
        <w:rPr>
          <w:color w:val="232323"/>
        </w:rPr>
        <w:t>Skin</w:t>
      </w:r>
      <w:r w:rsidRPr="001D61F0">
        <w:rPr>
          <w:color w:val="232323"/>
          <w:spacing w:val="-5"/>
        </w:rPr>
        <w:t xml:space="preserve"> </w:t>
      </w:r>
      <w:r w:rsidRPr="001D61F0">
        <w:rPr>
          <w:color w:val="232323"/>
        </w:rPr>
        <w:t>and</w:t>
      </w:r>
      <w:r w:rsidRPr="001D61F0">
        <w:rPr>
          <w:color w:val="232323"/>
          <w:spacing w:val="-3"/>
        </w:rPr>
        <w:t xml:space="preserve"> </w:t>
      </w:r>
      <w:r w:rsidRPr="001D61F0">
        <w:rPr>
          <w:color w:val="232323"/>
        </w:rPr>
        <w:t>Skin</w:t>
      </w:r>
      <w:r w:rsidRPr="001D61F0">
        <w:rPr>
          <w:color w:val="232323"/>
          <w:spacing w:val="-3"/>
        </w:rPr>
        <w:t xml:space="preserve"> </w:t>
      </w:r>
      <w:r w:rsidRPr="001D61F0">
        <w:rPr>
          <w:color w:val="232323"/>
        </w:rPr>
        <w:t>Cancer</w:t>
      </w:r>
      <w:r w:rsidRPr="001D61F0">
        <w:rPr>
          <w:color w:val="232323"/>
          <w:spacing w:val="-4"/>
        </w:rPr>
        <w:t xml:space="preserve"> </w:t>
      </w:r>
      <w:r w:rsidRPr="001D61F0">
        <w:rPr>
          <w:color w:val="232323"/>
        </w:rPr>
        <w:t>Research</w:t>
      </w:r>
      <w:r w:rsidRPr="001D61F0">
        <w:rPr>
          <w:color w:val="232323"/>
          <w:spacing w:val="-5"/>
        </w:rPr>
        <w:t xml:space="preserve"> </w:t>
      </w:r>
      <w:r w:rsidRPr="001D61F0">
        <w:rPr>
          <w:color w:val="232323"/>
        </w:rPr>
        <w:t>Centre</w:t>
      </w:r>
      <w:r w:rsidRPr="001D61F0">
        <w:rPr>
          <w:color w:val="232323"/>
          <w:spacing w:val="-5"/>
        </w:rPr>
        <w:t xml:space="preserve"> </w:t>
      </w:r>
      <w:r w:rsidRPr="001D61F0">
        <w:rPr>
          <w:color w:val="232323"/>
        </w:rPr>
        <w:t>–</w:t>
      </w:r>
      <w:r w:rsidRPr="001D61F0">
        <w:rPr>
          <w:color w:val="232323"/>
          <w:spacing w:val="-3"/>
        </w:rPr>
        <w:t xml:space="preserve"> </w:t>
      </w:r>
      <w:r w:rsidRPr="001D61F0">
        <w:rPr>
          <w:color w:val="232323"/>
        </w:rPr>
        <w:t>ASSC</w:t>
      </w:r>
      <w:r w:rsidRPr="001D61F0">
        <w:rPr>
          <w:color w:val="232323"/>
          <w:spacing w:val="-2"/>
        </w:rPr>
        <w:t xml:space="preserve"> </w:t>
      </w:r>
      <w:r w:rsidRPr="001D61F0">
        <w:rPr>
          <w:color w:val="232323"/>
        </w:rPr>
        <w:t>(2023).</w:t>
      </w:r>
      <w:r w:rsidRPr="001D61F0">
        <w:rPr>
          <w:color w:val="232323"/>
          <w:spacing w:val="-5"/>
        </w:rPr>
        <w:t xml:space="preserve"> </w:t>
      </w:r>
      <w:r w:rsidRPr="001D61F0">
        <w:rPr>
          <w:color w:val="232323"/>
        </w:rPr>
        <w:t>POSITION</w:t>
      </w:r>
      <w:r w:rsidRPr="001D61F0">
        <w:rPr>
          <w:color w:val="232323"/>
          <w:spacing w:val="-2"/>
        </w:rPr>
        <w:t xml:space="preserve"> </w:t>
      </w:r>
      <w:r w:rsidRPr="001D61F0">
        <w:rPr>
          <w:color w:val="232323"/>
        </w:rPr>
        <w:t>STATEMENT BALANCING THE HARMS AND BENEFITS OF SUN EXPOSURE [online] Available at:</w:t>
      </w:r>
    </w:p>
    <w:p w14:paraId="28888DB5" w14:textId="77777777" w:rsidR="00FE12C3" w:rsidRPr="001D61F0" w:rsidRDefault="00ED32F1" w:rsidP="00FE12C3">
      <w:pPr>
        <w:pStyle w:val="BodyText"/>
        <w:spacing w:before="5" w:line="256" w:lineRule="auto"/>
        <w:ind w:right="161"/>
      </w:pPr>
      <w:hyperlink r:id="rId77">
        <w:r w:rsidR="00FE12C3" w:rsidRPr="001D61F0">
          <w:rPr>
            <w:color w:val="0000FF"/>
            <w:spacing w:val="-2"/>
            <w:u w:val="single" w:color="0000FF"/>
          </w:rPr>
          <w:t>https://www.assc.org.au/wp-content/uploads/2023/01/Sun-Exposure-Summit-</w:t>
        </w:r>
      </w:hyperlink>
      <w:r w:rsidR="00FE12C3" w:rsidRPr="001D61F0">
        <w:rPr>
          <w:color w:val="0000FF"/>
          <w:spacing w:val="-2"/>
        </w:rPr>
        <w:t xml:space="preserve"> </w:t>
      </w:r>
      <w:hyperlink r:id="rId78">
        <w:r w:rsidR="00FE12C3" w:rsidRPr="001D61F0">
          <w:rPr>
            <w:color w:val="0000FF"/>
            <w:u w:val="single" w:color="0000FF"/>
          </w:rPr>
          <w:t>PositionStatement_V1.9.pdf</w:t>
        </w:r>
        <w:r w:rsidR="00FE12C3" w:rsidRPr="001D61F0">
          <w:rPr>
            <w:color w:val="232323"/>
          </w:rPr>
          <w:t>.</w:t>
        </w:r>
      </w:hyperlink>
      <w:r w:rsidR="00FE12C3" w:rsidRPr="001D61F0">
        <w:rPr>
          <w:color w:val="232323"/>
        </w:rPr>
        <w:t xml:space="preserve"> [Accessed on 20 June 2024].</w:t>
      </w:r>
    </w:p>
    <w:p w14:paraId="19B12782" w14:textId="77777777" w:rsidR="00FE12C3" w:rsidRPr="001D61F0" w:rsidRDefault="00FE12C3" w:rsidP="00FE12C3">
      <w:pPr>
        <w:pStyle w:val="BodyText"/>
        <w:spacing w:before="122" w:line="259" w:lineRule="auto"/>
        <w:ind w:right="315"/>
      </w:pPr>
      <w:r w:rsidRPr="001D61F0">
        <w:rPr>
          <w:color w:val="232323"/>
        </w:rPr>
        <w:t>Balanda,</w:t>
      </w:r>
      <w:r w:rsidRPr="001D61F0">
        <w:rPr>
          <w:color w:val="232323"/>
          <w:spacing w:val="-3"/>
        </w:rPr>
        <w:t xml:space="preserve"> </w:t>
      </w:r>
      <w:r w:rsidRPr="001D61F0">
        <w:rPr>
          <w:color w:val="232323"/>
        </w:rPr>
        <w:t>K.P.,</w:t>
      </w:r>
      <w:r w:rsidRPr="001D61F0">
        <w:rPr>
          <w:color w:val="232323"/>
          <w:spacing w:val="-3"/>
        </w:rPr>
        <w:t xml:space="preserve"> </w:t>
      </w:r>
      <w:r w:rsidRPr="001D61F0">
        <w:rPr>
          <w:color w:val="232323"/>
        </w:rPr>
        <w:t>Stanton,</w:t>
      </w:r>
      <w:r w:rsidRPr="001D61F0">
        <w:rPr>
          <w:color w:val="232323"/>
          <w:spacing w:val="-3"/>
        </w:rPr>
        <w:t xml:space="preserve"> </w:t>
      </w:r>
      <w:r w:rsidRPr="001D61F0">
        <w:rPr>
          <w:color w:val="232323"/>
        </w:rPr>
        <w:t>W.R.,</w:t>
      </w:r>
      <w:r w:rsidRPr="001D61F0">
        <w:rPr>
          <w:color w:val="232323"/>
          <w:spacing w:val="-5"/>
        </w:rPr>
        <w:t xml:space="preserve"> </w:t>
      </w:r>
      <w:r w:rsidRPr="001D61F0">
        <w:rPr>
          <w:color w:val="232323"/>
        </w:rPr>
        <w:t>Lowe,</w:t>
      </w:r>
      <w:r w:rsidRPr="001D61F0">
        <w:rPr>
          <w:color w:val="232323"/>
          <w:spacing w:val="-5"/>
        </w:rPr>
        <w:t xml:space="preserve"> </w:t>
      </w:r>
      <w:r w:rsidRPr="001D61F0">
        <w:rPr>
          <w:color w:val="232323"/>
        </w:rPr>
        <w:t>J.B.</w:t>
      </w:r>
      <w:r w:rsidRPr="001D61F0">
        <w:rPr>
          <w:color w:val="232323"/>
          <w:spacing w:val="-5"/>
        </w:rPr>
        <w:t xml:space="preserve"> </w:t>
      </w:r>
      <w:r w:rsidRPr="001D61F0">
        <w:rPr>
          <w:color w:val="232323"/>
        </w:rPr>
        <w:t>and</w:t>
      </w:r>
      <w:r w:rsidRPr="001D61F0">
        <w:rPr>
          <w:color w:val="232323"/>
          <w:spacing w:val="-3"/>
        </w:rPr>
        <w:t xml:space="preserve"> </w:t>
      </w:r>
      <w:r w:rsidRPr="001D61F0">
        <w:rPr>
          <w:color w:val="232323"/>
        </w:rPr>
        <w:t>Purdie,</w:t>
      </w:r>
      <w:r w:rsidRPr="001D61F0">
        <w:rPr>
          <w:color w:val="232323"/>
          <w:spacing w:val="-3"/>
        </w:rPr>
        <w:t xml:space="preserve"> </w:t>
      </w:r>
      <w:r w:rsidRPr="001D61F0">
        <w:rPr>
          <w:color w:val="232323"/>
        </w:rPr>
        <w:t>J.</w:t>
      </w:r>
      <w:r w:rsidRPr="001D61F0">
        <w:rPr>
          <w:color w:val="232323"/>
          <w:spacing w:val="-5"/>
        </w:rPr>
        <w:t xml:space="preserve"> </w:t>
      </w:r>
      <w:r w:rsidRPr="001D61F0">
        <w:rPr>
          <w:color w:val="232323"/>
        </w:rPr>
        <w:t>(1999).</w:t>
      </w:r>
      <w:r w:rsidRPr="001D61F0">
        <w:rPr>
          <w:color w:val="232323"/>
          <w:spacing w:val="-3"/>
        </w:rPr>
        <w:t xml:space="preserve"> </w:t>
      </w:r>
      <w:r w:rsidRPr="001D61F0">
        <w:rPr>
          <w:color w:val="232323"/>
        </w:rPr>
        <w:t>Predictors</w:t>
      </w:r>
      <w:r w:rsidRPr="001D61F0">
        <w:rPr>
          <w:color w:val="232323"/>
          <w:spacing w:val="-4"/>
        </w:rPr>
        <w:t xml:space="preserve"> </w:t>
      </w:r>
      <w:r w:rsidRPr="001D61F0">
        <w:rPr>
          <w:color w:val="232323"/>
        </w:rPr>
        <w:t>of</w:t>
      </w:r>
      <w:r w:rsidRPr="001D61F0">
        <w:rPr>
          <w:color w:val="232323"/>
          <w:spacing w:val="-3"/>
        </w:rPr>
        <w:t xml:space="preserve"> </w:t>
      </w:r>
      <w:r w:rsidRPr="001D61F0">
        <w:rPr>
          <w:color w:val="232323"/>
        </w:rPr>
        <w:t>Sun</w:t>
      </w:r>
      <w:r w:rsidRPr="001D61F0">
        <w:rPr>
          <w:color w:val="232323"/>
          <w:spacing w:val="-3"/>
        </w:rPr>
        <w:t xml:space="preserve"> </w:t>
      </w:r>
      <w:r w:rsidRPr="001D61F0">
        <w:rPr>
          <w:color w:val="232323"/>
        </w:rPr>
        <w:t xml:space="preserve">Protective Behaviors Among School Students. Behavioral Medicine, 25(1), pp.28–35. doi: </w:t>
      </w:r>
      <w:hyperlink r:id="rId79">
        <w:r w:rsidRPr="001D61F0">
          <w:rPr>
            <w:color w:val="0000FF"/>
            <w:spacing w:val="-2"/>
            <w:u w:val="single" w:color="0000FF"/>
          </w:rPr>
          <w:t>https://doi.org/10.1080/08964289909596736</w:t>
        </w:r>
        <w:r w:rsidRPr="001D61F0">
          <w:rPr>
            <w:color w:val="232323"/>
            <w:spacing w:val="-2"/>
          </w:rPr>
          <w:t>.</w:t>
        </w:r>
      </w:hyperlink>
    </w:p>
    <w:p w14:paraId="3C455608" w14:textId="77777777" w:rsidR="00FE12C3" w:rsidRPr="001D61F0" w:rsidRDefault="00FE12C3" w:rsidP="00FE12C3">
      <w:pPr>
        <w:pStyle w:val="BodyText"/>
        <w:spacing w:before="121" w:line="259" w:lineRule="auto"/>
        <w:ind w:right="150"/>
      </w:pPr>
      <w:r w:rsidRPr="001D61F0">
        <w:rPr>
          <w:color w:val="232323"/>
        </w:rPr>
        <w:t>Bauer,</w:t>
      </w:r>
      <w:r w:rsidRPr="001D61F0">
        <w:rPr>
          <w:color w:val="232323"/>
          <w:spacing w:val="-3"/>
        </w:rPr>
        <w:t xml:space="preserve"> </w:t>
      </w:r>
      <w:r w:rsidRPr="001D61F0">
        <w:rPr>
          <w:color w:val="232323"/>
        </w:rPr>
        <w:t>U.,</w:t>
      </w:r>
      <w:r w:rsidRPr="001D61F0">
        <w:rPr>
          <w:color w:val="232323"/>
          <w:spacing w:val="-3"/>
        </w:rPr>
        <w:t xml:space="preserve"> </w:t>
      </w:r>
      <w:r w:rsidRPr="001D61F0">
        <w:rPr>
          <w:color w:val="232323"/>
        </w:rPr>
        <w:t>O’Brien,</w:t>
      </w:r>
      <w:r w:rsidRPr="001D61F0">
        <w:rPr>
          <w:color w:val="232323"/>
          <w:spacing w:val="-2"/>
        </w:rPr>
        <w:t xml:space="preserve"> </w:t>
      </w:r>
      <w:r w:rsidRPr="001D61F0">
        <w:rPr>
          <w:color w:val="232323"/>
        </w:rPr>
        <w:t>D.S.</w:t>
      </w:r>
      <w:r w:rsidRPr="001D61F0">
        <w:rPr>
          <w:color w:val="232323"/>
          <w:spacing w:val="-3"/>
        </w:rPr>
        <w:t xml:space="preserve"> </w:t>
      </w:r>
      <w:r w:rsidRPr="001D61F0">
        <w:rPr>
          <w:color w:val="232323"/>
        </w:rPr>
        <w:t>and</w:t>
      </w:r>
      <w:r w:rsidRPr="001D61F0">
        <w:rPr>
          <w:color w:val="232323"/>
          <w:spacing w:val="-3"/>
        </w:rPr>
        <w:t xml:space="preserve"> </w:t>
      </w:r>
      <w:r w:rsidRPr="001D61F0">
        <w:rPr>
          <w:color w:val="232323"/>
        </w:rPr>
        <w:t>Kimlin,</w:t>
      </w:r>
      <w:r w:rsidRPr="001D61F0">
        <w:rPr>
          <w:color w:val="232323"/>
          <w:spacing w:val="-3"/>
        </w:rPr>
        <w:t xml:space="preserve"> </w:t>
      </w:r>
      <w:r w:rsidRPr="001D61F0">
        <w:rPr>
          <w:color w:val="232323"/>
        </w:rPr>
        <w:t>M.G.</w:t>
      </w:r>
      <w:r w:rsidRPr="001D61F0">
        <w:rPr>
          <w:color w:val="232323"/>
          <w:spacing w:val="-3"/>
        </w:rPr>
        <w:t xml:space="preserve"> </w:t>
      </w:r>
      <w:r w:rsidRPr="001D61F0">
        <w:rPr>
          <w:color w:val="232323"/>
        </w:rPr>
        <w:t>(2010).</w:t>
      </w:r>
      <w:r w:rsidRPr="001D61F0">
        <w:rPr>
          <w:color w:val="232323"/>
          <w:spacing w:val="-3"/>
        </w:rPr>
        <w:t xml:space="preserve"> </w:t>
      </w:r>
      <w:r w:rsidRPr="001D61F0">
        <w:rPr>
          <w:color w:val="232323"/>
        </w:rPr>
        <w:t>A</w:t>
      </w:r>
      <w:r w:rsidRPr="001D61F0">
        <w:rPr>
          <w:color w:val="232323"/>
          <w:spacing w:val="-2"/>
        </w:rPr>
        <w:t xml:space="preserve"> </w:t>
      </w:r>
      <w:r w:rsidRPr="001D61F0">
        <w:rPr>
          <w:color w:val="232323"/>
        </w:rPr>
        <w:t>New</w:t>
      </w:r>
      <w:r w:rsidRPr="001D61F0">
        <w:rPr>
          <w:color w:val="232323"/>
          <w:spacing w:val="-3"/>
        </w:rPr>
        <w:t xml:space="preserve"> </w:t>
      </w:r>
      <w:r w:rsidRPr="001D61F0">
        <w:rPr>
          <w:color w:val="232323"/>
        </w:rPr>
        <w:t>Method</w:t>
      </w:r>
      <w:r w:rsidRPr="001D61F0">
        <w:rPr>
          <w:color w:val="232323"/>
          <w:spacing w:val="-2"/>
        </w:rPr>
        <w:t xml:space="preserve"> </w:t>
      </w:r>
      <w:r w:rsidRPr="001D61F0">
        <w:rPr>
          <w:color w:val="232323"/>
        </w:rPr>
        <w:t>to</w:t>
      </w:r>
      <w:r w:rsidRPr="001D61F0">
        <w:rPr>
          <w:color w:val="232323"/>
          <w:spacing w:val="-3"/>
        </w:rPr>
        <w:t xml:space="preserve"> </w:t>
      </w:r>
      <w:r w:rsidRPr="001D61F0">
        <w:rPr>
          <w:color w:val="232323"/>
        </w:rPr>
        <w:t>Quantify</w:t>
      </w:r>
      <w:r w:rsidRPr="001D61F0">
        <w:rPr>
          <w:color w:val="232323"/>
          <w:spacing w:val="-2"/>
        </w:rPr>
        <w:t xml:space="preserve"> </w:t>
      </w:r>
      <w:r w:rsidRPr="001D61F0">
        <w:rPr>
          <w:color w:val="232323"/>
        </w:rPr>
        <w:t>the</w:t>
      </w:r>
      <w:r w:rsidRPr="001D61F0">
        <w:rPr>
          <w:color w:val="232323"/>
          <w:spacing w:val="-3"/>
        </w:rPr>
        <w:t xml:space="preserve"> </w:t>
      </w:r>
      <w:r w:rsidRPr="001D61F0">
        <w:rPr>
          <w:color w:val="232323"/>
        </w:rPr>
        <w:t>Application</w:t>
      </w:r>
      <w:r w:rsidRPr="001D61F0">
        <w:rPr>
          <w:color w:val="232323"/>
          <w:spacing w:val="-3"/>
        </w:rPr>
        <w:t xml:space="preserve"> </w:t>
      </w:r>
      <w:r w:rsidRPr="001D61F0">
        <w:rPr>
          <w:color w:val="232323"/>
        </w:rPr>
        <w:t xml:space="preserve">Thickness of Sunscreen on Skin. Photochemistry and Photobiology, 86(6), pp.1397–1403. doi: </w:t>
      </w:r>
      <w:hyperlink r:id="rId80">
        <w:r w:rsidRPr="001D61F0">
          <w:rPr>
            <w:color w:val="0000FF"/>
            <w:spacing w:val="-2"/>
            <w:u w:val="single" w:color="0000FF"/>
          </w:rPr>
          <w:t>https://doi.org/10.1111/j.1751-1097.2010.00816.x</w:t>
        </w:r>
        <w:r w:rsidRPr="001D61F0">
          <w:rPr>
            <w:color w:val="232323"/>
            <w:spacing w:val="-2"/>
          </w:rPr>
          <w:t>.</w:t>
        </w:r>
      </w:hyperlink>
    </w:p>
    <w:p w14:paraId="4B024666" w14:textId="77777777" w:rsidR="00FE12C3" w:rsidRPr="001D61F0" w:rsidRDefault="00FE12C3" w:rsidP="00FE12C3">
      <w:pPr>
        <w:pStyle w:val="BodyText"/>
        <w:spacing w:before="119" w:line="259" w:lineRule="auto"/>
        <w:ind w:right="161"/>
      </w:pPr>
      <w:r w:rsidRPr="001D61F0">
        <w:rPr>
          <w:color w:val="232323"/>
        </w:rPr>
        <w:t>Biesterbos, J.W.H., Dudzina, T., Delmaar, C.J.E., Bakker, M.I., Russel, F.G.M., von Goetz, N., Scheepers,</w:t>
      </w:r>
      <w:r w:rsidRPr="001D61F0">
        <w:rPr>
          <w:color w:val="232323"/>
          <w:spacing w:val="-4"/>
        </w:rPr>
        <w:t xml:space="preserve"> </w:t>
      </w:r>
      <w:r w:rsidRPr="001D61F0">
        <w:rPr>
          <w:color w:val="232323"/>
        </w:rPr>
        <w:t>P.T.J.</w:t>
      </w:r>
      <w:r w:rsidRPr="001D61F0">
        <w:rPr>
          <w:color w:val="232323"/>
          <w:spacing w:val="-4"/>
        </w:rPr>
        <w:t xml:space="preserve"> </w:t>
      </w:r>
      <w:r w:rsidRPr="001D61F0">
        <w:rPr>
          <w:color w:val="232323"/>
        </w:rPr>
        <w:t>and</w:t>
      </w:r>
      <w:r w:rsidRPr="001D61F0">
        <w:rPr>
          <w:color w:val="232323"/>
          <w:spacing w:val="-4"/>
        </w:rPr>
        <w:t xml:space="preserve"> </w:t>
      </w:r>
      <w:r w:rsidRPr="001D61F0">
        <w:rPr>
          <w:color w:val="232323"/>
        </w:rPr>
        <w:t>Roeleveld,</w:t>
      </w:r>
      <w:r w:rsidRPr="001D61F0">
        <w:rPr>
          <w:color w:val="232323"/>
          <w:spacing w:val="-2"/>
        </w:rPr>
        <w:t xml:space="preserve"> </w:t>
      </w:r>
      <w:r w:rsidRPr="001D61F0">
        <w:rPr>
          <w:color w:val="232323"/>
        </w:rPr>
        <w:t>N.</w:t>
      </w:r>
      <w:r w:rsidRPr="001D61F0">
        <w:rPr>
          <w:color w:val="232323"/>
          <w:spacing w:val="-4"/>
        </w:rPr>
        <w:t xml:space="preserve"> </w:t>
      </w:r>
      <w:r w:rsidRPr="001D61F0">
        <w:rPr>
          <w:color w:val="232323"/>
        </w:rPr>
        <w:t>(2013).</w:t>
      </w:r>
      <w:r w:rsidRPr="001D61F0">
        <w:rPr>
          <w:color w:val="232323"/>
          <w:spacing w:val="-4"/>
        </w:rPr>
        <w:t xml:space="preserve"> </w:t>
      </w:r>
      <w:r w:rsidRPr="001D61F0">
        <w:rPr>
          <w:color w:val="232323"/>
        </w:rPr>
        <w:t>Usage</w:t>
      </w:r>
      <w:r w:rsidRPr="001D61F0">
        <w:rPr>
          <w:color w:val="232323"/>
          <w:spacing w:val="-2"/>
        </w:rPr>
        <w:t xml:space="preserve"> </w:t>
      </w:r>
      <w:r w:rsidRPr="001D61F0">
        <w:rPr>
          <w:color w:val="232323"/>
        </w:rPr>
        <w:t>patterns</w:t>
      </w:r>
      <w:r w:rsidRPr="001D61F0">
        <w:rPr>
          <w:color w:val="232323"/>
          <w:spacing w:val="-3"/>
        </w:rPr>
        <w:t xml:space="preserve"> </w:t>
      </w:r>
      <w:r w:rsidRPr="001D61F0">
        <w:rPr>
          <w:color w:val="232323"/>
        </w:rPr>
        <w:t>of</w:t>
      </w:r>
      <w:r w:rsidRPr="001D61F0">
        <w:rPr>
          <w:color w:val="232323"/>
          <w:spacing w:val="-4"/>
        </w:rPr>
        <w:t xml:space="preserve"> </w:t>
      </w:r>
      <w:r w:rsidRPr="001D61F0">
        <w:rPr>
          <w:color w:val="232323"/>
        </w:rPr>
        <w:t>personal</w:t>
      </w:r>
      <w:r w:rsidRPr="001D61F0">
        <w:rPr>
          <w:color w:val="232323"/>
          <w:spacing w:val="-5"/>
        </w:rPr>
        <w:t xml:space="preserve"> </w:t>
      </w:r>
      <w:r w:rsidRPr="001D61F0">
        <w:rPr>
          <w:color w:val="232323"/>
        </w:rPr>
        <w:t>care</w:t>
      </w:r>
      <w:r w:rsidRPr="001D61F0">
        <w:rPr>
          <w:color w:val="232323"/>
          <w:spacing w:val="-2"/>
        </w:rPr>
        <w:t xml:space="preserve"> </w:t>
      </w:r>
      <w:r w:rsidRPr="001D61F0">
        <w:rPr>
          <w:color w:val="232323"/>
        </w:rPr>
        <w:t>products:</w:t>
      </w:r>
      <w:r w:rsidRPr="001D61F0">
        <w:rPr>
          <w:color w:val="232323"/>
          <w:spacing w:val="-4"/>
        </w:rPr>
        <w:t xml:space="preserve"> </w:t>
      </w:r>
      <w:r w:rsidRPr="001D61F0">
        <w:rPr>
          <w:color w:val="232323"/>
        </w:rPr>
        <w:t xml:space="preserve">Important factors for exposure assessment. Food and Chemical Toxicology, 55, pp.8–17. doi: </w:t>
      </w:r>
      <w:hyperlink r:id="rId81">
        <w:r w:rsidRPr="001D61F0">
          <w:rPr>
            <w:color w:val="0000FF"/>
            <w:spacing w:val="-2"/>
            <w:u w:val="single" w:color="0000FF"/>
          </w:rPr>
          <w:t>https://doi.org/10.1016/j.fct.2012.11.014</w:t>
        </w:r>
        <w:r w:rsidRPr="001D61F0">
          <w:rPr>
            <w:color w:val="232323"/>
            <w:spacing w:val="-2"/>
          </w:rPr>
          <w:t>.</w:t>
        </w:r>
      </w:hyperlink>
    </w:p>
    <w:p w14:paraId="31539A90" w14:textId="77777777" w:rsidR="00FE12C3" w:rsidRPr="001D61F0" w:rsidRDefault="00FE12C3" w:rsidP="00FE12C3">
      <w:pPr>
        <w:pStyle w:val="BodyText"/>
        <w:spacing w:before="120" w:line="256" w:lineRule="auto"/>
        <w:ind w:right="315"/>
      </w:pPr>
      <w:r w:rsidRPr="001D61F0">
        <w:rPr>
          <w:color w:val="232323"/>
        </w:rPr>
        <w:t>Bureau</w:t>
      </w:r>
      <w:r w:rsidRPr="001D61F0">
        <w:rPr>
          <w:color w:val="232323"/>
          <w:spacing w:val="-4"/>
        </w:rPr>
        <w:t xml:space="preserve"> </w:t>
      </w:r>
      <w:r w:rsidRPr="001D61F0">
        <w:rPr>
          <w:color w:val="232323"/>
        </w:rPr>
        <w:t>of</w:t>
      </w:r>
      <w:r w:rsidRPr="001D61F0">
        <w:rPr>
          <w:color w:val="232323"/>
          <w:spacing w:val="-2"/>
        </w:rPr>
        <w:t xml:space="preserve"> </w:t>
      </w:r>
      <w:r w:rsidRPr="001D61F0">
        <w:rPr>
          <w:color w:val="232323"/>
        </w:rPr>
        <w:t>Meteorology</w:t>
      </w:r>
      <w:r w:rsidRPr="001D61F0">
        <w:rPr>
          <w:color w:val="232323"/>
          <w:spacing w:val="-1"/>
        </w:rPr>
        <w:t xml:space="preserve"> </w:t>
      </w:r>
      <w:r w:rsidRPr="001D61F0">
        <w:rPr>
          <w:color w:val="232323"/>
        </w:rPr>
        <w:t>–</w:t>
      </w:r>
      <w:r w:rsidRPr="001D61F0">
        <w:rPr>
          <w:color w:val="232323"/>
          <w:spacing w:val="-4"/>
        </w:rPr>
        <w:t xml:space="preserve"> </w:t>
      </w:r>
      <w:r w:rsidRPr="001D61F0">
        <w:rPr>
          <w:color w:val="232323"/>
        </w:rPr>
        <w:t>BOM</w:t>
      </w:r>
      <w:r w:rsidRPr="001D61F0">
        <w:rPr>
          <w:color w:val="232323"/>
          <w:spacing w:val="-4"/>
        </w:rPr>
        <w:t xml:space="preserve"> </w:t>
      </w:r>
      <w:r w:rsidRPr="001D61F0">
        <w:rPr>
          <w:color w:val="232323"/>
        </w:rPr>
        <w:t>(2024a).</w:t>
      </w:r>
      <w:r w:rsidRPr="001D61F0">
        <w:rPr>
          <w:color w:val="232323"/>
          <w:spacing w:val="-4"/>
        </w:rPr>
        <w:t xml:space="preserve"> </w:t>
      </w:r>
      <w:r w:rsidRPr="001D61F0">
        <w:rPr>
          <w:color w:val="232323"/>
        </w:rPr>
        <w:t>Ultra</w:t>
      </w:r>
      <w:r w:rsidRPr="001D61F0">
        <w:rPr>
          <w:color w:val="232323"/>
          <w:spacing w:val="-2"/>
        </w:rPr>
        <w:t xml:space="preserve"> </w:t>
      </w:r>
      <w:r w:rsidRPr="001D61F0">
        <w:rPr>
          <w:color w:val="232323"/>
        </w:rPr>
        <w:t>Violet</w:t>
      </w:r>
      <w:r w:rsidRPr="001D61F0">
        <w:rPr>
          <w:color w:val="232323"/>
          <w:spacing w:val="-4"/>
        </w:rPr>
        <w:t xml:space="preserve"> </w:t>
      </w:r>
      <w:r w:rsidRPr="001D61F0">
        <w:rPr>
          <w:color w:val="232323"/>
        </w:rPr>
        <w:t>Index</w:t>
      </w:r>
      <w:r w:rsidRPr="001D61F0">
        <w:rPr>
          <w:color w:val="232323"/>
          <w:spacing w:val="-3"/>
        </w:rPr>
        <w:t xml:space="preserve"> </w:t>
      </w:r>
      <w:r w:rsidRPr="001D61F0">
        <w:rPr>
          <w:color w:val="232323"/>
        </w:rPr>
        <w:t>climate</w:t>
      </w:r>
      <w:r w:rsidRPr="001D61F0">
        <w:rPr>
          <w:color w:val="232323"/>
          <w:spacing w:val="-4"/>
        </w:rPr>
        <w:t xml:space="preserve"> </w:t>
      </w:r>
      <w:r w:rsidRPr="001D61F0">
        <w:rPr>
          <w:color w:val="232323"/>
        </w:rPr>
        <w:t>averages</w:t>
      </w:r>
      <w:r w:rsidRPr="001D61F0">
        <w:rPr>
          <w:color w:val="232323"/>
          <w:spacing w:val="-3"/>
        </w:rPr>
        <w:t xml:space="preserve"> </w:t>
      </w:r>
      <w:r w:rsidRPr="001D61F0">
        <w:rPr>
          <w:color w:val="232323"/>
        </w:rPr>
        <w:t>maps.</w:t>
      </w:r>
      <w:r w:rsidRPr="001D61F0">
        <w:rPr>
          <w:color w:val="232323"/>
          <w:spacing w:val="-4"/>
        </w:rPr>
        <w:t xml:space="preserve"> </w:t>
      </w:r>
      <w:r w:rsidRPr="001D61F0">
        <w:rPr>
          <w:color w:val="232323"/>
        </w:rPr>
        <w:t>[online]</w:t>
      </w:r>
      <w:r w:rsidRPr="001D61F0">
        <w:rPr>
          <w:color w:val="232323"/>
          <w:spacing w:val="-2"/>
        </w:rPr>
        <w:t xml:space="preserve"> </w:t>
      </w:r>
      <w:r w:rsidRPr="001D61F0">
        <w:rPr>
          <w:color w:val="232323"/>
        </w:rPr>
        <w:t xml:space="preserve">Available at: </w:t>
      </w:r>
      <w:hyperlink r:id="rId82">
        <w:r w:rsidRPr="001D61F0">
          <w:rPr>
            <w:color w:val="0000FF"/>
            <w:u w:val="single" w:color="0000FF"/>
          </w:rPr>
          <w:t>http://www.bom.gov.au/climate/maps/averages/uv-index/</w:t>
        </w:r>
        <w:r w:rsidRPr="001D61F0">
          <w:rPr>
            <w:color w:val="232323"/>
          </w:rPr>
          <w:t>.</w:t>
        </w:r>
      </w:hyperlink>
      <w:r w:rsidRPr="001D61F0">
        <w:rPr>
          <w:color w:val="232323"/>
        </w:rPr>
        <w:t xml:space="preserve"> [Accessed on 20 June 2024].</w:t>
      </w:r>
    </w:p>
    <w:p w14:paraId="6F5D422D" w14:textId="77777777" w:rsidR="00FE12C3" w:rsidRPr="001D61F0" w:rsidRDefault="00FE12C3" w:rsidP="00FE12C3">
      <w:pPr>
        <w:pStyle w:val="BodyText"/>
        <w:spacing w:before="122" w:line="261" w:lineRule="auto"/>
      </w:pPr>
      <w:r w:rsidRPr="001D61F0">
        <w:rPr>
          <w:color w:val="232323"/>
        </w:rPr>
        <w:t>Bureau</w:t>
      </w:r>
      <w:r w:rsidRPr="001D61F0">
        <w:rPr>
          <w:color w:val="232323"/>
          <w:spacing w:val="-5"/>
        </w:rPr>
        <w:t xml:space="preserve"> </w:t>
      </w:r>
      <w:r w:rsidRPr="001D61F0">
        <w:rPr>
          <w:color w:val="232323"/>
        </w:rPr>
        <w:t>of</w:t>
      </w:r>
      <w:r w:rsidRPr="001D61F0">
        <w:rPr>
          <w:color w:val="232323"/>
          <w:spacing w:val="-3"/>
        </w:rPr>
        <w:t xml:space="preserve"> </w:t>
      </w:r>
      <w:r w:rsidRPr="001D61F0">
        <w:rPr>
          <w:color w:val="232323"/>
        </w:rPr>
        <w:t>Meteorology</w:t>
      </w:r>
      <w:r w:rsidRPr="001D61F0">
        <w:rPr>
          <w:color w:val="232323"/>
          <w:spacing w:val="-1"/>
        </w:rPr>
        <w:t xml:space="preserve"> </w:t>
      </w:r>
      <w:r w:rsidRPr="001D61F0">
        <w:rPr>
          <w:color w:val="232323"/>
        </w:rPr>
        <w:t>–</w:t>
      </w:r>
      <w:r w:rsidRPr="001D61F0">
        <w:rPr>
          <w:color w:val="232323"/>
          <w:spacing w:val="-5"/>
        </w:rPr>
        <w:t xml:space="preserve"> </w:t>
      </w:r>
      <w:r w:rsidRPr="001D61F0">
        <w:rPr>
          <w:color w:val="232323"/>
        </w:rPr>
        <w:t>BOM</w:t>
      </w:r>
      <w:r w:rsidRPr="001D61F0">
        <w:rPr>
          <w:color w:val="232323"/>
          <w:spacing w:val="-5"/>
        </w:rPr>
        <w:t xml:space="preserve"> </w:t>
      </w:r>
      <w:r w:rsidRPr="001D61F0">
        <w:rPr>
          <w:color w:val="232323"/>
        </w:rPr>
        <w:t>(2024b).</w:t>
      </w:r>
      <w:r w:rsidRPr="001D61F0">
        <w:rPr>
          <w:color w:val="232323"/>
          <w:spacing w:val="-3"/>
        </w:rPr>
        <w:t xml:space="preserve"> </w:t>
      </w:r>
      <w:r w:rsidRPr="001D61F0">
        <w:rPr>
          <w:color w:val="232323"/>
        </w:rPr>
        <w:t>Annual</w:t>
      </w:r>
      <w:r w:rsidRPr="001D61F0">
        <w:rPr>
          <w:color w:val="232323"/>
          <w:spacing w:val="-4"/>
        </w:rPr>
        <w:t xml:space="preserve"> </w:t>
      </w:r>
      <w:r w:rsidRPr="001D61F0">
        <w:rPr>
          <w:color w:val="232323"/>
        </w:rPr>
        <w:t>Statement</w:t>
      </w:r>
      <w:r w:rsidRPr="001D61F0">
        <w:rPr>
          <w:color w:val="232323"/>
          <w:spacing w:val="-3"/>
        </w:rPr>
        <w:t xml:space="preserve"> </w:t>
      </w:r>
      <w:r w:rsidRPr="001D61F0">
        <w:rPr>
          <w:color w:val="232323"/>
        </w:rPr>
        <w:t>2023.</w:t>
      </w:r>
      <w:r w:rsidRPr="001D61F0">
        <w:rPr>
          <w:color w:val="232323"/>
          <w:spacing w:val="-5"/>
        </w:rPr>
        <w:t xml:space="preserve"> </w:t>
      </w:r>
      <w:r w:rsidRPr="001D61F0">
        <w:rPr>
          <w:color w:val="232323"/>
        </w:rPr>
        <w:t>[online]</w:t>
      </w:r>
      <w:r w:rsidRPr="001D61F0">
        <w:rPr>
          <w:color w:val="232323"/>
          <w:spacing w:val="-3"/>
        </w:rPr>
        <w:t xml:space="preserve"> </w:t>
      </w:r>
      <w:r w:rsidRPr="001D61F0">
        <w:rPr>
          <w:color w:val="232323"/>
        </w:rPr>
        <w:t>Available</w:t>
      </w:r>
      <w:r w:rsidRPr="001D61F0">
        <w:rPr>
          <w:color w:val="232323"/>
          <w:spacing w:val="-5"/>
        </w:rPr>
        <w:t xml:space="preserve"> </w:t>
      </w:r>
      <w:r w:rsidRPr="001D61F0">
        <w:rPr>
          <w:color w:val="232323"/>
        </w:rPr>
        <w:t xml:space="preserve">at: </w:t>
      </w:r>
      <w:hyperlink r:id="rId83">
        <w:r w:rsidRPr="001D61F0">
          <w:rPr>
            <w:color w:val="0000FF"/>
            <w:u w:val="single" w:color="0000FF"/>
          </w:rPr>
          <w:t>http://www.bom.gov.au/climate/current/annual/aus</w:t>
        </w:r>
        <w:r w:rsidRPr="001D61F0">
          <w:rPr>
            <w:color w:val="232323"/>
          </w:rPr>
          <w:t>.</w:t>
        </w:r>
      </w:hyperlink>
      <w:r w:rsidRPr="001D61F0">
        <w:rPr>
          <w:color w:val="232323"/>
        </w:rPr>
        <w:t xml:space="preserve"> [Accessed 20 June 2024].</w:t>
      </w:r>
    </w:p>
    <w:p w14:paraId="67C0BD91" w14:textId="77777777" w:rsidR="00FE12C3" w:rsidRPr="001D61F0" w:rsidRDefault="00FE12C3" w:rsidP="00FE12C3">
      <w:pPr>
        <w:pStyle w:val="BodyText"/>
        <w:spacing w:before="116" w:line="261" w:lineRule="auto"/>
        <w:ind w:right="183"/>
      </w:pPr>
      <w:r w:rsidRPr="001D61F0">
        <w:rPr>
          <w:color w:val="232323"/>
        </w:rPr>
        <w:t>Bureau</w:t>
      </w:r>
      <w:r w:rsidRPr="001D61F0">
        <w:rPr>
          <w:color w:val="232323"/>
          <w:spacing w:val="-4"/>
        </w:rPr>
        <w:t xml:space="preserve"> </w:t>
      </w:r>
      <w:r w:rsidRPr="001D61F0">
        <w:rPr>
          <w:color w:val="232323"/>
        </w:rPr>
        <w:t>of</w:t>
      </w:r>
      <w:r w:rsidRPr="001D61F0">
        <w:rPr>
          <w:color w:val="232323"/>
          <w:spacing w:val="-2"/>
        </w:rPr>
        <w:t xml:space="preserve"> </w:t>
      </w:r>
      <w:r w:rsidRPr="001D61F0">
        <w:rPr>
          <w:color w:val="232323"/>
        </w:rPr>
        <w:t>Meteorology –</w:t>
      </w:r>
      <w:r w:rsidRPr="001D61F0">
        <w:rPr>
          <w:color w:val="232323"/>
          <w:spacing w:val="-4"/>
        </w:rPr>
        <w:t xml:space="preserve"> </w:t>
      </w:r>
      <w:r w:rsidRPr="001D61F0">
        <w:rPr>
          <w:color w:val="232323"/>
        </w:rPr>
        <w:t>BOM</w:t>
      </w:r>
      <w:r w:rsidRPr="001D61F0">
        <w:rPr>
          <w:color w:val="232323"/>
          <w:spacing w:val="-4"/>
        </w:rPr>
        <w:t xml:space="preserve"> </w:t>
      </w:r>
      <w:r w:rsidRPr="001D61F0">
        <w:rPr>
          <w:color w:val="232323"/>
        </w:rPr>
        <w:t>(2024c).</w:t>
      </w:r>
      <w:r w:rsidRPr="001D61F0">
        <w:rPr>
          <w:color w:val="232323"/>
          <w:spacing w:val="-4"/>
        </w:rPr>
        <w:t xml:space="preserve"> </w:t>
      </w:r>
      <w:r w:rsidRPr="001D61F0">
        <w:rPr>
          <w:color w:val="232323"/>
        </w:rPr>
        <w:t>State</w:t>
      </w:r>
      <w:r w:rsidRPr="001D61F0">
        <w:rPr>
          <w:color w:val="232323"/>
          <w:spacing w:val="-4"/>
        </w:rPr>
        <w:t xml:space="preserve"> </w:t>
      </w:r>
      <w:r w:rsidRPr="001D61F0">
        <w:rPr>
          <w:color w:val="232323"/>
        </w:rPr>
        <w:t>of</w:t>
      </w:r>
      <w:r w:rsidRPr="001D61F0">
        <w:rPr>
          <w:color w:val="232323"/>
          <w:spacing w:val="-4"/>
        </w:rPr>
        <w:t xml:space="preserve"> </w:t>
      </w:r>
      <w:r w:rsidRPr="001D61F0">
        <w:rPr>
          <w:color w:val="232323"/>
        </w:rPr>
        <w:t>the</w:t>
      </w:r>
      <w:r w:rsidRPr="001D61F0">
        <w:rPr>
          <w:color w:val="232323"/>
          <w:spacing w:val="-4"/>
        </w:rPr>
        <w:t xml:space="preserve"> </w:t>
      </w:r>
      <w:r w:rsidRPr="001D61F0">
        <w:rPr>
          <w:color w:val="232323"/>
        </w:rPr>
        <w:t>Climate</w:t>
      </w:r>
      <w:r w:rsidRPr="001D61F0">
        <w:rPr>
          <w:color w:val="232323"/>
          <w:spacing w:val="-4"/>
        </w:rPr>
        <w:t xml:space="preserve"> </w:t>
      </w:r>
      <w:r w:rsidRPr="001D61F0">
        <w:rPr>
          <w:color w:val="232323"/>
        </w:rPr>
        <w:t>2022:</w:t>
      </w:r>
      <w:r w:rsidRPr="001D61F0">
        <w:rPr>
          <w:color w:val="232323"/>
          <w:spacing w:val="-2"/>
        </w:rPr>
        <w:t xml:space="preserve"> </w:t>
      </w:r>
      <w:r w:rsidRPr="001D61F0">
        <w:rPr>
          <w:color w:val="232323"/>
        </w:rPr>
        <w:t>Bureau</w:t>
      </w:r>
      <w:r w:rsidRPr="001D61F0">
        <w:rPr>
          <w:color w:val="232323"/>
          <w:spacing w:val="-2"/>
        </w:rPr>
        <w:t xml:space="preserve"> </w:t>
      </w:r>
      <w:r w:rsidRPr="001D61F0">
        <w:rPr>
          <w:color w:val="232323"/>
        </w:rPr>
        <w:t>of</w:t>
      </w:r>
      <w:r w:rsidRPr="001D61F0">
        <w:rPr>
          <w:color w:val="232323"/>
          <w:spacing w:val="-2"/>
        </w:rPr>
        <w:t xml:space="preserve"> </w:t>
      </w:r>
      <w:r w:rsidRPr="001D61F0">
        <w:rPr>
          <w:color w:val="232323"/>
        </w:rPr>
        <w:t>Meteorology.</w:t>
      </w:r>
      <w:r w:rsidRPr="001D61F0">
        <w:rPr>
          <w:color w:val="232323"/>
          <w:spacing w:val="-4"/>
        </w:rPr>
        <w:t xml:space="preserve"> </w:t>
      </w:r>
      <w:r w:rsidRPr="001D61F0">
        <w:rPr>
          <w:color w:val="232323"/>
        </w:rPr>
        <w:t xml:space="preserve">[online] Available at: </w:t>
      </w:r>
      <w:hyperlink r:id="rId84">
        <w:r w:rsidRPr="001D61F0">
          <w:rPr>
            <w:color w:val="0000FF"/>
            <w:u w:val="single" w:color="0000FF"/>
          </w:rPr>
          <w:t>http://www.bom.gov.au/state-of-the-climate/</w:t>
        </w:r>
        <w:r w:rsidRPr="001D61F0">
          <w:rPr>
            <w:color w:val="232323"/>
          </w:rPr>
          <w:t>.</w:t>
        </w:r>
      </w:hyperlink>
      <w:r w:rsidRPr="001D61F0">
        <w:rPr>
          <w:color w:val="232323"/>
        </w:rPr>
        <w:t xml:space="preserve"> [Accessed 20 June 2024].</w:t>
      </w:r>
    </w:p>
    <w:p w14:paraId="68356261" w14:textId="77777777" w:rsidR="00FE12C3" w:rsidRPr="001D61F0" w:rsidRDefault="00FE12C3" w:rsidP="00FE12C3">
      <w:pPr>
        <w:pStyle w:val="BodyText"/>
        <w:spacing w:before="115" w:line="259" w:lineRule="auto"/>
      </w:pPr>
      <w:r w:rsidRPr="001D61F0">
        <w:rPr>
          <w:color w:val="232323"/>
        </w:rPr>
        <w:t xml:space="preserve">Bureau of Meteorology – BOM (2024d). Average monthly and annual temperature maps, Bureau of Meteorology. [online] Available at: </w:t>
      </w:r>
      <w:hyperlink r:id="rId85">
        <w:r w:rsidRPr="001D61F0">
          <w:rPr>
            <w:color w:val="0000FF"/>
            <w:spacing w:val="-2"/>
            <w:u w:val="single" w:color="0000FF"/>
          </w:rPr>
          <w:t>http://www.bom.gov.au/climate/maps/averages/temperature/?maptype=mxt&amp;period=an&amp;region=aus</w:t>
        </w:r>
        <w:r w:rsidRPr="001D61F0">
          <w:rPr>
            <w:color w:val="232323"/>
            <w:spacing w:val="-2"/>
          </w:rPr>
          <w:t>.</w:t>
        </w:r>
      </w:hyperlink>
      <w:r w:rsidRPr="001D61F0">
        <w:rPr>
          <w:color w:val="232323"/>
          <w:spacing w:val="-2"/>
        </w:rPr>
        <w:t xml:space="preserve"> </w:t>
      </w:r>
      <w:r w:rsidRPr="001D61F0">
        <w:rPr>
          <w:color w:val="232323"/>
        </w:rPr>
        <w:t>[Accessed 20 June 2024].</w:t>
      </w:r>
    </w:p>
    <w:p w14:paraId="630C02FF" w14:textId="77777777" w:rsidR="00FE12C3" w:rsidRPr="001D61F0" w:rsidRDefault="00FE12C3" w:rsidP="00FE12C3">
      <w:pPr>
        <w:pStyle w:val="BodyText"/>
        <w:spacing w:before="120" w:line="256" w:lineRule="auto"/>
        <w:ind w:right="315"/>
      </w:pPr>
      <w:r w:rsidRPr="001D61F0">
        <w:rPr>
          <w:color w:val="232323"/>
        </w:rPr>
        <w:t>Bureau</w:t>
      </w:r>
      <w:r w:rsidRPr="001D61F0">
        <w:rPr>
          <w:color w:val="232323"/>
          <w:spacing w:val="-5"/>
        </w:rPr>
        <w:t xml:space="preserve"> </w:t>
      </w:r>
      <w:r w:rsidRPr="001D61F0">
        <w:rPr>
          <w:color w:val="232323"/>
        </w:rPr>
        <w:t>of</w:t>
      </w:r>
      <w:r w:rsidRPr="001D61F0">
        <w:rPr>
          <w:color w:val="232323"/>
          <w:spacing w:val="-3"/>
        </w:rPr>
        <w:t xml:space="preserve"> </w:t>
      </w:r>
      <w:r w:rsidRPr="001D61F0">
        <w:rPr>
          <w:color w:val="232323"/>
        </w:rPr>
        <w:t>Meteorology</w:t>
      </w:r>
      <w:r w:rsidRPr="001D61F0">
        <w:rPr>
          <w:color w:val="232323"/>
          <w:spacing w:val="-1"/>
        </w:rPr>
        <w:t xml:space="preserve"> </w:t>
      </w:r>
      <w:r w:rsidRPr="001D61F0">
        <w:rPr>
          <w:color w:val="232323"/>
        </w:rPr>
        <w:t>–</w:t>
      </w:r>
      <w:r w:rsidRPr="001D61F0">
        <w:rPr>
          <w:color w:val="232323"/>
          <w:spacing w:val="-5"/>
        </w:rPr>
        <w:t xml:space="preserve"> </w:t>
      </w:r>
      <w:r w:rsidRPr="001D61F0">
        <w:rPr>
          <w:color w:val="232323"/>
        </w:rPr>
        <w:t>BOM</w:t>
      </w:r>
      <w:r w:rsidRPr="001D61F0">
        <w:rPr>
          <w:color w:val="232323"/>
          <w:spacing w:val="-5"/>
        </w:rPr>
        <w:t xml:space="preserve"> </w:t>
      </w:r>
      <w:r w:rsidRPr="001D61F0">
        <w:rPr>
          <w:color w:val="232323"/>
        </w:rPr>
        <w:t>(2024e).</w:t>
      </w:r>
      <w:r w:rsidRPr="001D61F0">
        <w:rPr>
          <w:color w:val="232323"/>
          <w:spacing w:val="-5"/>
        </w:rPr>
        <w:t xml:space="preserve"> </w:t>
      </w:r>
      <w:r w:rsidRPr="001D61F0">
        <w:rPr>
          <w:color w:val="232323"/>
        </w:rPr>
        <w:t>Climate</w:t>
      </w:r>
      <w:r w:rsidRPr="001D61F0">
        <w:rPr>
          <w:color w:val="232323"/>
          <w:spacing w:val="-3"/>
        </w:rPr>
        <w:t xml:space="preserve"> </w:t>
      </w:r>
      <w:r w:rsidRPr="001D61F0">
        <w:rPr>
          <w:color w:val="232323"/>
        </w:rPr>
        <w:t>Data</w:t>
      </w:r>
      <w:r w:rsidRPr="001D61F0">
        <w:rPr>
          <w:color w:val="232323"/>
          <w:spacing w:val="-3"/>
        </w:rPr>
        <w:t xml:space="preserve"> </w:t>
      </w:r>
      <w:r w:rsidRPr="001D61F0">
        <w:rPr>
          <w:color w:val="232323"/>
        </w:rPr>
        <w:t>Online,</w:t>
      </w:r>
      <w:r w:rsidRPr="001D61F0">
        <w:rPr>
          <w:color w:val="232323"/>
          <w:spacing w:val="-3"/>
        </w:rPr>
        <w:t xml:space="preserve"> </w:t>
      </w:r>
      <w:r w:rsidRPr="001D61F0">
        <w:rPr>
          <w:color w:val="232323"/>
        </w:rPr>
        <w:t>Bureau</w:t>
      </w:r>
      <w:r w:rsidRPr="001D61F0">
        <w:rPr>
          <w:color w:val="232323"/>
          <w:spacing w:val="-5"/>
        </w:rPr>
        <w:t xml:space="preserve"> </w:t>
      </w:r>
      <w:r w:rsidRPr="001D61F0">
        <w:rPr>
          <w:color w:val="232323"/>
        </w:rPr>
        <w:t>of</w:t>
      </w:r>
      <w:r w:rsidRPr="001D61F0">
        <w:rPr>
          <w:color w:val="232323"/>
          <w:spacing w:val="-5"/>
        </w:rPr>
        <w:t xml:space="preserve"> </w:t>
      </w:r>
      <w:r w:rsidRPr="001D61F0">
        <w:rPr>
          <w:color w:val="232323"/>
        </w:rPr>
        <w:t>Meteorology.</w:t>
      </w:r>
      <w:r w:rsidRPr="001D61F0">
        <w:rPr>
          <w:color w:val="232323"/>
          <w:spacing w:val="-5"/>
        </w:rPr>
        <w:t xml:space="preserve"> </w:t>
      </w:r>
      <w:r w:rsidRPr="001D61F0">
        <w:rPr>
          <w:color w:val="232323"/>
        </w:rPr>
        <w:t xml:space="preserve">[online] Available at: </w:t>
      </w:r>
      <w:hyperlink r:id="rId86">
        <w:r w:rsidRPr="001D61F0">
          <w:rPr>
            <w:color w:val="0000FF"/>
            <w:u w:val="single" w:color="0000FF"/>
          </w:rPr>
          <w:t>http://www.bom.gov.au/climate/data/index.shtml</w:t>
        </w:r>
        <w:r w:rsidRPr="001D61F0">
          <w:t>.</w:t>
        </w:r>
      </w:hyperlink>
      <w:r w:rsidRPr="001D61F0">
        <w:t xml:space="preserve"> </w:t>
      </w:r>
      <w:r w:rsidRPr="001D61F0">
        <w:rPr>
          <w:color w:val="232323"/>
        </w:rPr>
        <w:t>[Accessed 20 June 2024].</w:t>
      </w:r>
    </w:p>
    <w:p w14:paraId="5EDBCFB8" w14:textId="77777777" w:rsidR="00FE12C3" w:rsidRPr="001D61F0" w:rsidRDefault="00FE12C3" w:rsidP="00FE12C3">
      <w:pPr>
        <w:pStyle w:val="BodyText"/>
        <w:spacing w:before="125" w:line="256" w:lineRule="auto"/>
        <w:ind w:right="158"/>
      </w:pPr>
      <w:r w:rsidRPr="001D61F0">
        <w:rPr>
          <w:color w:val="232323"/>
        </w:rPr>
        <w:t xml:space="preserve">Cancer Australia (2019). Sunburn and sun protection. [online] Available at: </w:t>
      </w:r>
      <w:hyperlink r:id="rId87">
        <w:r w:rsidRPr="001D61F0">
          <w:rPr>
            <w:color w:val="0000FF"/>
            <w:u w:val="single" w:color="0000FF"/>
          </w:rPr>
          <w:t>https://ncci.canceraustralia.gov.au/prevention/sun-exposure/sunburn-and-sun-protection</w:t>
        </w:r>
      </w:hyperlink>
      <w:r w:rsidRPr="001D61F0">
        <w:rPr>
          <w:color w:val="0000FF"/>
          <w:spacing w:val="-14"/>
        </w:rPr>
        <w:t xml:space="preserve"> </w:t>
      </w:r>
      <w:r w:rsidRPr="001D61F0">
        <w:rPr>
          <w:color w:val="232323"/>
        </w:rPr>
        <w:t>[Accessed</w:t>
      </w:r>
      <w:r w:rsidRPr="001D61F0">
        <w:rPr>
          <w:color w:val="232323"/>
          <w:spacing w:val="-14"/>
        </w:rPr>
        <w:t xml:space="preserve"> </w:t>
      </w:r>
      <w:r w:rsidRPr="001D61F0">
        <w:rPr>
          <w:color w:val="232323"/>
        </w:rPr>
        <w:t>on 20 June 2024].</w:t>
      </w:r>
    </w:p>
    <w:p w14:paraId="31BCB2F1" w14:textId="77777777" w:rsidR="00FE12C3" w:rsidRDefault="00FE12C3" w:rsidP="00FE12C3">
      <w:pPr>
        <w:pStyle w:val="BodyText"/>
        <w:spacing w:before="126" w:line="259" w:lineRule="auto"/>
        <w:ind w:right="624"/>
        <w:rPr>
          <w:color w:val="232323"/>
        </w:rPr>
      </w:pPr>
      <w:r w:rsidRPr="001D61F0">
        <w:rPr>
          <w:color w:val="232323"/>
        </w:rPr>
        <w:t xml:space="preserve">Cancer Council Australia (n.d. - a). Slip, Slop, Slap, Seek, Slide. [online] Available at: </w:t>
      </w:r>
      <w:hyperlink r:id="rId88">
        <w:r w:rsidRPr="001D61F0">
          <w:rPr>
            <w:color w:val="0000FF"/>
            <w:spacing w:val="-2"/>
            <w:u w:val="single" w:color="0000FF"/>
          </w:rPr>
          <w:t>https://www.cancer.org.au/cancer-information/causes-and-prevention/sun-safety/campaigns-and-</w:t>
        </w:r>
      </w:hyperlink>
      <w:r w:rsidRPr="001D61F0">
        <w:rPr>
          <w:color w:val="0000FF"/>
          <w:spacing w:val="-2"/>
        </w:rPr>
        <w:t xml:space="preserve"> </w:t>
      </w:r>
      <w:hyperlink r:id="rId89">
        <w:r w:rsidRPr="001D61F0">
          <w:rPr>
            <w:color w:val="0000FF"/>
            <w:u w:val="single" w:color="0000FF"/>
          </w:rPr>
          <w:t>events/slip-slop-slap-seek-slide</w:t>
        </w:r>
        <w:r w:rsidRPr="001D61F0">
          <w:rPr>
            <w:color w:val="232323"/>
          </w:rPr>
          <w:t>.</w:t>
        </w:r>
      </w:hyperlink>
      <w:r w:rsidRPr="001D61F0">
        <w:rPr>
          <w:color w:val="232323"/>
        </w:rPr>
        <w:t xml:space="preserve"> [Accessed on 20 June 2024].</w:t>
      </w:r>
    </w:p>
    <w:p w14:paraId="33AA09C0" w14:textId="77777777" w:rsidR="00FE12C3" w:rsidRPr="001D61F0" w:rsidRDefault="00FE12C3" w:rsidP="00FE12C3">
      <w:pPr>
        <w:pStyle w:val="BodyText"/>
        <w:spacing w:before="88" w:line="256" w:lineRule="auto"/>
        <w:ind w:right="892"/>
      </w:pPr>
      <w:r w:rsidRPr="001D61F0">
        <w:t xml:space="preserve">Cancer Council Australia (n.d. - b). Be SunSmart. [online] Available at: </w:t>
      </w:r>
      <w:hyperlink r:id="rId90">
        <w:r w:rsidRPr="001D61F0">
          <w:rPr>
            <w:color w:val="0000FF"/>
            <w:spacing w:val="-2"/>
            <w:u w:val="single" w:color="0000FF"/>
          </w:rPr>
          <w:t>https://www.cancer.org.au/cancer-information/causes-and-prevention/sun-safety/be-sunsmart</w:t>
        </w:r>
        <w:r w:rsidRPr="001D61F0">
          <w:rPr>
            <w:spacing w:val="-2"/>
          </w:rPr>
          <w:t>.</w:t>
        </w:r>
      </w:hyperlink>
      <w:r w:rsidRPr="001D61F0">
        <w:rPr>
          <w:spacing w:val="-2"/>
        </w:rPr>
        <w:t xml:space="preserve"> </w:t>
      </w:r>
      <w:r w:rsidRPr="001D61F0">
        <w:rPr>
          <w:color w:val="232323"/>
        </w:rPr>
        <w:t>[Accessed on 20 June 2024].</w:t>
      </w:r>
    </w:p>
    <w:p w14:paraId="1D44E2F1" w14:textId="77777777" w:rsidR="00FE12C3" w:rsidRPr="001D61F0" w:rsidRDefault="00FE12C3" w:rsidP="00FE12C3">
      <w:pPr>
        <w:pStyle w:val="BodyText"/>
        <w:spacing w:before="126" w:line="259" w:lineRule="auto"/>
        <w:ind w:right="200"/>
      </w:pPr>
      <w:r w:rsidRPr="001D61F0">
        <w:rPr>
          <w:color w:val="232323"/>
        </w:rPr>
        <w:t xml:space="preserve">Cancer Council Australia (2017). Media Release: </w:t>
      </w:r>
      <w:r w:rsidRPr="001D61F0">
        <w:t>Almost half of Australians confused about sunscreen.</w:t>
      </w:r>
      <w:r w:rsidRPr="001D61F0">
        <w:rPr>
          <w:spacing w:val="-4"/>
        </w:rPr>
        <w:t xml:space="preserve"> </w:t>
      </w:r>
      <w:r w:rsidRPr="001D61F0">
        <w:t>[online]</w:t>
      </w:r>
      <w:r w:rsidRPr="001D61F0">
        <w:rPr>
          <w:spacing w:val="-4"/>
        </w:rPr>
        <w:t xml:space="preserve"> </w:t>
      </w:r>
      <w:r w:rsidRPr="001D61F0">
        <w:rPr>
          <w:color w:val="232323"/>
        </w:rPr>
        <w:t>Available</w:t>
      </w:r>
      <w:r w:rsidRPr="001D61F0">
        <w:rPr>
          <w:color w:val="232323"/>
          <w:spacing w:val="-4"/>
        </w:rPr>
        <w:t xml:space="preserve"> </w:t>
      </w:r>
      <w:r w:rsidRPr="001D61F0">
        <w:rPr>
          <w:color w:val="232323"/>
        </w:rPr>
        <w:t>at:</w:t>
      </w:r>
      <w:r w:rsidRPr="001D61F0">
        <w:rPr>
          <w:color w:val="232323"/>
          <w:spacing w:val="-1"/>
        </w:rPr>
        <w:t xml:space="preserve"> </w:t>
      </w:r>
      <w:hyperlink r:id="rId91">
        <w:r w:rsidRPr="001D61F0">
          <w:rPr>
            <w:color w:val="0000FF"/>
            <w:u w:val="single" w:color="0000FF"/>
          </w:rPr>
          <w:t>Almost</w:t>
        </w:r>
        <w:r w:rsidRPr="001D61F0">
          <w:rPr>
            <w:color w:val="0000FF"/>
            <w:spacing w:val="-2"/>
            <w:u w:val="single" w:color="0000FF"/>
          </w:rPr>
          <w:t xml:space="preserve"> </w:t>
        </w:r>
        <w:r w:rsidRPr="001D61F0">
          <w:rPr>
            <w:color w:val="0000FF"/>
            <w:u w:val="single" w:color="0000FF"/>
          </w:rPr>
          <w:t>half</w:t>
        </w:r>
        <w:r w:rsidRPr="001D61F0">
          <w:rPr>
            <w:color w:val="0000FF"/>
            <w:spacing w:val="-4"/>
            <w:u w:val="single" w:color="0000FF"/>
          </w:rPr>
          <w:t xml:space="preserve"> </w:t>
        </w:r>
        <w:r w:rsidRPr="001D61F0">
          <w:rPr>
            <w:color w:val="0000FF"/>
            <w:u w:val="single" w:color="0000FF"/>
          </w:rPr>
          <w:t>of</w:t>
        </w:r>
        <w:r w:rsidRPr="001D61F0">
          <w:rPr>
            <w:color w:val="0000FF"/>
            <w:spacing w:val="-2"/>
            <w:u w:val="single" w:color="0000FF"/>
          </w:rPr>
          <w:t xml:space="preserve"> </w:t>
        </w:r>
        <w:r w:rsidRPr="001D61F0">
          <w:rPr>
            <w:color w:val="0000FF"/>
            <w:u w:val="single" w:color="0000FF"/>
          </w:rPr>
          <w:t>Australians</w:t>
        </w:r>
        <w:r w:rsidRPr="001D61F0">
          <w:rPr>
            <w:color w:val="0000FF"/>
            <w:spacing w:val="-3"/>
            <w:u w:val="single" w:color="0000FF"/>
          </w:rPr>
          <w:t xml:space="preserve"> </w:t>
        </w:r>
        <w:r w:rsidRPr="001D61F0">
          <w:rPr>
            <w:color w:val="0000FF"/>
            <w:u w:val="single" w:color="0000FF"/>
          </w:rPr>
          <w:t>confused</w:t>
        </w:r>
        <w:r w:rsidRPr="001D61F0">
          <w:rPr>
            <w:color w:val="0000FF"/>
            <w:spacing w:val="-4"/>
            <w:u w:val="single" w:color="0000FF"/>
          </w:rPr>
          <w:t xml:space="preserve"> </w:t>
        </w:r>
        <w:r w:rsidRPr="001D61F0">
          <w:rPr>
            <w:color w:val="0000FF"/>
            <w:u w:val="single" w:color="0000FF"/>
          </w:rPr>
          <w:t>about</w:t>
        </w:r>
        <w:r w:rsidRPr="001D61F0">
          <w:rPr>
            <w:color w:val="0000FF"/>
            <w:spacing w:val="-2"/>
            <w:u w:val="single" w:color="0000FF"/>
          </w:rPr>
          <w:t xml:space="preserve"> </w:t>
        </w:r>
        <w:r w:rsidRPr="001D61F0">
          <w:rPr>
            <w:color w:val="0000FF"/>
            <w:u w:val="single" w:color="0000FF"/>
          </w:rPr>
          <w:t>sunscreen</w:t>
        </w:r>
        <w:r w:rsidRPr="001D61F0">
          <w:rPr>
            <w:color w:val="0000FF"/>
            <w:spacing w:val="-2"/>
            <w:u w:val="single" w:color="0000FF"/>
          </w:rPr>
          <w:t xml:space="preserve"> </w:t>
        </w:r>
        <w:r w:rsidRPr="001D61F0">
          <w:rPr>
            <w:color w:val="0000FF"/>
            <w:u w:val="single" w:color="0000FF"/>
          </w:rPr>
          <w:t>|</w:t>
        </w:r>
        <w:r w:rsidRPr="001D61F0">
          <w:rPr>
            <w:color w:val="0000FF"/>
            <w:spacing w:val="-5"/>
            <w:u w:val="single" w:color="0000FF"/>
          </w:rPr>
          <w:t xml:space="preserve"> </w:t>
        </w:r>
        <w:r w:rsidRPr="001D61F0">
          <w:rPr>
            <w:color w:val="0000FF"/>
            <w:u w:val="single" w:color="0000FF"/>
          </w:rPr>
          <w:t>Cancer</w:t>
        </w:r>
      </w:hyperlink>
      <w:r w:rsidRPr="001D61F0">
        <w:rPr>
          <w:color w:val="0000FF"/>
        </w:rPr>
        <w:t xml:space="preserve"> </w:t>
      </w:r>
      <w:hyperlink r:id="rId92">
        <w:r w:rsidRPr="001D61F0">
          <w:rPr>
            <w:color w:val="0000FF"/>
            <w:u w:val="single" w:color="0000FF"/>
          </w:rPr>
          <w:t>Council</w:t>
        </w:r>
        <w:r w:rsidRPr="001D61F0">
          <w:t>.</w:t>
        </w:r>
      </w:hyperlink>
      <w:r w:rsidRPr="001D61F0">
        <w:t xml:space="preserve"> </w:t>
      </w:r>
      <w:r w:rsidRPr="001D61F0">
        <w:rPr>
          <w:color w:val="232323"/>
        </w:rPr>
        <w:t>[Accessed on 20 June 2024].</w:t>
      </w:r>
    </w:p>
    <w:p w14:paraId="76C3095F" w14:textId="77777777" w:rsidR="00FE12C3" w:rsidRPr="001D61F0" w:rsidRDefault="00FE12C3" w:rsidP="00FE12C3">
      <w:pPr>
        <w:pStyle w:val="BodyText"/>
        <w:spacing w:before="119" w:line="259" w:lineRule="auto"/>
        <w:ind w:right="259"/>
      </w:pPr>
      <w:r w:rsidRPr="001D61F0">
        <w:rPr>
          <w:color w:val="232323"/>
        </w:rPr>
        <w:t xml:space="preserve">Cancer Council Australia (2022). </w:t>
      </w:r>
      <w:r w:rsidRPr="001D61F0">
        <w:t xml:space="preserve">Australian men urged to reduce their risk of skin cancer with new research showing they are less likely than women to use sun protection. [online] </w:t>
      </w:r>
      <w:r w:rsidRPr="001D61F0">
        <w:rPr>
          <w:color w:val="232323"/>
        </w:rPr>
        <w:t xml:space="preserve">Available at: </w:t>
      </w:r>
      <w:hyperlink r:id="rId93">
        <w:r w:rsidRPr="001D61F0">
          <w:rPr>
            <w:color w:val="0000FF"/>
            <w:spacing w:val="-2"/>
            <w:u w:val="single" w:color="0000FF"/>
          </w:rPr>
          <w:t>https://www.cancer.org.au/assets/pdf/australian-men-urged-to-reduce-their-risk-of-skin-cancer-with-</w:t>
        </w:r>
      </w:hyperlink>
      <w:r w:rsidRPr="001D61F0">
        <w:rPr>
          <w:color w:val="0000FF"/>
          <w:spacing w:val="-2"/>
        </w:rPr>
        <w:t xml:space="preserve"> </w:t>
      </w:r>
      <w:hyperlink r:id="rId94">
        <w:r w:rsidRPr="001D61F0">
          <w:rPr>
            <w:color w:val="0000FF"/>
            <w:u w:val="single" w:color="0000FF"/>
          </w:rPr>
          <w:t>new-research-showing-they-are-less-likely-than-women-to-use-sun-protection</w:t>
        </w:r>
        <w:r w:rsidRPr="001D61F0">
          <w:rPr>
            <w:color w:val="232323"/>
          </w:rPr>
          <w:t>.</w:t>
        </w:r>
      </w:hyperlink>
      <w:r w:rsidRPr="001D61F0">
        <w:rPr>
          <w:color w:val="232323"/>
          <w:spacing w:val="-10"/>
        </w:rPr>
        <w:t xml:space="preserve"> </w:t>
      </w:r>
      <w:r w:rsidRPr="001D61F0">
        <w:rPr>
          <w:color w:val="232323"/>
        </w:rPr>
        <w:t>[Accessed</w:t>
      </w:r>
      <w:r w:rsidRPr="001D61F0">
        <w:rPr>
          <w:color w:val="232323"/>
          <w:spacing w:val="-10"/>
        </w:rPr>
        <w:t xml:space="preserve"> </w:t>
      </w:r>
      <w:r w:rsidRPr="001D61F0">
        <w:rPr>
          <w:color w:val="232323"/>
        </w:rPr>
        <w:t>on</w:t>
      </w:r>
      <w:r w:rsidRPr="001D61F0">
        <w:rPr>
          <w:color w:val="232323"/>
          <w:spacing w:val="-10"/>
        </w:rPr>
        <w:t xml:space="preserve"> </w:t>
      </w:r>
      <w:r w:rsidRPr="001D61F0">
        <w:rPr>
          <w:color w:val="232323"/>
        </w:rPr>
        <w:t>20</w:t>
      </w:r>
      <w:r w:rsidRPr="001D61F0">
        <w:rPr>
          <w:color w:val="232323"/>
          <w:spacing w:val="-8"/>
        </w:rPr>
        <w:t xml:space="preserve"> </w:t>
      </w:r>
      <w:r w:rsidRPr="001D61F0">
        <w:rPr>
          <w:color w:val="232323"/>
        </w:rPr>
        <w:t xml:space="preserve">June </w:t>
      </w:r>
      <w:r w:rsidRPr="001D61F0">
        <w:rPr>
          <w:color w:val="232323"/>
          <w:spacing w:val="-2"/>
        </w:rPr>
        <w:t>2024].</w:t>
      </w:r>
    </w:p>
    <w:p w14:paraId="334B68D7" w14:textId="77777777" w:rsidR="00FE12C3" w:rsidRPr="001D61F0" w:rsidRDefault="00FE12C3" w:rsidP="00FE12C3">
      <w:pPr>
        <w:pStyle w:val="BodyText"/>
        <w:spacing w:before="118" w:line="259" w:lineRule="auto"/>
        <w:ind w:right="513"/>
      </w:pPr>
      <w:r w:rsidRPr="001D61F0">
        <w:t xml:space="preserve">Cancer Council Australia (2024a). About sunscreen. [online] Available at: </w:t>
      </w:r>
      <w:hyperlink r:id="rId95">
        <w:r w:rsidRPr="001D61F0">
          <w:rPr>
            <w:color w:val="0000FF"/>
            <w:spacing w:val="-2"/>
            <w:u w:val="single" w:color="0000FF"/>
          </w:rPr>
          <w:t>https://www.cancer.org.au/cancer-information/causes-and-prevention/sun-safety/about-sunscreen</w:t>
        </w:r>
        <w:r w:rsidRPr="001D61F0">
          <w:rPr>
            <w:spacing w:val="-2"/>
          </w:rPr>
          <w:t>.</w:t>
        </w:r>
      </w:hyperlink>
      <w:r w:rsidRPr="001D61F0">
        <w:rPr>
          <w:spacing w:val="-2"/>
        </w:rPr>
        <w:t xml:space="preserve"> </w:t>
      </w:r>
      <w:r w:rsidRPr="001D61F0">
        <w:rPr>
          <w:color w:val="232323"/>
        </w:rPr>
        <w:t>[Accessed on 20 June 2024].</w:t>
      </w:r>
    </w:p>
    <w:p w14:paraId="6F01C629" w14:textId="77777777" w:rsidR="00FE12C3" w:rsidRPr="001D61F0" w:rsidRDefault="00FE12C3" w:rsidP="00FE12C3">
      <w:pPr>
        <w:pStyle w:val="BodyText"/>
        <w:spacing w:before="119" w:line="259" w:lineRule="auto"/>
        <w:ind w:right="173"/>
      </w:pPr>
      <w:r w:rsidRPr="001D61F0">
        <w:rPr>
          <w:color w:val="232323"/>
        </w:rPr>
        <w:t>Cancer</w:t>
      </w:r>
      <w:r w:rsidRPr="001D61F0">
        <w:rPr>
          <w:color w:val="232323"/>
          <w:spacing w:val="-3"/>
        </w:rPr>
        <w:t xml:space="preserve"> </w:t>
      </w:r>
      <w:r w:rsidRPr="001D61F0">
        <w:rPr>
          <w:color w:val="232323"/>
        </w:rPr>
        <w:t>Council</w:t>
      </w:r>
      <w:r w:rsidRPr="001D61F0">
        <w:rPr>
          <w:color w:val="232323"/>
          <w:spacing w:val="-5"/>
        </w:rPr>
        <w:t xml:space="preserve"> </w:t>
      </w:r>
      <w:r w:rsidRPr="001D61F0">
        <w:rPr>
          <w:color w:val="232323"/>
        </w:rPr>
        <w:t>Australia</w:t>
      </w:r>
      <w:r w:rsidRPr="001D61F0">
        <w:rPr>
          <w:color w:val="232323"/>
          <w:spacing w:val="-4"/>
        </w:rPr>
        <w:t xml:space="preserve"> </w:t>
      </w:r>
      <w:r w:rsidRPr="001D61F0">
        <w:rPr>
          <w:color w:val="232323"/>
        </w:rPr>
        <w:t>(2024b).</w:t>
      </w:r>
      <w:r w:rsidRPr="001D61F0">
        <w:rPr>
          <w:color w:val="232323"/>
          <w:spacing w:val="-4"/>
        </w:rPr>
        <w:t xml:space="preserve"> </w:t>
      </w:r>
      <w:r w:rsidRPr="001D61F0">
        <w:rPr>
          <w:color w:val="232323"/>
        </w:rPr>
        <w:t>Fact</w:t>
      </w:r>
      <w:r w:rsidRPr="001D61F0">
        <w:rPr>
          <w:color w:val="232323"/>
          <w:spacing w:val="-4"/>
        </w:rPr>
        <w:t xml:space="preserve"> </w:t>
      </w:r>
      <w:r w:rsidRPr="001D61F0">
        <w:rPr>
          <w:color w:val="232323"/>
        </w:rPr>
        <w:t>sheet:</w:t>
      </w:r>
      <w:r w:rsidRPr="001D61F0">
        <w:rPr>
          <w:color w:val="232323"/>
          <w:spacing w:val="-4"/>
        </w:rPr>
        <w:t xml:space="preserve"> </w:t>
      </w:r>
      <w:r w:rsidRPr="001D61F0">
        <w:rPr>
          <w:color w:val="232323"/>
        </w:rPr>
        <w:t>Sun</w:t>
      </w:r>
      <w:r w:rsidRPr="001D61F0">
        <w:rPr>
          <w:color w:val="232323"/>
          <w:spacing w:val="-2"/>
        </w:rPr>
        <w:t xml:space="preserve"> </w:t>
      </w:r>
      <w:r w:rsidRPr="001D61F0">
        <w:rPr>
          <w:color w:val="232323"/>
        </w:rPr>
        <w:t>protection</w:t>
      </w:r>
      <w:r w:rsidRPr="001D61F0">
        <w:rPr>
          <w:color w:val="232323"/>
          <w:spacing w:val="-2"/>
        </w:rPr>
        <w:t xml:space="preserve"> </w:t>
      </w:r>
      <w:r w:rsidRPr="001D61F0">
        <w:rPr>
          <w:color w:val="232323"/>
        </w:rPr>
        <w:t>and</w:t>
      </w:r>
      <w:r w:rsidRPr="001D61F0">
        <w:rPr>
          <w:color w:val="232323"/>
          <w:spacing w:val="-4"/>
        </w:rPr>
        <w:t xml:space="preserve"> </w:t>
      </w:r>
      <w:r w:rsidRPr="001D61F0">
        <w:rPr>
          <w:color w:val="232323"/>
        </w:rPr>
        <w:t>babies</w:t>
      </w:r>
      <w:r w:rsidRPr="001D61F0">
        <w:rPr>
          <w:color w:val="232323"/>
          <w:spacing w:val="-3"/>
        </w:rPr>
        <w:t xml:space="preserve"> </w:t>
      </w:r>
      <w:r w:rsidRPr="001D61F0">
        <w:rPr>
          <w:color w:val="232323"/>
        </w:rPr>
        <w:t>|</w:t>
      </w:r>
      <w:r w:rsidRPr="001D61F0">
        <w:rPr>
          <w:color w:val="232323"/>
          <w:spacing w:val="-5"/>
        </w:rPr>
        <w:t xml:space="preserve"> </w:t>
      </w:r>
      <w:r w:rsidRPr="001D61F0">
        <w:rPr>
          <w:color w:val="232323"/>
        </w:rPr>
        <w:t>National</w:t>
      </w:r>
      <w:r w:rsidRPr="001D61F0">
        <w:rPr>
          <w:color w:val="232323"/>
          <w:spacing w:val="-5"/>
        </w:rPr>
        <w:t xml:space="preserve"> </w:t>
      </w:r>
      <w:r w:rsidRPr="001D61F0">
        <w:rPr>
          <w:color w:val="232323"/>
        </w:rPr>
        <w:t>Cancer</w:t>
      </w:r>
      <w:r w:rsidRPr="001D61F0">
        <w:rPr>
          <w:color w:val="232323"/>
          <w:spacing w:val="-3"/>
        </w:rPr>
        <w:t xml:space="preserve"> </w:t>
      </w:r>
      <w:r w:rsidRPr="001D61F0">
        <w:rPr>
          <w:color w:val="232323"/>
        </w:rPr>
        <w:t xml:space="preserve">Prevention Policy UV radiation. [online] Available at: </w:t>
      </w:r>
      <w:hyperlink r:id="rId96">
        <w:r w:rsidRPr="001D61F0">
          <w:rPr>
            <w:color w:val="0000FF"/>
            <w:u w:val="single" w:color="0000FF"/>
          </w:rPr>
          <w:t>https://www.cancer.org.au/about-us/policy-and-</w:t>
        </w:r>
      </w:hyperlink>
      <w:r w:rsidRPr="001D61F0">
        <w:rPr>
          <w:color w:val="0000FF"/>
        </w:rPr>
        <w:t xml:space="preserve"> </w:t>
      </w:r>
      <w:hyperlink r:id="rId97">
        <w:r w:rsidRPr="001D61F0">
          <w:rPr>
            <w:color w:val="0000FF"/>
            <w:spacing w:val="-2"/>
            <w:u w:val="single" w:color="0000FF"/>
          </w:rPr>
          <w:t>advocacy/prevention-policy/national-cancer-prevention-policy/uv/related-resources/sun-protection-</w:t>
        </w:r>
      </w:hyperlink>
      <w:r w:rsidRPr="001D61F0">
        <w:rPr>
          <w:color w:val="0000FF"/>
          <w:spacing w:val="-2"/>
        </w:rPr>
        <w:t xml:space="preserve"> </w:t>
      </w:r>
      <w:hyperlink r:id="rId98">
        <w:r w:rsidRPr="001D61F0">
          <w:rPr>
            <w:color w:val="0000FF"/>
            <w:u w:val="single" w:color="0000FF"/>
          </w:rPr>
          <w:t>babies</w:t>
        </w:r>
        <w:r w:rsidRPr="001D61F0">
          <w:rPr>
            <w:color w:val="232323"/>
          </w:rPr>
          <w:t>.</w:t>
        </w:r>
      </w:hyperlink>
      <w:r w:rsidRPr="001D61F0">
        <w:rPr>
          <w:color w:val="232323"/>
        </w:rPr>
        <w:t xml:space="preserve"> [Accessed 20 June 2024].</w:t>
      </w:r>
    </w:p>
    <w:p w14:paraId="321C0CBB" w14:textId="77777777" w:rsidR="00FE12C3" w:rsidRPr="001D61F0" w:rsidRDefault="00FE12C3" w:rsidP="00FE12C3">
      <w:pPr>
        <w:pStyle w:val="BodyText"/>
        <w:spacing w:before="120" w:line="259" w:lineRule="auto"/>
        <w:ind w:right="156"/>
      </w:pPr>
      <w:r w:rsidRPr="001D61F0">
        <w:rPr>
          <w:color w:val="232323"/>
        </w:rPr>
        <w:t>Cancer Council Australia (2024c). Sun protection 101: essential tips from Cancer Council for UV safety.</w:t>
      </w:r>
      <w:r w:rsidRPr="001D61F0">
        <w:rPr>
          <w:color w:val="232323"/>
          <w:spacing w:val="-10"/>
        </w:rPr>
        <w:t xml:space="preserve"> </w:t>
      </w:r>
      <w:r w:rsidRPr="001D61F0">
        <w:rPr>
          <w:color w:val="232323"/>
        </w:rPr>
        <w:t>[online]</w:t>
      </w:r>
      <w:r w:rsidRPr="001D61F0">
        <w:rPr>
          <w:color w:val="232323"/>
          <w:spacing w:val="-8"/>
        </w:rPr>
        <w:t xml:space="preserve"> </w:t>
      </w:r>
      <w:r w:rsidRPr="001D61F0">
        <w:rPr>
          <w:color w:val="232323"/>
        </w:rPr>
        <w:t>Available</w:t>
      </w:r>
      <w:r w:rsidRPr="001D61F0">
        <w:rPr>
          <w:color w:val="232323"/>
          <w:spacing w:val="-10"/>
        </w:rPr>
        <w:t xml:space="preserve"> </w:t>
      </w:r>
      <w:r w:rsidRPr="001D61F0">
        <w:rPr>
          <w:color w:val="232323"/>
        </w:rPr>
        <w:t>at:</w:t>
      </w:r>
      <w:r w:rsidRPr="001D61F0">
        <w:rPr>
          <w:color w:val="232323"/>
          <w:spacing w:val="-7"/>
        </w:rPr>
        <w:t xml:space="preserve"> </w:t>
      </w:r>
      <w:hyperlink r:id="rId99">
        <w:r w:rsidRPr="001D61F0">
          <w:rPr>
            <w:color w:val="0000FF"/>
            <w:u w:val="single" w:color="0000FF"/>
          </w:rPr>
          <w:t>https://www.cancer.org.au/cancer-information/causes-and-prevention/sun-</w:t>
        </w:r>
      </w:hyperlink>
      <w:r w:rsidRPr="001D61F0">
        <w:rPr>
          <w:color w:val="0000FF"/>
        </w:rPr>
        <w:t xml:space="preserve"> </w:t>
      </w:r>
      <w:hyperlink r:id="rId100">
        <w:r w:rsidRPr="001D61F0">
          <w:rPr>
            <w:color w:val="0000FF"/>
            <w:u w:val="single" w:color="0000FF"/>
          </w:rPr>
          <w:t>safety/10-myths-about-sun-protection</w:t>
        </w:r>
        <w:r w:rsidRPr="001D61F0">
          <w:rPr>
            <w:color w:val="232323"/>
          </w:rPr>
          <w:t>.</w:t>
        </w:r>
      </w:hyperlink>
      <w:r w:rsidRPr="001D61F0">
        <w:rPr>
          <w:color w:val="232323"/>
        </w:rPr>
        <w:t xml:space="preserve"> [Accessed on 20 June 2024].</w:t>
      </w:r>
    </w:p>
    <w:p w14:paraId="792122E5" w14:textId="77777777" w:rsidR="00FE12C3" w:rsidRPr="001D61F0" w:rsidRDefault="00FE12C3" w:rsidP="00FE12C3">
      <w:pPr>
        <w:pStyle w:val="BodyText"/>
        <w:spacing w:before="119" w:line="261" w:lineRule="auto"/>
        <w:ind w:right="183"/>
      </w:pPr>
      <w:r w:rsidRPr="001D61F0">
        <w:rPr>
          <w:color w:val="232323"/>
        </w:rPr>
        <w:t>Cancer</w:t>
      </w:r>
      <w:r w:rsidRPr="001D61F0">
        <w:rPr>
          <w:color w:val="232323"/>
          <w:spacing w:val="-4"/>
        </w:rPr>
        <w:t xml:space="preserve"> </w:t>
      </w:r>
      <w:r w:rsidRPr="001D61F0">
        <w:rPr>
          <w:color w:val="232323"/>
        </w:rPr>
        <w:t>Council</w:t>
      </w:r>
      <w:r w:rsidRPr="001D61F0">
        <w:rPr>
          <w:color w:val="232323"/>
          <w:spacing w:val="-6"/>
        </w:rPr>
        <w:t xml:space="preserve"> </w:t>
      </w:r>
      <w:r w:rsidRPr="001D61F0">
        <w:rPr>
          <w:color w:val="232323"/>
        </w:rPr>
        <w:t>Queensland</w:t>
      </w:r>
      <w:r w:rsidRPr="001D61F0">
        <w:rPr>
          <w:color w:val="232323"/>
          <w:spacing w:val="-5"/>
        </w:rPr>
        <w:t xml:space="preserve"> </w:t>
      </w:r>
      <w:r w:rsidRPr="001D61F0">
        <w:rPr>
          <w:color w:val="232323"/>
        </w:rPr>
        <w:t>(n.d.).</w:t>
      </w:r>
      <w:r w:rsidRPr="001D61F0">
        <w:rPr>
          <w:color w:val="232323"/>
          <w:spacing w:val="-3"/>
        </w:rPr>
        <w:t xml:space="preserve"> </w:t>
      </w:r>
      <w:r w:rsidRPr="001D61F0">
        <w:rPr>
          <w:color w:val="232323"/>
        </w:rPr>
        <w:t>Correct</w:t>
      </w:r>
      <w:r w:rsidRPr="001D61F0">
        <w:rPr>
          <w:color w:val="232323"/>
          <w:spacing w:val="-5"/>
        </w:rPr>
        <w:t xml:space="preserve"> </w:t>
      </w:r>
      <w:r w:rsidRPr="001D61F0">
        <w:rPr>
          <w:color w:val="232323"/>
        </w:rPr>
        <w:t>Sunscreen</w:t>
      </w:r>
      <w:r w:rsidRPr="001D61F0">
        <w:rPr>
          <w:color w:val="232323"/>
          <w:spacing w:val="-3"/>
        </w:rPr>
        <w:t xml:space="preserve"> </w:t>
      </w:r>
      <w:r w:rsidRPr="001D61F0">
        <w:rPr>
          <w:color w:val="232323"/>
        </w:rPr>
        <w:t>Application.</w:t>
      </w:r>
      <w:r w:rsidRPr="001D61F0">
        <w:rPr>
          <w:color w:val="232323"/>
          <w:spacing w:val="-5"/>
        </w:rPr>
        <w:t xml:space="preserve"> </w:t>
      </w:r>
      <w:r w:rsidRPr="001D61F0">
        <w:rPr>
          <w:color w:val="232323"/>
        </w:rPr>
        <w:t>[online]</w:t>
      </w:r>
      <w:r w:rsidRPr="001D61F0">
        <w:rPr>
          <w:color w:val="232323"/>
          <w:spacing w:val="-3"/>
        </w:rPr>
        <w:t xml:space="preserve"> </w:t>
      </w:r>
      <w:r w:rsidRPr="001D61F0">
        <w:rPr>
          <w:color w:val="232323"/>
        </w:rPr>
        <w:t>Available</w:t>
      </w:r>
      <w:r w:rsidRPr="001D61F0">
        <w:rPr>
          <w:color w:val="232323"/>
          <w:spacing w:val="-3"/>
        </w:rPr>
        <w:t xml:space="preserve"> </w:t>
      </w:r>
      <w:r w:rsidRPr="001D61F0">
        <w:rPr>
          <w:color w:val="232323"/>
        </w:rPr>
        <w:t>at:</w:t>
      </w:r>
      <w:r w:rsidRPr="001D61F0">
        <w:rPr>
          <w:color w:val="232323"/>
          <w:spacing w:val="-5"/>
        </w:rPr>
        <w:t xml:space="preserve"> </w:t>
      </w:r>
      <w:hyperlink r:id="rId101">
        <w:r w:rsidRPr="001D61F0">
          <w:rPr>
            <w:color w:val="0000FF"/>
            <w:u w:val="single" w:color="0000FF"/>
          </w:rPr>
          <w:t>correct</w:t>
        </w:r>
      </w:hyperlink>
      <w:r w:rsidRPr="001D61F0">
        <w:rPr>
          <w:color w:val="0000FF"/>
        </w:rPr>
        <w:t xml:space="preserve"> </w:t>
      </w:r>
      <w:hyperlink r:id="rId102">
        <w:r w:rsidRPr="001D61F0">
          <w:rPr>
            <w:color w:val="0000FF"/>
            <w:u w:val="single" w:color="0000FF"/>
          </w:rPr>
          <w:t>Sunscreen Application.pdf (cancerqld.org.au)</w:t>
        </w:r>
        <w:r w:rsidRPr="001D61F0">
          <w:t>.</w:t>
        </w:r>
      </w:hyperlink>
      <w:r w:rsidRPr="001D61F0">
        <w:t xml:space="preserve"> </w:t>
      </w:r>
      <w:r w:rsidRPr="001D61F0">
        <w:rPr>
          <w:color w:val="232323"/>
        </w:rPr>
        <w:t>[Accessed on 20 June 2024].</w:t>
      </w:r>
    </w:p>
    <w:p w14:paraId="0744978B" w14:textId="77777777" w:rsidR="00FE12C3" w:rsidRPr="001D61F0" w:rsidRDefault="00FE12C3" w:rsidP="00FE12C3">
      <w:pPr>
        <w:pStyle w:val="BodyText"/>
        <w:spacing w:before="116"/>
      </w:pPr>
      <w:r w:rsidRPr="001D61F0">
        <w:rPr>
          <w:color w:val="232323"/>
        </w:rPr>
        <w:t>Cancer</w:t>
      </w:r>
      <w:r w:rsidRPr="001D61F0">
        <w:rPr>
          <w:color w:val="232323"/>
          <w:spacing w:val="-8"/>
        </w:rPr>
        <w:t xml:space="preserve"> </w:t>
      </w:r>
      <w:r w:rsidRPr="001D61F0">
        <w:rPr>
          <w:color w:val="232323"/>
        </w:rPr>
        <w:t>Council</w:t>
      </w:r>
      <w:r w:rsidRPr="001D61F0">
        <w:rPr>
          <w:color w:val="232323"/>
          <w:spacing w:val="-9"/>
        </w:rPr>
        <w:t xml:space="preserve"> </w:t>
      </w:r>
      <w:r w:rsidRPr="001D61F0">
        <w:rPr>
          <w:color w:val="232323"/>
        </w:rPr>
        <w:t>SA</w:t>
      </w:r>
      <w:r w:rsidRPr="001D61F0">
        <w:rPr>
          <w:color w:val="232323"/>
          <w:spacing w:val="-9"/>
        </w:rPr>
        <w:t xml:space="preserve"> </w:t>
      </w:r>
      <w:r w:rsidRPr="001D61F0">
        <w:rPr>
          <w:color w:val="232323"/>
        </w:rPr>
        <w:t>(2018).</w:t>
      </w:r>
      <w:r w:rsidRPr="001D61F0">
        <w:rPr>
          <w:color w:val="232323"/>
          <w:spacing w:val="-5"/>
        </w:rPr>
        <w:t xml:space="preserve"> </w:t>
      </w:r>
      <w:r w:rsidRPr="001D61F0">
        <w:rPr>
          <w:color w:val="232323"/>
        </w:rPr>
        <w:t>Sun</w:t>
      </w:r>
      <w:r w:rsidRPr="001D61F0">
        <w:rPr>
          <w:color w:val="232323"/>
          <w:spacing w:val="-6"/>
        </w:rPr>
        <w:t xml:space="preserve"> </w:t>
      </w:r>
      <w:r w:rsidRPr="001D61F0">
        <w:rPr>
          <w:color w:val="232323"/>
        </w:rPr>
        <w:t>protection</w:t>
      </w:r>
      <w:r w:rsidRPr="001D61F0">
        <w:rPr>
          <w:color w:val="232323"/>
          <w:spacing w:val="-7"/>
        </w:rPr>
        <w:t xml:space="preserve"> </w:t>
      </w:r>
      <w:r w:rsidRPr="001D61F0">
        <w:rPr>
          <w:color w:val="232323"/>
        </w:rPr>
        <w:t>policies</w:t>
      </w:r>
      <w:r w:rsidRPr="001D61F0">
        <w:rPr>
          <w:color w:val="232323"/>
          <w:spacing w:val="-7"/>
        </w:rPr>
        <w:t xml:space="preserve"> </w:t>
      </w:r>
      <w:r w:rsidRPr="001D61F0">
        <w:rPr>
          <w:color w:val="232323"/>
        </w:rPr>
        <w:t>and</w:t>
      </w:r>
      <w:r w:rsidRPr="001D61F0">
        <w:rPr>
          <w:color w:val="232323"/>
          <w:spacing w:val="-6"/>
        </w:rPr>
        <w:t xml:space="preserve"> </w:t>
      </w:r>
      <w:r w:rsidRPr="001D61F0">
        <w:rPr>
          <w:color w:val="232323"/>
        </w:rPr>
        <w:t>practices</w:t>
      </w:r>
      <w:r w:rsidRPr="001D61F0">
        <w:rPr>
          <w:color w:val="232323"/>
          <w:spacing w:val="-7"/>
        </w:rPr>
        <w:t xml:space="preserve"> </w:t>
      </w:r>
      <w:r w:rsidRPr="001D61F0">
        <w:rPr>
          <w:color w:val="232323"/>
        </w:rPr>
        <w:t>of</w:t>
      </w:r>
      <w:r w:rsidRPr="001D61F0">
        <w:rPr>
          <w:color w:val="232323"/>
          <w:spacing w:val="-7"/>
        </w:rPr>
        <w:t xml:space="preserve"> </w:t>
      </w:r>
      <w:r w:rsidRPr="001D61F0">
        <w:rPr>
          <w:color w:val="232323"/>
        </w:rPr>
        <w:t>Australian</w:t>
      </w:r>
      <w:r w:rsidRPr="001D61F0">
        <w:rPr>
          <w:color w:val="232323"/>
          <w:spacing w:val="-6"/>
        </w:rPr>
        <w:t xml:space="preserve"> </w:t>
      </w:r>
      <w:r w:rsidRPr="001D61F0">
        <w:rPr>
          <w:color w:val="232323"/>
        </w:rPr>
        <w:t>early</w:t>
      </w:r>
      <w:r w:rsidRPr="001D61F0">
        <w:rPr>
          <w:color w:val="232323"/>
          <w:spacing w:val="-7"/>
        </w:rPr>
        <w:t xml:space="preserve"> </w:t>
      </w:r>
      <w:r w:rsidRPr="001D61F0">
        <w:rPr>
          <w:color w:val="232323"/>
        </w:rPr>
        <w:t>childhood</w:t>
      </w:r>
      <w:r w:rsidRPr="001D61F0">
        <w:rPr>
          <w:color w:val="232323"/>
          <w:spacing w:val="-8"/>
        </w:rPr>
        <w:t xml:space="preserve"> </w:t>
      </w:r>
      <w:r w:rsidRPr="001D61F0">
        <w:rPr>
          <w:color w:val="232323"/>
          <w:spacing w:val="-2"/>
        </w:rPr>
        <w:t>services</w:t>
      </w:r>
    </w:p>
    <w:p w14:paraId="6D7655C8" w14:textId="77777777" w:rsidR="00FE12C3" w:rsidRPr="001D61F0" w:rsidRDefault="00FE12C3" w:rsidP="00FE12C3">
      <w:pPr>
        <w:pStyle w:val="BodyText"/>
        <w:spacing w:before="17" w:line="261" w:lineRule="auto"/>
        <w:ind w:right="200"/>
      </w:pPr>
      <w:r w:rsidRPr="001D61F0">
        <w:rPr>
          <w:color w:val="232323"/>
        </w:rPr>
        <w:t>-</w:t>
      </w:r>
      <w:r w:rsidRPr="001D61F0">
        <w:rPr>
          <w:color w:val="232323"/>
          <w:spacing w:val="-3"/>
        </w:rPr>
        <w:t xml:space="preserve"> </w:t>
      </w:r>
      <w:r w:rsidRPr="001D61F0">
        <w:rPr>
          <w:color w:val="232323"/>
        </w:rPr>
        <w:t>Results</w:t>
      </w:r>
      <w:r w:rsidRPr="001D61F0">
        <w:rPr>
          <w:color w:val="232323"/>
          <w:spacing w:val="-3"/>
        </w:rPr>
        <w:t xml:space="preserve"> </w:t>
      </w:r>
      <w:r w:rsidRPr="001D61F0">
        <w:rPr>
          <w:color w:val="232323"/>
        </w:rPr>
        <w:t>of</w:t>
      </w:r>
      <w:r w:rsidRPr="001D61F0">
        <w:rPr>
          <w:color w:val="232323"/>
          <w:spacing w:val="-2"/>
        </w:rPr>
        <w:t xml:space="preserve"> </w:t>
      </w:r>
      <w:r w:rsidRPr="001D61F0">
        <w:rPr>
          <w:color w:val="232323"/>
        </w:rPr>
        <w:t>the</w:t>
      </w:r>
      <w:r w:rsidRPr="001D61F0">
        <w:rPr>
          <w:color w:val="232323"/>
          <w:spacing w:val="-2"/>
        </w:rPr>
        <w:t xml:space="preserve"> </w:t>
      </w:r>
      <w:r w:rsidRPr="001D61F0">
        <w:rPr>
          <w:color w:val="232323"/>
        </w:rPr>
        <w:t>2018</w:t>
      </w:r>
      <w:r w:rsidRPr="001D61F0">
        <w:rPr>
          <w:color w:val="232323"/>
          <w:spacing w:val="-4"/>
        </w:rPr>
        <w:t xml:space="preserve"> </w:t>
      </w:r>
      <w:r w:rsidRPr="001D61F0">
        <w:rPr>
          <w:color w:val="232323"/>
        </w:rPr>
        <w:t>National</w:t>
      </w:r>
      <w:r w:rsidRPr="001D61F0">
        <w:rPr>
          <w:color w:val="232323"/>
          <w:spacing w:val="-3"/>
        </w:rPr>
        <w:t xml:space="preserve"> </w:t>
      </w:r>
      <w:r w:rsidRPr="001D61F0">
        <w:rPr>
          <w:color w:val="232323"/>
        </w:rPr>
        <w:t>Early</w:t>
      </w:r>
      <w:r w:rsidRPr="001D61F0">
        <w:rPr>
          <w:color w:val="232323"/>
          <w:spacing w:val="-2"/>
        </w:rPr>
        <w:t xml:space="preserve"> </w:t>
      </w:r>
      <w:r w:rsidRPr="001D61F0">
        <w:rPr>
          <w:color w:val="232323"/>
        </w:rPr>
        <w:t>Childhood</w:t>
      </w:r>
      <w:r w:rsidRPr="001D61F0">
        <w:rPr>
          <w:color w:val="232323"/>
          <w:spacing w:val="-4"/>
        </w:rPr>
        <w:t xml:space="preserve"> </w:t>
      </w:r>
      <w:r w:rsidRPr="001D61F0">
        <w:rPr>
          <w:color w:val="232323"/>
        </w:rPr>
        <w:t>Sun</w:t>
      </w:r>
      <w:r w:rsidRPr="001D61F0">
        <w:rPr>
          <w:color w:val="232323"/>
          <w:spacing w:val="-2"/>
        </w:rPr>
        <w:t xml:space="preserve"> </w:t>
      </w:r>
      <w:r w:rsidRPr="001D61F0">
        <w:rPr>
          <w:color w:val="232323"/>
        </w:rPr>
        <w:t>Protection</w:t>
      </w:r>
      <w:r w:rsidRPr="001D61F0">
        <w:rPr>
          <w:color w:val="232323"/>
          <w:spacing w:val="-2"/>
        </w:rPr>
        <w:t xml:space="preserve"> </w:t>
      </w:r>
      <w:r w:rsidRPr="001D61F0">
        <w:rPr>
          <w:color w:val="232323"/>
        </w:rPr>
        <w:t>Policy</w:t>
      </w:r>
      <w:r w:rsidRPr="001D61F0">
        <w:rPr>
          <w:color w:val="232323"/>
          <w:spacing w:val="-2"/>
        </w:rPr>
        <w:t xml:space="preserve"> </w:t>
      </w:r>
      <w:r w:rsidRPr="001D61F0">
        <w:rPr>
          <w:color w:val="232323"/>
        </w:rPr>
        <w:t>and</w:t>
      </w:r>
      <w:r w:rsidRPr="001D61F0">
        <w:rPr>
          <w:color w:val="232323"/>
          <w:spacing w:val="-4"/>
        </w:rPr>
        <w:t xml:space="preserve"> </w:t>
      </w:r>
      <w:r w:rsidRPr="001D61F0">
        <w:rPr>
          <w:color w:val="232323"/>
        </w:rPr>
        <w:t>Practice</w:t>
      </w:r>
      <w:r w:rsidRPr="001D61F0">
        <w:rPr>
          <w:color w:val="232323"/>
          <w:spacing w:val="-4"/>
        </w:rPr>
        <w:t xml:space="preserve"> </w:t>
      </w:r>
      <w:r w:rsidRPr="001D61F0">
        <w:rPr>
          <w:color w:val="232323"/>
        </w:rPr>
        <w:t xml:space="preserve">Survey. </w:t>
      </w:r>
      <w:r w:rsidRPr="001D61F0">
        <w:rPr>
          <w:color w:val="232323"/>
          <w:spacing w:val="-2"/>
        </w:rPr>
        <w:t>Unpublished.</w:t>
      </w:r>
    </w:p>
    <w:p w14:paraId="13384AC6" w14:textId="6CBF5517" w:rsidR="00FE12C3" w:rsidRPr="00B25A37" w:rsidRDefault="00FE12C3" w:rsidP="00FE12C3">
      <w:pPr>
        <w:pStyle w:val="BodyText"/>
        <w:spacing w:before="121" w:line="259" w:lineRule="auto"/>
        <w:ind w:right="558"/>
      </w:pPr>
      <w:r w:rsidRPr="00B25A37">
        <w:rPr>
          <w:color w:val="232323"/>
        </w:rPr>
        <w:t>Department</w:t>
      </w:r>
      <w:r w:rsidRPr="00B25A37">
        <w:rPr>
          <w:color w:val="232323"/>
          <w:spacing w:val="-2"/>
        </w:rPr>
        <w:t xml:space="preserve"> </w:t>
      </w:r>
      <w:r w:rsidRPr="00B25A37">
        <w:rPr>
          <w:color w:val="232323"/>
        </w:rPr>
        <w:t>of</w:t>
      </w:r>
      <w:r w:rsidRPr="00B25A37">
        <w:rPr>
          <w:color w:val="232323"/>
          <w:spacing w:val="-4"/>
        </w:rPr>
        <w:t xml:space="preserve"> </w:t>
      </w:r>
      <w:r w:rsidRPr="00B25A37">
        <w:rPr>
          <w:color w:val="232323"/>
        </w:rPr>
        <w:t>Health</w:t>
      </w:r>
      <w:r w:rsidRPr="00B25A37">
        <w:rPr>
          <w:color w:val="232323"/>
          <w:spacing w:val="-2"/>
        </w:rPr>
        <w:t xml:space="preserve"> </w:t>
      </w:r>
      <w:r w:rsidRPr="00B25A37">
        <w:rPr>
          <w:color w:val="232323"/>
        </w:rPr>
        <w:t>and</w:t>
      </w:r>
      <w:r w:rsidRPr="00B25A37">
        <w:rPr>
          <w:color w:val="232323"/>
          <w:spacing w:val="-2"/>
        </w:rPr>
        <w:t xml:space="preserve"> </w:t>
      </w:r>
      <w:r w:rsidRPr="00B25A37">
        <w:rPr>
          <w:color w:val="232323"/>
        </w:rPr>
        <w:t>Aged</w:t>
      </w:r>
      <w:r w:rsidRPr="00B25A37">
        <w:rPr>
          <w:color w:val="232323"/>
          <w:spacing w:val="-4"/>
        </w:rPr>
        <w:t xml:space="preserve"> </w:t>
      </w:r>
      <w:r w:rsidRPr="00B25A37">
        <w:rPr>
          <w:color w:val="232323"/>
        </w:rPr>
        <w:t>Care</w:t>
      </w:r>
      <w:r w:rsidRPr="00B25A37">
        <w:rPr>
          <w:color w:val="232323"/>
          <w:spacing w:val="-2"/>
        </w:rPr>
        <w:t xml:space="preserve"> </w:t>
      </w:r>
      <w:r w:rsidRPr="00B25A37">
        <w:rPr>
          <w:color w:val="232323"/>
        </w:rPr>
        <w:t>–</w:t>
      </w:r>
      <w:r w:rsidRPr="00B25A37">
        <w:rPr>
          <w:color w:val="232323"/>
          <w:spacing w:val="-4"/>
        </w:rPr>
        <w:t xml:space="preserve"> </w:t>
      </w:r>
      <w:r w:rsidRPr="00B25A37">
        <w:rPr>
          <w:color w:val="232323"/>
        </w:rPr>
        <w:t>DOHAC</w:t>
      </w:r>
      <w:r w:rsidRPr="00B25A37">
        <w:rPr>
          <w:color w:val="232323"/>
          <w:spacing w:val="-4"/>
        </w:rPr>
        <w:t xml:space="preserve"> </w:t>
      </w:r>
      <w:r w:rsidRPr="00B25A37">
        <w:rPr>
          <w:color w:val="232323"/>
        </w:rPr>
        <w:t>(20</w:t>
      </w:r>
      <w:r w:rsidR="00DF3F30" w:rsidRPr="00B25A37">
        <w:rPr>
          <w:color w:val="232323"/>
        </w:rPr>
        <w:t>1</w:t>
      </w:r>
      <w:r w:rsidRPr="00B25A37">
        <w:rPr>
          <w:color w:val="232323"/>
        </w:rPr>
        <w:t>2).</w:t>
      </w:r>
      <w:r w:rsidRPr="00B25A37">
        <w:rPr>
          <w:color w:val="232323"/>
          <w:spacing w:val="-4"/>
        </w:rPr>
        <w:t xml:space="preserve"> </w:t>
      </w:r>
      <w:r w:rsidRPr="00B25A37">
        <w:rPr>
          <w:color w:val="232323"/>
        </w:rPr>
        <w:t>enHealth</w:t>
      </w:r>
      <w:r w:rsidRPr="00B25A37">
        <w:rPr>
          <w:color w:val="232323"/>
          <w:spacing w:val="-2"/>
        </w:rPr>
        <w:t xml:space="preserve"> </w:t>
      </w:r>
      <w:r w:rsidRPr="00B25A37">
        <w:rPr>
          <w:color w:val="232323"/>
        </w:rPr>
        <w:t>guidance</w:t>
      </w:r>
      <w:r w:rsidRPr="00B25A37">
        <w:rPr>
          <w:color w:val="232323"/>
          <w:spacing w:val="-2"/>
        </w:rPr>
        <w:t xml:space="preserve"> </w:t>
      </w:r>
      <w:r w:rsidRPr="00B25A37">
        <w:rPr>
          <w:color w:val="232323"/>
        </w:rPr>
        <w:t>–</w:t>
      </w:r>
      <w:r w:rsidRPr="00B25A37">
        <w:rPr>
          <w:color w:val="232323"/>
          <w:spacing w:val="-1"/>
        </w:rPr>
        <w:t xml:space="preserve"> </w:t>
      </w:r>
      <w:r w:rsidRPr="00B25A37">
        <w:rPr>
          <w:color w:val="232323"/>
        </w:rPr>
        <w:t>Australian</w:t>
      </w:r>
      <w:r w:rsidRPr="00B25A37">
        <w:rPr>
          <w:color w:val="232323"/>
          <w:spacing w:val="-4"/>
        </w:rPr>
        <w:t xml:space="preserve"> </w:t>
      </w:r>
      <w:r w:rsidRPr="00B25A37">
        <w:rPr>
          <w:color w:val="232323"/>
        </w:rPr>
        <w:t xml:space="preserve">exposure factor guide. [online] Available at: </w:t>
      </w:r>
      <w:hyperlink r:id="rId103">
        <w:r w:rsidRPr="00B25A37">
          <w:rPr>
            <w:color w:val="0000FF"/>
            <w:u w:val="single" w:color="0000FF"/>
          </w:rPr>
          <w:t>https://www.health.gov.au/resources/publications/enhealth-</w:t>
        </w:r>
      </w:hyperlink>
      <w:r w:rsidRPr="00B25A37">
        <w:rPr>
          <w:color w:val="0000FF"/>
        </w:rPr>
        <w:t xml:space="preserve"> </w:t>
      </w:r>
      <w:hyperlink r:id="rId104">
        <w:r w:rsidRPr="00B25A37">
          <w:rPr>
            <w:color w:val="0000FF"/>
            <w:u w:val="single" w:color="0000FF"/>
          </w:rPr>
          <w:t>guidance-australian-exposure-factor-guide?language=en</w:t>
        </w:r>
        <w:r w:rsidRPr="00B25A37">
          <w:rPr>
            <w:color w:val="232323"/>
          </w:rPr>
          <w:t>.</w:t>
        </w:r>
      </w:hyperlink>
      <w:r w:rsidRPr="00B25A37">
        <w:rPr>
          <w:color w:val="232323"/>
        </w:rPr>
        <w:t xml:space="preserve"> [Accessed 20 June 2024].</w:t>
      </w:r>
    </w:p>
    <w:p w14:paraId="71994E97" w14:textId="77777777" w:rsidR="00FE12C3" w:rsidRPr="001D61F0" w:rsidRDefault="00FE12C3" w:rsidP="00FE12C3">
      <w:pPr>
        <w:pStyle w:val="BodyText"/>
        <w:spacing w:before="118" w:line="259" w:lineRule="auto"/>
        <w:ind w:right="182"/>
      </w:pPr>
      <w:r w:rsidRPr="00B25A37">
        <w:rPr>
          <w:color w:val="232323"/>
        </w:rPr>
        <w:t xml:space="preserve">Department of Health and Aged Care – DOHAC (2023). Pregnancy, Birth and Baby – Development milestones - your child 12 to 18 months. [online] Available at: </w:t>
      </w:r>
      <w:hyperlink r:id="rId105">
        <w:r w:rsidRPr="00B25A37">
          <w:rPr>
            <w:color w:val="0000FF"/>
            <w:u w:val="single" w:color="0000FF"/>
          </w:rPr>
          <w:t>https://www.pregnancybirthbaby.org.au/development-milestones-12-to-18-months</w:t>
        </w:r>
        <w:r w:rsidRPr="00B25A37">
          <w:rPr>
            <w:color w:val="232323"/>
          </w:rPr>
          <w:t>.</w:t>
        </w:r>
      </w:hyperlink>
      <w:r w:rsidRPr="00B25A37">
        <w:rPr>
          <w:color w:val="232323"/>
          <w:spacing w:val="-13"/>
        </w:rPr>
        <w:t xml:space="preserve"> </w:t>
      </w:r>
      <w:r w:rsidRPr="00B25A37">
        <w:rPr>
          <w:color w:val="232323"/>
        </w:rPr>
        <w:t>[Accessed</w:t>
      </w:r>
      <w:r w:rsidRPr="00B25A37">
        <w:rPr>
          <w:color w:val="232323"/>
          <w:spacing w:val="-13"/>
        </w:rPr>
        <w:t xml:space="preserve"> </w:t>
      </w:r>
      <w:r w:rsidRPr="00B25A37">
        <w:rPr>
          <w:color w:val="232323"/>
        </w:rPr>
        <w:t>20</w:t>
      </w:r>
      <w:r w:rsidRPr="00B25A37">
        <w:rPr>
          <w:color w:val="232323"/>
          <w:spacing w:val="-13"/>
        </w:rPr>
        <w:t xml:space="preserve"> </w:t>
      </w:r>
      <w:r w:rsidRPr="00B25A37">
        <w:rPr>
          <w:color w:val="232323"/>
        </w:rPr>
        <w:t xml:space="preserve">June </w:t>
      </w:r>
      <w:r w:rsidRPr="00B25A37">
        <w:rPr>
          <w:color w:val="232323"/>
          <w:spacing w:val="-2"/>
        </w:rPr>
        <w:t>2024].</w:t>
      </w:r>
    </w:p>
    <w:p w14:paraId="2168EDB2" w14:textId="77777777" w:rsidR="00FE12C3" w:rsidRPr="001D61F0" w:rsidRDefault="00FE12C3" w:rsidP="00FE12C3">
      <w:pPr>
        <w:pStyle w:val="BodyText"/>
        <w:spacing w:before="120" w:line="256" w:lineRule="auto"/>
        <w:ind w:right="161"/>
      </w:pPr>
      <w:r w:rsidRPr="001D61F0">
        <w:rPr>
          <w:color w:val="232323"/>
        </w:rPr>
        <w:t>Diaz, A., Neale, R.E., Kimlin, M.G., Jones, L. and Janda, M. (2012). The Children and Sunscreen Study.</w:t>
      </w:r>
      <w:r w:rsidRPr="001D61F0">
        <w:rPr>
          <w:color w:val="232323"/>
          <w:spacing w:val="-5"/>
        </w:rPr>
        <w:t xml:space="preserve"> </w:t>
      </w:r>
      <w:r w:rsidRPr="001D61F0">
        <w:rPr>
          <w:color w:val="232323"/>
        </w:rPr>
        <w:t>Archives</w:t>
      </w:r>
      <w:r w:rsidRPr="001D61F0">
        <w:rPr>
          <w:color w:val="232323"/>
          <w:spacing w:val="-6"/>
        </w:rPr>
        <w:t xml:space="preserve"> </w:t>
      </w:r>
      <w:r w:rsidRPr="001D61F0">
        <w:rPr>
          <w:color w:val="232323"/>
        </w:rPr>
        <w:t>of</w:t>
      </w:r>
      <w:r w:rsidRPr="001D61F0">
        <w:rPr>
          <w:color w:val="232323"/>
          <w:spacing w:val="-7"/>
        </w:rPr>
        <w:t xml:space="preserve"> </w:t>
      </w:r>
      <w:r w:rsidRPr="001D61F0">
        <w:rPr>
          <w:color w:val="232323"/>
        </w:rPr>
        <w:t>Dermatology,</w:t>
      </w:r>
      <w:r w:rsidRPr="001D61F0">
        <w:rPr>
          <w:color w:val="232323"/>
          <w:spacing w:val="-7"/>
        </w:rPr>
        <w:t xml:space="preserve"> </w:t>
      </w:r>
      <w:r w:rsidRPr="001D61F0">
        <w:rPr>
          <w:color w:val="232323"/>
        </w:rPr>
        <w:t>[online]</w:t>
      </w:r>
      <w:r w:rsidRPr="001D61F0">
        <w:rPr>
          <w:color w:val="232323"/>
          <w:spacing w:val="-7"/>
        </w:rPr>
        <w:t xml:space="preserve"> </w:t>
      </w:r>
      <w:r w:rsidRPr="001D61F0">
        <w:rPr>
          <w:color w:val="232323"/>
        </w:rPr>
        <w:t>148(5).</w:t>
      </w:r>
      <w:r w:rsidRPr="001D61F0">
        <w:rPr>
          <w:color w:val="232323"/>
          <w:spacing w:val="-5"/>
        </w:rPr>
        <w:t xml:space="preserve"> </w:t>
      </w:r>
      <w:r w:rsidRPr="001D61F0">
        <w:rPr>
          <w:color w:val="232323"/>
        </w:rPr>
        <w:t>doi:</w:t>
      </w:r>
      <w:r w:rsidRPr="001D61F0">
        <w:rPr>
          <w:color w:val="232323"/>
          <w:spacing w:val="-7"/>
        </w:rPr>
        <w:t xml:space="preserve"> </w:t>
      </w:r>
      <w:hyperlink r:id="rId106">
        <w:r w:rsidRPr="001D61F0">
          <w:rPr>
            <w:color w:val="0000FF"/>
            <w:u w:val="single" w:color="0000FF"/>
          </w:rPr>
          <w:t>https://doi.org/10.1001/archdermatol.2011.2586</w:t>
        </w:r>
        <w:r w:rsidRPr="001D61F0">
          <w:rPr>
            <w:color w:val="232323"/>
          </w:rPr>
          <w:t>.</w:t>
        </w:r>
      </w:hyperlink>
    </w:p>
    <w:p w14:paraId="51737C70" w14:textId="77777777" w:rsidR="00FE12C3" w:rsidRPr="001D61F0" w:rsidRDefault="00FE12C3" w:rsidP="00FE12C3">
      <w:pPr>
        <w:pStyle w:val="BodyText"/>
        <w:spacing w:before="125" w:line="259" w:lineRule="auto"/>
        <w:ind w:right="173"/>
      </w:pPr>
      <w:r w:rsidRPr="001D61F0">
        <w:rPr>
          <w:color w:val="232323"/>
        </w:rPr>
        <w:t>European Commission (2006). Commission Recommendation of 22 September 2006 on the efficacy of</w:t>
      </w:r>
      <w:r w:rsidRPr="001D61F0">
        <w:rPr>
          <w:color w:val="232323"/>
          <w:spacing w:val="-4"/>
        </w:rPr>
        <w:t xml:space="preserve"> </w:t>
      </w:r>
      <w:r w:rsidRPr="001D61F0">
        <w:rPr>
          <w:color w:val="232323"/>
        </w:rPr>
        <w:t>sunscreen</w:t>
      </w:r>
      <w:r w:rsidRPr="001D61F0">
        <w:rPr>
          <w:color w:val="232323"/>
          <w:spacing w:val="-2"/>
        </w:rPr>
        <w:t xml:space="preserve"> </w:t>
      </w:r>
      <w:r w:rsidRPr="001D61F0">
        <w:rPr>
          <w:color w:val="232323"/>
        </w:rPr>
        <w:t>products</w:t>
      </w:r>
      <w:r w:rsidRPr="001D61F0">
        <w:rPr>
          <w:color w:val="232323"/>
          <w:spacing w:val="-3"/>
        </w:rPr>
        <w:t xml:space="preserve"> </w:t>
      </w:r>
      <w:r w:rsidRPr="001D61F0">
        <w:rPr>
          <w:color w:val="232323"/>
        </w:rPr>
        <w:t>and</w:t>
      </w:r>
      <w:r w:rsidRPr="001D61F0">
        <w:rPr>
          <w:color w:val="232323"/>
          <w:spacing w:val="-2"/>
        </w:rPr>
        <w:t xml:space="preserve"> </w:t>
      </w:r>
      <w:r w:rsidRPr="001D61F0">
        <w:rPr>
          <w:color w:val="232323"/>
        </w:rPr>
        <w:t>the</w:t>
      </w:r>
      <w:r w:rsidRPr="001D61F0">
        <w:rPr>
          <w:color w:val="232323"/>
          <w:spacing w:val="-4"/>
        </w:rPr>
        <w:t xml:space="preserve"> </w:t>
      </w:r>
      <w:r w:rsidRPr="001D61F0">
        <w:rPr>
          <w:color w:val="232323"/>
        </w:rPr>
        <w:t>claims</w:t>
      </w:r>
      <w:r w:rsidRPr="001D61F0">
        <w:rPr>
          <w:color w:val="232323"/>
          <w:spacing w:val="-1"/>
        </w:rPr>
        <w:t xml:space="preserve"> </w:t>
      </w:r>
      <w:r w:rsidRPr="001D61F0">
        <w:rPr>
          <w:color w:val="232323"/>
        </w:rPr>
        <w:t>made</w:t>
      </w:r>
      <w:r w:rsidRPr="001D61F0">
        <w:rPr>
          <w:color w:val="232323"/>
          <w:spacing w:val="-4"/>
        </w:rPr>
        <w:t xml:space="preserve"> </w:t>
      </w:r>
      <w:r w:rsidRPr="001D61F0">
        <w:rPr>
          <w:color w:val="232323"/>
        </w:rPr>
        <w:t>relating</w:t>
      </w:r>
      <w:r w:rsidRPr="001D61F0">
        <w:rPr>
          <w:color w:val="232323"/>
          <w:spacing w:val="-2"/>
        </w:rPr>
        <w:t xml:space="preserve"> </w:t>
      </w:r>
      <w:r w:rsidRPr="001D61F0">
        <w:rPr>
          <w:color w:val="232323"/>
        </w:rPr>
        <w:t>thereto</w:t>
      </w:r>
      <w:r w:rsidRPr="001D61F0">
        <w:rPr>
          <w:color w:val="232323"/>
          <w:spacing w:val="-4"/>
        </w:rPr>
        <w:t xml:space="preserve"> </w:t>
      </w:r>
      <w:r w:rsidRPr="001D61F0">
        <w:rPr>
          <w:color w:val="232323"/>
        </w:rPr>
        <w:t>(notified</w:t>
      </w:r>
      <w:r w:rsidRPr="001D61F0">
        <w:rPr>
          <w:color w:val="232323"/>
          <w:spacing w:val="-4"/>
        </w:rPr>
        <w:t xml:space="preserve"> </w:t>
      </w:r>
      <w:r w:rsidRPr="001D61F0">
        <w:rPr>
          <w:color w:val="232323"/>
        </w:rPr>
        <w:t>under</w:t>
      </w:r>
      <w:r w:rsidRPr="001D61F0">
        <w:rPr>
          <w:color w:val="232323"/>
          <w:spacing w:val="-3"/>
        </w:rPr>
        <w:t xml:space="preserve"> </w:t>
      </w:r>
      <w:r w:rsidRPr="001D61F0">
        <w:rPr>
          <w:color w:val="232323"/>
        </w:rPr>
        <w:t>document</w:t>
      </w:r>
      <w:r w:rsidRPr="001D61F0">
        <w:rPr>
          <w:color w:val="232323"/>
          <w:spacing w:val="-4"/>
        </w:rPr>
        <w:t xml:space="preserve"> </w:t>
      </w:r>
      <w:r w:rsidRPr="001D61F0">
        <w:rPr>
          <w:color w:val="232323"/>
        </w:rPr>
        <w:t>number</w:t>
      </w:r>
      <w:r w:rsidRPr="001D61F0">
        <w:rPr>
          <w:color w:val="232323"/>
          <w:spacing w:val="-3"/>
        </w:rPr>
        <w:t xml:space="preserve"> </w:t>
      </w:r>
      <w:r w:rsidRPr="001D61F0">
        <w:rPr>
          <w:color w:val="232323"/>
        </w:rPr>
        <w:t xml:space="preserve">C(2006) 4089) (Text with EEA relevance) [online] Available at: </w:t>
      </w:r>
      <w:hyperlink r:id="rId107">
        <w:r w:rsidRPr="001D61F0">
          <w:rPr>
            <w:color w:val="0000FF"/>
            <w:u w:val="single" w:color="0000FF"/>
          </w:rPr>
          <w:t>https://eur-lex.europa.eu/legal-</w:t>
        </w:r>
      </w:hyperlink>
      <w:r w:rsidRPr="001D61F0">
        <w:rPr>
          <w:color w:val="0000FF"/>
        </w:rPr>
        <w:t xml:space="preserve"> </w:t>
      </w:r>
      <w:hyperlink r:id="rId108">
        <w:r w:rsidRPr="001D61F0">
          <w:rPr>
            <w:color w:val="0000FF"/>
            <w:u w:val="single" w:color="0000FF"/>
          </w:rPr>
          <w:t>content/EN/TXT/?uri=CELEX%3A32006H0647</w:t>
        </w:r>
        <w:r w:rsidRPr="001D61F0">
          <w:rPr>
            <w:color w:val="232323"/>
          </w:rPr>
          <w:t>.</w:t>
        </w:r>
      </w:hyperlink>
      <w:r w:rsidRPr="001D61F0">
        <w:rPr>
          <w:color w:val="232323"/>
        </w:rPr>
        <w:t xml:space="preserve"> [Accessed 20 June 2024].</w:t>
      </w:r>
    </w:p>
    <w:p w14:paraId="5679A60F" w14:textId="77777777" w:rsidR="00FE12C3" w:rsidRPr="001D61F0" w:rsidRDefault="00FE12C3" w:rsidP="00FE12C3">
      <w:pPr>
        <w:pStyle w:val="BodyText"/>
        <w:spacing w:before="118" w:line="259" w:lineRule="auto"/>
        <w:ind w:right="792"/>
      </w:pPr>
      <w:r w:rsidRPr="001D61F0">
        <w:rPr>
          <w:color w:val="232323"/>
        </w:rPr>
        <w:t>Faurschou,</w:t>
      </w:r>
      <w:r w:rsidRPr="001D61F0">
        <w:rPr>
          <w:color w:val="232323"/>
          <w:spacing w:val="-2"/>
        </w:rPr>
        <w:t xml:space="preserve"> </w:t>
      </w:r>
      <w:r w:rsidRPr="001D61F0">
        <w:rPr>
          <w:color w:val="232323"/>
        </w:rPr>
        <w:t>A.</w:t>
      </w:r>
      <w:r w:rsidRPr="001D61F0">
        <w:rPr>
          <w:color w:val="232323"/>
          <w:spacing w:val="-4"/>
        </w:rPr>
        <w:t xml:space="preserve"> </w:t>
      </w:r>
      <w:r w:rsidRPr="001D61F0">
        <w:rPr>
          <w:color w:val="232323"/>
        </w:rPr>
        <w:t>and</w:t>
      </w:r>
      <w:r w:rsidRPr="001D61F0">
        <w:rPr>
          <w:color w:val="232323"/>
          <w:spacing w:val="-2"/>
        </w:rPr>
        <w:t xml:space="preserve"> </w:t>
      </w:r>
      <w:r w:rsidRPr="001D61F0">
        <w:rPr>
          <w:color w:val="232323"/>
        </w:rPr>
        <w:t>Wulf,</w:t>
      </w:r>
      <w:r w:rsidRPr="001D61F0">
        <w:rPr>
          <w:color w:val="232323"/>
          <w:spacing w:val="-4"/>
        </w:rPr>
        <w:t xml:space="preserve"> </w:t>
      </w:r>
      <w:r w:rsidRPr="001D61F0">
        <w:rPr>
          <w:color w:val="232323"/>
        </w:rPr>
        <w:t>H.C.</w:t>
      </w:r>
      <w:r w:rsidRPr="001D61F0">
        <w:rPr>
          <w:color w:val="232323"/>
          <w:spacing w:val="-4"/>
        </w:rPr>
        <w:t xml:space="preserve"> </w:t>
      </w:r>
      <w:r w:rsidRPr="001D61F0">
        <w:rPr>
          <w:color w:val="232323"/>
        </w:rPr>
        <w:t>(2007).</w:t>
      </w:r>
      <w:r w:rsidRPr="001D61F0">
        <w:rPr>
          <w:color w:val="232323"/>
          <w:spacing w:val="-4"/>
        </w:rPr>
        <w:t xml:space="preserve"> </w:t>
      </w:r>
      <w:r w:rsidRPr="001D61F0">
        <w:rPr>
          <w:color w:val="232323"/>
        </w:rPr>
        <w:t>The</w:t>
      </w:r>
      <w:r w:rsidRPr="001D61F0">
        <w:rPr>
          <w:color w:val="232323"/>
          <w:spacing w:val="-4"/>
        </w:rPr>
        <w:t xml:space="preserve"> </w:t>
      </w:r>
      <w:r w:rsidRPr="001D61F0">
        <w:rPr>
          <w:color w:val="232323"/>
        </w:rPr>
        <w:t>relation</w:t>
      </w:r>
      <w:r w:rsidRPr="001D61F0">
        <w:rPr>
          <w:color w:val="232323"/>
          <w:spacing w:val="-4"/>
        </w:rPr>
        <w:t xml:space="preserve"> </w:t>
      </w:r>
      <w:r w:rsidRPr="001D61F0">
        <w:rPr>
          <w:color w:val="232323"/>
        </w:rPr>
        <w:t>between</w:t>
      </w:r>
      <w:r w:rsidRPr="001D61F0">
        <w:rPr>
          <w:color w:val="232323"/>
          <w:spacing w:val="-4"/>
        </w:rPr>
        <w:t xml:space="preserve"> </w:t>
      </w:r>
      <w:r w:rsidRPr="001D61F0">
        <w:rPr>
          <w:color w:val="232323"/>
        </w:rPr>
        <w:t>sun</w:t>
      </w:r>
      <w:r w:rsidRPr="001D61F0">
        <w:rPr>
          <w:color w:val="232323"/>
          <w:spacing w:val="-4"/>
        </w:rPr>
        <w:t xml:space="preserve"> </w:t>
      </w:r>
      <w:r w:rsidRPr="001D61F0">
        <w:rPr>
          <w:color w:val="232323"/>
        </w:rPr>
        <w:t>protection</w:t>
      </w:r>
      <w:r w:rsidRPr="001D61F0">
        <w:rPr>
          <w:color w:val="232323"/>
          <w:spacing w:val="-4"/>
        </w:rPr>
        <w:t xml:space="preserve"> </w:t>
      </w:r>
      <w:r w:rsidRPr="001D61F0">
        <w:rPr>
          <w:color w:val="232323"/>
        </w:rPr>
        <w:t>factor</w:t>
      </w:r>
      <w:r w:rsidRPr="001D61F0">
        <w:rPr>
          <w:color w:val="232323"/>
          <w:spacing w:val="-1"/>
        </w:rPr>
        <w:t xml:space="preserve"> </w:t>
      </w:r>
      <w:r w:rsidRPr="001D61F0">
        <w:rPr>
          <w:color w:val="232323"/>
        </w:rPr>
        <w:t>and</w:t>
      </w:r>
      <w:r w:rsidRPr="001D61F0">
        <w:rPr>
          <w:color w:val="232323"/>
          <w:spacing w:val="-2"/>
        </w:rPr>
        <w:t xml:space="preserve"> </w:t>
      </w:r>
      <w:r w:rsidRPr="001D61F0">
        <w:rPr>
          <w:color w:val="232323"/>
        </w:rPr>
        <w:t>amount</w:t>
      </w:r>
      <w:r w:rsidRPr="001D61F0">
        <w:rPr>
          <w:color w:val="232323"/>
          <w:spacing w:val="-2"/>
        </w:rPr>
        <w:t xml:space="preserve"> </w:t>
      </w:r>
      <w:r w:rsidRPr="001D61F0">
        <w:rPr>
          <w:color w:val="232323"/>
        </w:rPr>
        <w:t xml:space="preserve">of suncreen applied in vivo. British Journal of Dermatology, 156(4), pp.716–719. doi: </w:t>
      </w:r>
      <w:hyperlink r:id="rId109">
        <w:r w:rsidRPr="001D61F0">
          <w:rPr>
            <w:color w:val="0000FF"/>
            <w:spacing w:val="-2"/>
            <w:u w:val="single" w:color="0000FF"/>
          </w:rPr>
          <w:t>https://doi.org/10.1111/j.1365-2133.2006.07684.x</w:t>
        </w:r>
        <w:r w:rsidRPr="001D61F0">
          <w:rPr>
            <w:color w:val="232323"/>
            <w:spacing w:val="-2"/>
          </w:rPr>
          <w:t>.</w:t>
        </w:r>
      </w:hyperlink>
    </w:p>
    <w:p w14:paraId="058F9335" w14:textId="77777777" w:rsidR="00FE12C3" w:rsidRPr="001D61F0" w:rsidRDefault="00FE12C3" w:rsidP="00FE12C3">
      <w:pPr>
        <w:pStyle w:val="BodyText"/>
        <w:spacing w:before="88" w:line="256" w:lineRule="auto"/>
        <w:ind w:right="205"/>
      </w:pPr>
      <w:r w:rsidRPr="001D61F0">
        <w:rPr>
          <w:color w:val="232323"/>
        </w:rPr>
        <w:t>Foot,</w:t>
      </w:r>
      <w:r w:rsidRPr="001D61F0">
        <w:rPr>
          <w:color w:val="232323"/>
          <w:spacing w:val="-4"/>
        </w:rPr>
        <w:t xml:space="preserve"> </w:t>
      </w:r>
      <w:r w:rsidRPr="001D61F0">
        <w:rPr>
          <w:color w:val="232323"/>
        </w:rPr>
        <w:t>G.,</w:t>
      </w:r>
      <w:r w:rsidRPr="001D61F0">
        <w:rPr>
          <w:color w:val="232323"/>
          <w:spacing w:val="-4"/>
        </w:rPr>
        <w:t xml:space="preserve"> </w:t>
      </w:r>
      <w:r w:rsidRPr="001D61F0">
        <w:rPr>
          <w:color w:val="232323"/>
        </w:rPr>
        <w:t>Girgis,</w:t>
      </w:r>
      <w:r w:rsidRPr="001D61F0">
        <w:rPr>
          <w:color w:val="232323"/>
          <w:spacing w:val="-2"/>
        </w:rPr>
        <w:t xml:space="preserve"> </w:t>
      </w:r>
      <w:r w:rsidRPr="001D61F0">
        <w:rPr>
          <w:color w:val="232323"/>
        </w:rPr>
        <w:t>A.,</w:t>
      </w:r>
      <w:r w:rsidRPr="001D61F0">
        <w:rPr>
          <w:color w:val="232323"/>
          <w:spacing w:val="-2"/>
        </w:rPr>
        <w:t xml:space="preserve"> </w:t>
      </w:r>
      <w:r w:rsidRPr="001D61F0">
        <w:rPr>
          <w:color w:val="232323"/>
        </w:rPr>
        <w:t>Boyle,</w:t>
      </w:r>
      <w:r w:rsidRPr="001D61F0">
        <w:rPr>
          <w:color w:val="232323"/>
          <w:spacing w:val="-2"/>
        </w:rPr>
        <w:t xml:space="preserve"> </w:t>
      </w:r>
      <w:r w:rsidRPr="001D61F0">
        <w:rPr>
          <w:color w:val="232323"/>
        </w:rPr>
        <w:t>C.A.</w:t>
      </w:r>
      <w:r w:rsidRPr="001D61F0">
        <w:rPr>
          <w:color w:val="232323"/>
          <w:spacing w:val="-2"/>
        </w:rPr>
        <w:t xml:space="preserve"> </w:t>
      </w:r>
      <w:r w:rsidRPr="001D61F0">
        <w:rPr>
          <w:color w:val="232323"/>
        </w:rPr>
        <w:t>and</w:t>
      </w:r>
      <w:r w:rsidRPr="001D61F0">
        <w:rPr>
          <w:color w:val="232323"/>
          <w:spacing w:val="-2"/>
        </w:rPr>
        <w:t xml:space="preserve"> </w:t>
      </w:r>
      <w:r w:rsidRPr="001D61F0">
        <w:rPr>
          <w:color w:val="232323"/>
        </w:rPr>
        <w:t>Sanson-Fisher,</w:t>
      </w:r>
      <w:r w:rsidRPr="001D61F0">
        <w:rPr>
          <w:color w:val="232323"/>
          <w:spacing w:val="-4"/>
        </w:rPr>
        <w:t xml:space="preserve"> </w:t>
      </w:r>
      <w:r w:rsidRPr="001D61F0">
        <w:rPr>
          <w:color w:val="232323"/>
        </w:rPr>
        <w:t>R.W.</w:t>
      </w:r>
      <w:r w:rsidRPr="001D61F0">
        <w:rPr>
          <w:color w:val="232323"/>
          <w:spacing w:val="-4"/>
        </w:rPr>
        <w:t xml:space="preserve"> </w:t>
      </w:r>
      <w:r w:rsidRPr="001D61F0">
        <w:rPr>
          <w:color w:val="232323"/>
        </w:rPr>
        <w:t>(1993).</w:t>
      </w:r>
      <w:r w:rsidRPr="001D61F0">
        <w:rPr>
          <w:color w:val="232323"/>
          <w:spacing w:val="-2"/>
        </w:rPr>
        <w:t xml:space="preserve"> </w:t>
      </w:r>
      <w:r w:rsidRPr="001D61F0">
        <w:rPr>
          <w:color w:val="232323"/>
        </w:rPr>
        <w:t>Solar</w:t>
      </w:r>
      <w:r w:rsidRPr="001D61F0">
        <w:rPr>
          <w:color w:val="232323"/>
          <w:spacing w:val="-3"/>
        </w:rPr>
        <w:t xml:space="preserve"> </w:t>
      </w:r>
      <w:r w:rsidRPr="001D61F0">
        <w:rPr>
          <w:color w:val="232323"/>
        </w:rPr>
        <w:t>protection</w:t>
      </w:r>
      <w:r w:rsidRPr="001D61F0">
        <w:rPr>
          <w:color w:val="232323"/>
          <w:spacing w:val="-2"/>
        </w:rPr>
        <w:t xml:space="preserve"> </w:t>
      </w:r>
      <w:r w:rsidRPr="001D61F0">
        <w:rPr>
          <w:color w:val="232323"/>
        </w:rPr>
        <w:t>behaviours:</w:t>
      </w:r>
      <w:r w:rsidRPr="001D61F0">
        <w:rPr>
          <w:color w:val="232323"/>
          <w:spacing w:val="-4"/>
        </w:rPr>
        <w:t xml:space="preserve"> </w:t>
      </w:r>
      <w:r w:rsidRPr="001D61F0">
        <w:rPr>
          <w:color w:val="232323"/>
        </w:rPr>
        <w:t>a</w:t>
      </w:r>
      <w:r w:rsidRPr="001D61F0">
        <w:rPr>
          <w:color w:val="232323"/>
          <w:spacing w:val="-2"/>
        </w:rPr>
        <w:t xml:space="preserve"> </w:t>
      </w:r>
      <w:r w:rsidRPr="001D61F0">
        <w:rPr>
          <w:color w:val="232323"/>
        </w:rPr>
        <w:t xml:space="preserve">study of beachgoers. Australian Journal of Public Health, 17(3), pp.209–214. doi: </w:t>
      </w:r>
      <w:hyperlink r:id="rId110">
        <w:r w:rsidRPr="001D61F0">
          <w:rPr>
            <w:color w:val="0000FF"/>
            <w:spacing w:val="-2"/>
            <w:u w:val="single" w:color="0000FF"/>
          </w:rPr>
          <w:t>https://doi.org/10.1111/j.1753-6405.1993.tb00137.x</w:t>
        </w:r>
        <w:r w:rsidRPr="001D61F0">
          <w:rPr>
            <w:color w:val="232323"/>
            <w:spacing w:val="-2"/>
          </w:rPr>
          <w:t>.</w:t>
        </w:r>
      </w:hyperlink>
    </w:p>
    <w:p w14:paraId="700F0821" w14:textId="77777777" w:rsidR="00FE12C3" w:rsidRPr="001D61F0" w:rsidRDefault="00FE12C3" w:rsidP="00FE12C3">
      <w:pPr>
        <w:pStyle w:val="BodyText"/>
        <w:spacing w:before="126" w:line="259" w:lineRule="auto"/>
        <w:ind w:right="161"/>
      </w:pPr>
      <w:r w:rsidRPr="001D61F0">
        <w:rPr>
          <w:color w:val="232323"/>
        </w:rPr>
        <w:t>Girgis, A., Sanson-Fisher, R.W. and Watson, A. (1994). A workplace intervention for increasing outdoor</w:t>
      </w:r>
      <w:r w:rsidRPr="001D61F0">
        <w:rPr>
          <w:color w:val="232323"/>
          <w:spacing w:val="-3"/>
        </w:rPr>
        <w:t xml:space="preserve"> </w:t>
      </w:r>
      <w:r w:rsidRPr="001D61F0">
        <w:rPr>
          <w:color w:val="232323"/>
        </w:rPr>
        <w:t>workers’</w:t>
      </w:r>
      <w:r w:rsidRPr="001D61F0">
        <w:rPr>
          <w:color w:val="232323"/>
          <w:spacing w:val="-2"/>
        </w:rPr>
        <w:t xml:space="preserve"> </w:t>
      </w:r>
      <w:r w:rsidRPr="001D61F0">
        <w:rPr>
          <w:color w:val="232323"/>
        </w:rPr>
        <w:t>use</w:t>
      </w:r>
      <w:r w:rsidRPr="001D61F0">
        <w:rPr>
          <w:color w:val="232323"/>
          <w:spacing w:val="-4"/>
        </w:rPr>
        <w:t xml:space="preserve"> </w:t>
      </w:r>
      <w:r w:rsidRPr="001D61F0">
        <w:rPr>
          <w:color w:val="232323"/>
        </w:rPr>
        <w:t>of</w:t>
      </w:r>
      <w:r w:rsidRPr="001D61F0">
        <w:rPr>
          <w:color w:val="232323"/>
          <w:spacing w:val="-4"/>
        </w:rPr>
        <w:t xml:space="preserve"> </w:t>
      </w:r>
      <w:r w:rsidRPr="001D61F0">
        <w:rPr>
          <w:color w:val="232323"/>
        </w:rPr>
        <w:t>solar</w:t>
      </w:r>
      <w:r w:rsidRPr="001D61F0">
        <w:rPr>
          <w:color w:val="232323"/>
          <w:spacing w:val="-3"/>
        </w:rPr>
        <w:t xml:space="preserve"> </w:t>
      </w:r>
      <w:r w:rsidRPr="001D61F0">
        <w:rPr>
          <w:color w:val="232323"/>
        </w:rPr>
        <w:t>protection.</w:t>
      </w:r>
      <w:r w:rsidRPr="001D61F0">
        <w:rPr>
          <w:color w:val="232323"/>
          <w:spacing w:val="-2"/>
        </w:rPr>
        <w:t xml:space="preserve"> </w:t>
      </w:r>
      <w:r w:rsidRPr="001D61F0">
        <w:rPr>
          <w:color w:val="232323"/>
        </w:rPr>
        <w:t>American</w:t>
      </w:r>
      <w:r w:rsidRPr="001D61F0">
        <w:rPr>
          <w:color w:val="232323"/>
          <w:spacing w:val="-4"/>
        </w:rPr>
        <w:t xml:space="preserve"> </w:t>
      </w:r>
      <w:r w:rsidRPr="001D61F0">
        <w:rPr>
          <w:color w:val="232323"/>
        </w:rPr>
        <w:t>Journal</w:t>
      </w:r>
      <w:r w:rsidRPr="001D61F0">
        <w:rPr>
          <w:color w:val="232323"/>
          <w:spacing w:val="-5"/>
        </w:rPr>
        <w:t xml:space="preserve"> </w:t>
      </w:r>
      <w:r w:rsidRPr="001D61F0">
        <w:rPr>
          <w:color w:val="232323"/>
        </w:rPr>
        <w:t>of</w:t>
      </w:r>
      <w:r w:rsidRPr="001D61F0">
        <w:rPr>
          <w:color w:val="232323"/>
          <w:spacing w:val="-4"/>
        </w:rPr>
        <w:t xml:space="preserve"> </w:t>
      </w:r>
      <w:r w:rsidRPr="001D61F0">
        <w:rPr>
          <w:color w:val="232323"/>
        </w:rPr>
        <w:t>Public</w:t>
      </w:r>
      <w:r w:rsidRPr="001D61F0">
        <w:rPr>
          <w:color w:val="232323"/>
          <w:spacing w:val="-3"/>
        </w:rPr>
        <w:t xml:space="preserve"> </w:t>
      </w:r>
      <w:r w:rsidRPr="001D61F0">
        <w:rPr>
          <w:color w:val="232323"/>
        </w:rPr>
        <w:t>Health,</w:t>
      </w:r>
      <w:r w:rsidRPr="001D61F0">
        <w:rPr>
          <w:color w:val="232323"/>
          <w:spacing w:val="-4"/>
        </w:rPr>
        <w:t xml:space="preserve"> </w:t>
      </w:r>
      <w:r w:rsidRPr="001D61F0">
        <w:rPr>
          <w:color w:val="232323"/>
        </w:rPr>
        <w:t>84(1),</w:t>
      </w:r>
      <w:r w:rsidRPr="001D61F0">
        <w:rPr>
          <w:color w:val="232323"/>
          <w:spacing w:val="-2"/>
        </w:rPr>
        <w:t xml:space="preserve"> </w:t>
      </w:r>
      <w:r w:rsidRPr="001D61F0">
        <w:rPr>
          <w:color w:val="232323"/>
        </w:rPr>
        <w:t>pp.77–81.</w:t>
      </w:r>
      <w:r w:rsidRPr="001D61F0">
        <w:rPr>
          <w:color w:val="232323"/>
          <w:spacing w:val="-4"/>
        </w:rPr>
        <w:t xml:space="preserve"> </w:t>
      </w:r>
      <w:r w:rsidRPr="001D61F0">
        <w:rPr>
          <w:color w:val="232323"/>
        </w:rPr>
        <w:t xml:space="preserve">doi: </w:t>
      </w:r>
      <w:hyperlink r:id="rId111">
        <w:r w:rsidRPr="001D61F0">
          <w:rPr>
            <w:color w:val="0000FF"/>
            <w:spacing w:val="-2"/>
            <w:u w:val="single" w:color="0000FF"/>
          </w:rPr>
          <w:t>https://doi.org/10.2105/ajph.84.1.77</w:t>
        </w:r>
        <w:r w:rsidRPr="001D61F0">
          <w:rPr>
            <w:color w:val="232323"/>
            <w:spacing w:val="-2"/>
          </w:rPr>
          <w:t>.</w:t>
        </w:r>
      </w:hyperlink>
    </w:p>
    <w:p w14:paraId="0BB7DCD1" w14:textId="77777777" w:rsidR="00FE12C3" w:rsidRPr="001D61F0" w:rsidRDefault="00FE12C3" w:rsidP="00FE12C3">
      <w:pPr>
        <w:pStyle w:val="BodyText"/>
        <w:spacing w:before="119" w:line="259" w:lineRule="auto"/>
        <w:ind w:right="183"/>
      </w:pPr>
      <w:r w:rsidRPr="001D61F0">
        <w:rPr>
          <w:color w:val="232323"/>
        </w:rPr>
        <w:t>Gomez-Berrada, M.P., Ficheux, A.S., Dahmoul, Z., Roudot, A.C. and Ferret, P.J. (2017). Exposure assessment</w:t>
      </w:r>
      <w:r w:rsidRPr="001D61F0">
        <w:rPr>
          <w:color w:val="232323"/>
          <w:spacing w:val="-4"/>
        </w:rPr>
        <w:t xml:space="preserve"> </w:t>
      </w:r>
      <w:r w:rsidRPr="001D61F0">
        <w:rPr>
          <w:color w:val="232323"/>
        </w:rPr>
        <w:t>of</w:t>
      </w:r>
      <w:r w:rsidRPr="001D61F0">
        <w:rPr>
          <w:color w:val="232323"/>
          <w:spacing w:val="-2"/>
        </w:rPr>
        <w:t xml:space="preserve"> </w:t>
      </w:r>
      <w:r w:rsidRPr="001D61F0">
        <w:rPr>
          <w:color w:val="232323"/>
        </w:rPr>
        <w:t>family</w:t>
      </w:r>
      <w:r w:rsidRPr="001D61F0">
        <w:rPr>
          <w:color w:val="232323"/>
          <w:spacing w:val="-3"/>
        </w:rPr>
        <w:t xml:space="preserve"> </w:t>
      </w:r>
      <w:r w:rsidRPr="001D61F0">
        <w:rPr>
          <w:color w:val="232323"/>
        </w:rPr>
        <w:t>cosmetic</w:t>
      </w:r>
      <w:r w:rsidRPr="001D61F0">
        <w:rPr>
          <w:color w:val="232323"/>
          <w:spacing w:val="-3"/>
        </w:rPr>
        <w:t xml:space="preserve"> </w:t>
      </w:r>
      <w:r w:rsidRPr="001D61F0">
        <w:rPr>
          <w:color w:val="232323"/>
        </w:rPr>
        <w:t>products</w:t>
      </w:r>
      <w:r w:rsidRPr="001D61F0">
        <w:rPr>
          <w:color w:val="232323"/>
          <w:spacing w:val="-3"/>
        </w:rPr>
        <w:t xml:space="preserve"> </w:t>
      </w:r>
      <w:r w:rsidRPr="001D61F0">
        <w:rPr>
          <w:color w:val="232323"/>
        </w:rPr>
        <w:t>dedicated</w:t>
      </w:r>
      <w:r w:rsidRPr="001D61F0">
        <w:rPr>
          <w:color w:val="232323"/>
          <w:spacing w:val="-4"/>
        </w:rPr>
        <w:t xml:space="preserve"> </w:t>
      </w:r>
      <w:r w:rsidRPr="001D61F0">
        <w:rPr>
          <w:color w:val="232323"/>
        </w:rPr>
        <w:t>to</w:t>
      </w:r>
      <w:r w:rsidRPr="001D61F0">
        <w:rPr>
          <w:color w:val="232323"/>
          <w:spacing w:val="-4"/>
        </w:rPr>
        <w:t xml:space="preserve"> </w:t>
      </w:r>
      <w:r w:rsidRPr="001D61F0">
        <w:rPr>
          <w:color w:val="232323"/>
        </w:rPr>
        <w:t>babies,</w:t>
      </w:r>
      <w:r w:rsidRPr="001D61F0">
        <w:rPr>
          <w:color w:val="232323"/>
          <w:spacing w:val="-4"/>
        </w:rPr>
        <w:t xml:space="preserve"> </w:t>
      </w:r>
      <w:r w:rsidRPr="001D61F0">
        <w:rPr>
          <w:color w:val="232323"/>
        </w:rPr>
        <w:t>children</w:t>
      </w:r>
      <w:r w:rsidRPr="001D61F0">
        <w:rPr>
          <w:color w:val="232323"/>
          <w:spacing w:val="-2"/>
        </w:rPr>
        <w:t xml:space="preserve"> </w:t>
      </w:r>
      <w:r w:rsidRPr="001D61F0">
        <w:rPr>
          <w:color w:val="232323"/>
        </w:rPr>
        <w:t>and</w:t>
      </w:r>
      <w:r w:rsidRPr="001D61F0">
        <w:rPr>
          <w:color w:val="232323"/>
          <w:spacing w:val="-4"/>
        </w:rPr>
        <w:t xml:space="preserve"> </w:t>
      </w:r>
      <w:r w:rsidRPr="001D61F0">
        <w:rPr>
          <w:color w:val="232323"/>
        </w:rPr>
        <w:t>adults.</w:t>
      </w:r>
      <w:r w:rsidRPr="001D61F0">
        <w:rPr>
          <w:color w:val="232323"/>
          <w:spacing w:val="-2"/>
        </w:rPr>
        <w:t xml:space="preserve"> </w:t>
      </w:r>
      <w:r w:rsidRPr="001D61F0">
        <w:rPr>
          <w:color w:val="232323"/>
        </w:rPr>
        <w:t>Food</w:t>
      </w:r>
      <w:r w:rsidRPr="001D61F0">
        <w:rPr>
          <w:color w:val="232323"/>
          <w:spacing w:val="-4"/>
        </w:rPr>
        <w:t xml:space="preserve"> </w:t>
      </w:r>
      <w:r w:rsidRPr="001D61F0">
        <w:rPr>
          <w:color w:val="232323"/>
        </w:rPr>
        <w:t>and</w:t>
      </w:r>
      <w:r w:rsidRPr="001D61F0">
        <w:rPr>
          <w:color w:val="232323"/>
          <w:spacing w:val="-4"/>
        </w:rPr>
        <w:t xml:space="preserve"> </w:t>
      </w:r>
      <w:r w:rsidRPr="001D61F0">
        <w:rPr>
          <w:color w:val="232323"/>
        </w:rPr>
        <w:t xml:space="preserve">Chemical Toxicology, 103, pp.56–65. doi: </w:t>
      </w:r>
      <w:hyperlink r:id="rId112">
        <w:r w:rsidRPr="001D61F0">
          <w:rPr>
            <w:color w:val="0000FF"/>
            <w:u w:val="single" w:color="0000FF"/>
          </w:rPr>
          <w:t>https://doi.org/10.1016/j.fct.2017.02.024</w:t>
        </w:r>
        <w:r w:rsidRPr="001D61F0">
          <w:rPr>
            <w:color w:val="232323"/>
          </w:rPr>
          <w:t>.</w:t>
        </w:r>
      </w:hyperlink>
    </w:p>
    <w:p w14:paraId="279EF719" w14:textId="77777777" w:rsidR="00FE12C3" w:rsidRPr="001D61F0" w:rsidRDefault="00FE12C3" w:rsidP="00FE12C3">
      <w:pPr>
        <w:pStyle w:val="BodyText"/>
        <w:spacing w:before="118" w:line="259" w:lineRule="auto"/>
        <w:ind w:right="161"/>
      </w:pPr>
      <w:r w:rsidRPr="001D61F0">
        <w:rPr>
          <w:color w:val="232323"/>
        </w:rPr>
        <w:t>Gomez-Berrada,</w:t>
      </w:r>
      <w:r w:rsidRPr="001D61F0">
        <w:rPr>
          <w:color w:val="232323"/>
          <w:spacing w:val="-3"/>
        </w:rPr>
        <w:t xml:space="preserve"> </w:t>
      </w:r>
      <w:r w:rsidRPr="001D61F0">
        <w:rPr>
          <w:color w:val="232323"/>
        </w:rPr>
        <w:t>M.-P.,</w:t>
      </w:r>
      <w:r w:rsidRPr="001D61F0">
        <w:rPr>
          <w:color w:val="232323"/>
          <w:spacing w:val="-3"/>
        </w:rPr>
        <w:t xml:space="preserve"> </w:t>
      </w:r>
      <w:r w:rsidRPr="001D61F0">
        <w:rPr>
          <w:color w:val="232323"/>
        </w:rPr>
        <w:t>Ficheux,</w:t>
      </w:r>
      <w:r w:rsidRPr="001D61F0">
        <w:rPr>
          <w:color w:val="232323"/>
          <w:spacing w:val="-3"/>
        </w:rPr>
        <w:t xml:space="preserve"> </w:t>
      </w:r>
      <w:r w:rsidRPr="001D61F0">
        <w:rPr>
          <w:color w:val="232323"/>
        </w:rPr>
        <w:t>A.-S.,</w:t>
      </w:r>
      <w:r w:rsidRPr="001D61F0">
        <w:rPr>
          <w:color w:val="232323"/>
          <w:spacing w:val="-3"/>
        </w:rPr>
        <w:t xml:space="preserve"> </w:t>
      </w:r>
      <w:r w:rsidRPr="001D61F0">
        <w:rPr>
          <w:color w:val="232323"/>
        </w:rPr>
        <w:t>Rakotomalala,</w:t>
      </w:r>
      <w:r w:rsidRPr="001D61F0">
        <w:rPr>
          <w:color w:val="232323"/>
          <w:spacing w:val="-3"/>
        </w:rPr>
        <w:t xml:space="preserve"> </w:t>
      </w:r>
      <w:r w:rsidRPr="001D61F0">
        <w:rPr>
          <w:color w:val="232323"/>
        </w:rPr>
        <w:t>S.,</w:t>
      </w:r>
      <w:r w:rsidRPr="001D61F0">
        <w:rPr>
          <w:color w:val="232323"/>
          <w:spacing w:val="-4"/>
        </w:rPr>
        <w:t xml:space="preserve"> </w:t>
      </w:r>
      <w:r w:rsidRPr="001D61F0">
        <w:rPr>
          <w:color w:val="232323"/>
        </w:rPr>
        <w:t>Guillou,</w:t>
      </w:r>
      <w:r w:rsidRPr="001D61F0">
        <w:rPr>
          <w:color w:val="232323"/>
          <w:spacing w:val="-5"/>
        </w:rPr>
        <w:t xml:space="preserve"> </w:t>
      </w:r>
      <w:r w:rsidRPr="001D61F0">
        <w:rPr>
          <w:color w:val="232323"/>
        </w:rPr>
        <w:t>S.,</w:t>
      </w:r>
      <w:r w:rsidRPr="001D61F0">
        <w:rPr>
          <w:color w:val="232323"/>
          <w:spacing w:val="-4"/>
        </w:rPr>
        <w:t xml:space="preserve"> </w:t>
      </w:r>
      <w:r w:rsidRPr="001D61F0">
        <w:rPr>
          <w:color w:val="232323"/>
        </w:rPr>
        <w:t>Bellec,</w:t>
      </w:r>
      <w:r w:rsidRPr="001D61F0">
        <w:rPr>
          <w:color w:val="232323"/>
          <w:spacing w:val="-3"/>
        </w:rPr>
        <w:t xml:space="preserve"> </w:t>
      </w:r>
      <w:r w:rsidRPr="001D61F0">
        <w:rPr>
          <w:color w:val="232323"/>
        </w:rPr>
        <w:t>M.,</w:t>
      </w:r>
      <w:r w:rsidRPr="001D61F0">
        <w:rPr>
          <w:color w:val="232323"/>
          <w:spacing w:val="-3"/>
        </w:rPr>
        <w:t xml:space="preserve"> </w:t>
      </w:r>
      <w:r w:rsidRPr="001D61F0">
        <w:rPr>
          <w:color w:val="232323"/>
        </w:rPr>
        <w:t>De</w:t>
      </w:r>
      <w:r w:rsidRPr="001D61F0">
        <w:rPr>
          <w:color w:val="232323"/>
          <w:spacing w:val="-4"/>
        </w:rPr>
        <w:t xml:space="preserve"> </w:t>
      </w:r>
      <w:r w:rsidRPr="001D61F0">
        <w:rPr>
          <w:color w:val="232323"/>
        </w:rPr>
        <w:t>Javel,</w:t>
      </w:r>
      <w:r w:rsidRPr="001D61F0">
        <w:rPr>
          <w:color w:val="232323"/>
          <w:spacing w:val="-3"/>
        </w:rPr>
        <w:t xml:space="preserve"> </w:t>
      </w:r>
      <w:r w:rsidRPr="001D61F0">
        <w:rPr>
          <w:color w:val="232323"/>
        </w:rPr>
        <w:t>D.,</w:t>
      </w:r>
      <w:r w:rsidRPr="001D61F0">
        <w:rPr>
          <w:color w:val="232323"/>
          <w:spacing w:val="-4"/>
        </w:rPr>
        <w:t xml:space="preserve"> </w:t>
      </w:r>
      <w:r w:rsidRPr="001D61F0">
        <w:rPr>
          <w:color w:val="232323"/>
        </w:rPr>
        <w:t xml:space="preserve">Roudot, A.-C. and Ferret, P.-J. (2018). Consumption and exposure assessment to sunscreen products: A key point for safety assessment. Food and Chemical Toxicology, [online] 114, pp.170–179. doi: </w:t>
      </w:r>
      <w:hyperlink r:id="rId113">
        <w:r w:rsidRPr="001D61F0">
          <w:rPr>
            <w:color w:val="0000FF"/>
            <w:spacing w:val="-2"/>
            <w:u w:val="single" w:color="0000FF"/>
          </w:rPr>
          <w:t>https://doi.org/10.1016/j.fct.2018.02.035</w:t>
        </w:r>
        <w:r w:rsidRPr="001D61F0">
          <w:rPr>
            <w:color w:val="232323"/>
            <w:spacing w:val="-2"/>
          </w:rPr>
          <w:t>.</w:t>
        </w:r>
      </w:hyperlink>
    </w:p>
    <w:p w14:paraId="187A4444" w14:textId="77777777" w:rsidR="00FE12C3" w:rsidRPr="001D61F0" w:rsidRDefault="00FE12C3" w:rsidP="00FE12C3">
      <w:pPr>
        <w:pStyle w:val="BodyText"/>
        <w:spacing w:before="121" w:line="259" w:lineRule="auto"/>
        <w:ind w:right="535"/>
      </w:pPr>
      <w:r w:rsidRPr="001D61F0">
        <w:rPr>
          <w:color w:val="232323"/>
        </w:rPr>
        <w:t>Gordon, L., Olsen, C., Whiteman, D.C., Elliott, T.M., Janda, M. and Green, A. (2020). Prevention versus early detection for long-term control of melanoma and keratinocyte carcinomas: a cost- effectiveness</w:t>
      </w:r>
      <w:r w:rsidRPr="001D61F0">
        <w:rPr>
          <w:color w:val="232323"/>
          <w:spacing w:val="-5"/>
        </w:rPr>
        <w:t xml:space="preserve"> </w:t>
      </w:r>
      <w:r w:rsidRPr="001D61F0">
        <w:rPr>
          <w:color w:val="232323"/>
        </w:rPr>
        <w:t>modelling</w:t>
      </w:r>
      <w:r w:rsidRPr="001D61F0">
        <w:rPr>
          <w:color w:val="232323"/>
          <w:spacing w:val="-6"/>
        </w:rPr>
        <w:t xml:space="preserve"> </w:t>
      </w:r>
      <w:r w:rsidRPr="001D61F0">
        <w:rPr>
          <w:color w:val="232323"/>
        </w:rPr>
        <w:t>study.</w:t>
      </w:r>
      <w:r w:rsidRPr="001D61F0">
        <w:rPr>
          <w:color w:val="232323"/>
          <w:spacing w:val="-6"/>
        </w:rPr>
        <w:t xml:space="preserve"> </w:t>
      </w:r>
      <w:r w:rsidRPr="001D61F0">
        <w:rPr>
          <w:color w:val="232323"/>
        </w:rPr>
        <w:t>BMJ</w:t>
      </w:r>
      <w:r w:rsidRPr="001D61F0">
        <w:rPr>
          <w:color w:val="232323"/>
          <w:spacing w:val="-5"/>
        </w:rPr>
        <w:t xml:space="preserve"> </w:t>
      </w:r>
      <w:r w:rsidRPr="001D61F0">
        <w:rPr>
          <w:color w:val="232323"/>
        </w:rPr>
        <w:t>Open,</w:t>
      </w:r>
      <w:r w:rsidRPr="001D61F0">
        <w:rPr>
          <w:color w:val="232323"/>
          <w:spacing w:val="-4"/>
        </w:rPr>
        <w:t xml:space="preserve"> </w:t>
      </w:r>
      <w:r w:rsidRPr="001D61F0">
        <w:rPr>
          <w:color w:val="232323"/>
        </w:rPr>
        <w:t>10(2),</w:t>
      </w:r>
      <w:r w:rsidRPr="001D61F0">
        <w:rPr>
          <w:color w:val="232323"/>
          <w:spacing w:val="-4"/>
        </w:rPr>
        <w:t xml:space="preserve"> </w:t>
      </w:r>
      <w:r w:rsidRPr="001D61F0">
        <w:rPr>
          <w:color w:val="232323"/>
        </w:rPr>
        <w:t>p.e034388.</w:t>
      </w:r>
      <w:r w:rsidRPr="001D61F0">
        <w:rPr>
          <w:color w:val="232323"/>
          <w:spacing w:val="-6"/>
        </w:rPr>
        <w:t xml:space="preserve"> </w:t>
      </w:r>
      <w:r w:rsidRPr="001D61F0">
        <w:rPr>
          <w:color w:val="232323"/>
        </w:rPr>
        <w:t>doi:</w:t>
      </w:r>
      <w:r w:rsidRPr="001D61F0">
        <w:rPr>
          <w:color w:val="232323"/>
          <w:spacing w:val="-3"/>
        </w:rPr>
        <w:t xml:space="preserve"> </w:t>
      </w:r>
      <w:hyperlink r:id="rId114">
        <w:r w:rsidRPr="001D61F0">
          <w:rPr>
            <w:color w:val="0000FF"/>
            <w:u w:val="single" w:color="0000FF"/>
          </w:rPr>
          <w:t>https://doi.org/10.1136/bmjopen-</w:t>
        </w:r>
      </w:hyperlink>
      <w:r w:rsidRPr="001D61F0">
        <w:rPr>
          <w:color w:val="0000FF"/>
        </w:rPr>
        <w:t xml:space="preserve"> </w:t>
      </w:r>
      <w:hyperlink r:id="rId115">
        <w:r w:rsidRPr="001D61F0">
          <w:rPr>
            <w:color w:val="0000FF"/>
            <w:spacing w:val="-2"/>
            <w:u w:val="single" w:color="0000FF"/>
          </w:rPr>
          <w:t>2019-034388</w:t>
        </w:r>
        <w:r w:rsidRPr="001D61F0">
          <w:rPr>
            <w:color w:val="232323"/>
            <w:spacing w:val="-2"/>
          </w:rPr>
          <w:t>.</w:t>
        </w:r>
      </w:hyperlink>
    </w:p>
    <w:p w14:paraId="25999170" w14:textId="77777777" w:rsidR="00FE12C3" w:rsidRPr="001D61F0" w:rsidRDefault="00FE12C3" w:rsidP="00FE12C3">
      <w:pPr>
        <w:pStyle w:val="BodyText"/>
        <w:spacing w:before="120" w:line="259" w:lineRule="auto"/>
        <w:ind w:right="161"/>
      </w:pPr>
      <w:r w:rsidRPr="001D61F0">
        <w:rPr>
          <w:color w:val="232323"/>
        </w:rPr>
        <w:t>Gordon,</w:t>
      </w:r>
      <w:r w:rsidRPr="001D61F0">
        <w:rPr>
          <w:color w:val="232323"/>
          <w:spacing w:val="-2"/>
        </w:rPr>
        <w:t xml:space="preserve"> </w:t>
      </w:r>
      <w:r w:rsidRPr="001D61F0">
        <w:rPr>
          <w:color w:val="232323"/>
        </w:rPr>
        <w:t>L.G.,</w:t>
      </w:r>
      <w:r w:rsidRPr="001D61F0">
        <w:rPr>
          <w:color w:val="232323"/>
          <w:spacing w:val="-2"/>
        </w:rPr>
        <w:t xml:space="preserve"> </w:t>
      </w:r>
      <w:r w:rsidRPr="001D61F0">
        <w:rPr>
          <w:color w:val="232323"/>
        </w:rPr>
        <w:t>Scuffham,</w:t>
      </w:r>
      <w:r w:rsidRPr="001D61F0">
        <w:rPr>
          <w:color w:val="232323"/>
          <w:spacing w:val="-2"/>
        </w:rPr>
        <w:t xml:space="preserve"> </w:t>
      </w:r>
      <w:r w:rsidRPr="001D61F0">
        <w:rPr>
          <w:color w:val="232323"/>
        </w:rPr>
        <w:t>P.A.,</w:t>
      </w:r>
      <w:r w:rsidRPr="001D61F0">
        <w:rPr>
          <w:color w:val="232323"/>
          <w:spacing w:val="-4"/>
        </w:rPr>
        <w:t xml:space="preserve"> </w:t>
      </w:r>
      <w:r w:rsidRPr="001D61F0">
        <w:rPr>
          <w:color w:val="232323"/>
        </w:rPr>
        <w:t>van</w:t>
      </w:r>
      <w:r w:rsidRPr="001D61F0">
        <w:rPr>
          <w:color w:val="232323"/>
          <w:spacing w:val="-2"/>
        </w:rPr>
        <w:t xml:space="preserve"> </w:t>
      </w:r>
      <w:r w:rsidRPr="001D61F0">
        <w:rPr>
          <w:color w:val="232323"/>
        </w:rPr>
        <w:t>der</w:t>
      </w:r>
      <w:r w:rsidRPr="001D61F0">
        <w:rPr>
          <w:color w:val="232323"/>
          <w:spacing w:val="-1"/>
        </w:rPr>
        <w:t xml:space="preserve"> </w:t>
      </w:r>
      <w:r w:rsidRPr="001D61F0">
        <w:rPr>
          <w:color w:val="232323"/>
        </w:rPr>
        <w:t>Pols,</w:t>
      </w:r>
      <w:r w:rsidRPr="001D61F0">
        <w:rPr>
          <w:color w:val="232323"/>
          <w:spacing w:val="-4"/>
        </w:rPr>
        <w:t xml:space="preserve"> </w:t>
      </w:r>
      <w:r w:rsidRPr="001D61F0">
        <w:rPr>
          <w:color w:val="232323"/>
        </w:rPr>
        <w:t>J.C.,</w:t>
      </w:r>
      <w:r w:rsidRPr="001D61F0">
        <w:rPr>
          <w:color w:val="232323"/>
          <w:spacing w:val="-2"/>
        </w:rPr>
        <w:t xml:space="preserve"> </w:t>
      </w:r>
      <w:r w:rsidRPr="001D61F0">
        <w:rPr>
          <w:color w:val="232323"/>
        </w:rPr>
        <w:t>McBride,</w:t>
      </w:r>
      <w:r w:rsidRPr="001D61F0">
        <w:rPr>
          <w:color w:val="232323"/>
          <w:spacing w:val="-2"/>
        </w:rPr>
        <w:t xml:space="preserve"> </w:t>
      </w:r>
      <w:r w:rsidRPr="001D61F0">
        <w:rPr>
          <w:color w:val="232323"/>
        </w:rPr>
        <w:t>P.,</w:t>
      </w:r>
      <w:r w:rsidRPr="001D61F0">
        <w:rPr>
          <w:color w:val="232323"/>
          <w:spacing w:val="-2"/>
        </w:rPr>
        <w:t xml:space="preserve"> </w:t>
      </w:r>
      <w:r w:rsidRPr="001D61F0">
        <w:rPr>
          <w:color w:val="232323"/>
        </w:rPr>
        <w:t>Williams,</w:t>
      </w:r>
      <w:r w:rsidRPr="001D61F0">
        <w:rPr>
          <w:color w:val="232323"/>
          <w:spacing w:val="-4"/>
        </w:rPr>
        <w:t xml:space="preserve"> </w:t>
      </w:r>
      <w:r w:rsidRPr="001D61F0">
        <w:rPr>
          <w:color w:val="232323"/>
        </w:rPr>
        <w:t>G.M.</w:t>
      </w:r>
      <w:r w:rsidRPr="001D61F0">
        <w:rPr>
          <w:color w:val="232323"/>
          <w:spacing w:val="-2"/>
        </w:rPr>
        <w:t xml:space="preserve"> </w:t>
      </w:r>
      <w:r w:rsidRPr="001D61F0">
        <w:rPr>
          <w:color w:val="232323"/>
        </w:rPr>
        <w:t>and</w:t>
      </w:r>
      <w:r w:rsidRPr="001D61F0">
        <w:rPr>
          <w:color w:val="232323"/>
          <w:spacing w:val="-2"/>
        </w:rPr>
        <w:t xml:space="preserve"> </w:t>
      </w:r>
      <w:r w:rsidRPr="001D61F0">
        <w:rPr>
          <w:color w:val="232323"/>
        </w:rPr>
        <w:t>Green,</w:t>
      </w:r>
      <w:r w:rsidRPr="001D61F0">
        <w:rPr>
          <w:color w:val="232323"/>
          <w:spacing w:val="-2"/>
        </w:rPr>
        <w:t xml:space="preserve"> </w:t>
      </w:r>
      <w:r w:rsidRPr="001D61F0">
        <w:rPr>
          <w:color w:val="232323"/>
        </w:rPr>
        <w:t>A.C.</w:t>
      </w:r>
      <w:r w:rsidRPr="001D61F0">
        <w:rPr>
          <w:color w:val="232323"/>
          <w:spacing w:val="-4"/>
        </w:rPr>
        <w:t xml:space="preserve"> </w:t>
      </w:r>
      <w:r w:rsidRPr="001D61F0">
        <w:rPr>
          <w:color w:val="232323"/>
        </w:rPr>
        <w:t xml:space="preserve">(2009). Regular Sunscreen Use Is a Cost-Effective Approach to Skin Cancer Prevention in Subtropical Settings. Journal of Investigative Dermatology, 129(12), pp.2766–2771. doi: </w:t>
      </w:r>
      <w:hyperlink r:id="rId116">
        <w:r w:rsidRPr="001D61F0">
          <w:rPr>
            <w:color w:val="0000FF"/>
            <w:spacing w:val="-2"/>
            <w:u w:val="single" w:color="0000FF"/>
          </w:rPr>
          <w:t>https://doi.org/10.1038/jid.2009.141</w:t>
        </w:r>
        <w:r w:rsidRPr="001D61F0">
          <w:rPr>
            <w:color w:val="232323"/>
            <w:spacing w:val="-2"/>
          </w:rPr>
          <w:t>.</w:t>
        </w:r>
      </w:hyperlink>
    </w:p>
    <w:p w14:paraId="0F6D3A07" w14:textId="77777777" w:rsidR="00FE12C3" w:rsidRPr="001D61F0" w:rsidRDefault="00FE12C3" w:rsidP="00FE12C3">
      <w:pPr>
        <w:pStyle w:val="BodyText"/>
        <w:spacing w:before="117" w:line="259" w:lineRule="auto"/>
      </w:pPr>
      <w:r w:rsidRPr="001D61F0">
        <w:rPr>
          <w:color w:val="232323"/>
        </w:rPr>
        <w:t>Green, A.C., Williams, G.M., Logan, V. and Strutton, G.M. (2011). Reduced melanoma after regular sunscreen</w:t>
      </w:r>
      <w:r w:rsidRPr="001D61F0">
        <w:rPr>
          <w:color w:val="232323"/>
          <w:spacing w:val="-4"/>
        </w:rPr>
        <w:t xml:space="preserve"> </w:t>
      </w:r>
      <w:r w:rsidRPr="001D61F0">
        <w:rPr>
          <w:color w:val="232323"/>
        </w:rPr>
        <w:t>use:</w:t>
      </w:r>
      <w:r w:rsidRPr="001D61F0">
        <w:rPr>
          <w:color w:val="232323"/>
          <w:spacing w:val="-4"/>
        </w:rPr>
        <w:t xml:space="preserve"> </w:t>
      </w:r>
      <w:r w:rsidRPr="001D61F0">
        <w:rPr>
          <w:color w:val="232323"/>
        </w:rPr>
        <w:t>randomized</w:t>
      </w:r>
      <w:r w:rsidRPr="001D61F0">
        <w:rPr>
          <w:color w:val="232323"/>
          <w:spacing w:val="-4"/>
        </w:rPr>
        <w:t xml:space="preserve"> </w:t>
      </w:r>
      <w:r w:rsidRPr="001D61F0">
        <w:rPr>
          <w:color w:val="232323"/>
        </w:rPr>
        <w:t>trial</w:t>
      </w:r>
      <w:r w:rsidRPr="001D61F0">
        <w:rPr>
          <w:color w:val="232323"/>
          <w:spacing w:val="-5"/>
        </w:rPr>
        <w:t xml:space="preserve"> </w:t>
      </w:r>
      <w:r w:rsidRPr="001D61F0">
        <w:rPr>
          <w:color w:val="232323"/>
        </w:rPr>
        <w:t>follow-up.</w:t>
      </w:r>
      <w:r w:rsidRPr="001D61F0">
        <w:rPr>
          <w:color w:val="232323"/>
          <w:spacing w:val="-4"/>
        </w:rPr>
        <w:t xml:space="preserve"> </w:t>
      </w:r>
      <w:r w:rsidRPr="001D61F0">
        <w:rPr>
          <w:color w:val="232323"/>
        </w:rPr>
        <w:t>Journal</w:t>
      </w:r>
      <w:r w:rsidRPr="001D61F0">
        <w:rPr>
          <w:color w:val="232323"/>
          <w:spacing w:val="-3"/>
        </w:rPr>
        <w:t xml:space="preserve"> </w:t>
      </w:r>
      <w:r w:rsidRPr="001D61F0">
        <w:rPr>
          <w:color w:val="232323"/>
        </w:rPr>
        <w:t>of</w:t>
      </w:r>
      <w:r w:rsidRPr="001D61F0">
        <w:rPr>
          <w:color w:val="232323"/>
          <w:spacing w:val="-2"/>
        </w:rPr>
        <w:t xml:space="preserve"> </w:t>
      </w:r>
      <w:r w:rsidRPr="001D61F0">
        <w:rPr>
          <w:color w:val="232323"/>
        </w:rPr>
        <w:t>Clinical</w:t>
      </w:r>
      <w:r w:rsidRPr="001D61F0">
        <w:rPr>
          <w:color w:val="232323"/>
          <w:spacing w:val="-5"/>
        </w:rPr>
        <w:t xml:space="preserve"> </w:t>
      </w:r>
      <w:r w:rsidRPr="001D61F0">
        <w:rPr>
          <w:color w:val="232323"/>
        </w:rPr>
        <w:t>Oncology,</w:t>
      </w:r>
      <w:r w:rsidRPr="001D61F0">
        <w:rPr>
          <w:color w:val="232323"/>
          <w:spacing w:val="-4"/>
        </w:rPr>
        <w:t xml:space="preserve"> </w:t>
      </w:r>
      <w:r w:rsidRPr="001D61F0">
        <w:rPr>
          <w:color w:val="232323"/>
        </w:rPr>
        <w:t>[online]</w:t>
      </w:r>
      <w:r w:rsidRPr="001D61F0">
        <w:rPr>
          <w:color w:val="232323"/>
          <w:spacing w:val="-2"/>
        </w:rPr>
        <w:t xml:space="preserve"> </w:t>
      </w:r>
      <w:r w:rsidRPr="001D61F0">
        <w:rPr>
          <w:color w:val="232323"/>
        </w:rPr>
        <w:t>29(3),</w:t>
      </w:r>
      <w:r w:rsidRPr="001D61F0">
        <w:rPr>
          <w:color w:val="232323"/>
          <w:spacing w:val="-4"/>
        </w:rPr>
        <w:t xml:space="preserve"> </w:t>
      </w:r>
      <w:r w:rsidRPr="001D61F0">
        <w:rPr>
          <w:color w:val="232323"/>
        </w:rPr>
        <w:t>pp.257–63.</w:t>
      </w:r>
      <w:r w:rsidRPr="001D61F0">
        <w:rPr>
          <w:color w:val="232323"/>
          <w:spacing w:val="-4"/>
        </w:rPr>
        <w:t xml:space="preserve"> </w:t>
      </w:r>
      <w:r w:rsidRPr="001D61F0">
        <w:rPr>
          <w:color w:val="232323"/>
        </w:rPr>
        <w:t xml:space="preserve">doi: </w:t>
      </w:r>
      <w:hyperlink r:id="rId117">
        <w:r w:rsidRPr="001D61F0">
          <w:rPr>
            <w:color w:val="0000FF"/>
            <w:spacing w:val="-2"/>
            <w:u w:val="single" w:color="0000FF"/>
          </w:rPr>
          <w:t>https://doi.org/10.1200/JCO.2010.28.7078</w:t>
        </w:r>
        <w:r w:rsidRPr="001D61F0">
          <w:rPr>
            <w:color w:val="232323"/>
            <w:spacing w:val="-2"/>
          </w:rPr>
          <w:t>.</w:t>
        </w:r>
      </w:hyperlink>
    </w:p>
    <w:p w14:paraId="6C57C4D4" w14:textId="77777777" w:rsidR="00FE12C3" w:rsidRPr="001D61F0" w:rsidRDefault="00FE12C3" w:rsidP="00FE12C3">
      <w:pPr>
        <w:pStyle w:val="BodyText"/>
        <w:spacing w:before="119" w:line="261" w:lineRule="auto"/>
        <w:ind w:right="183"/>
      </w:pPr>
      <w:r w:rsidRPr="001D61F0">
        <w:rPr>
          <w:color w:val="232323"/>
        </w:rPr>
        <w:t>Hunkin, H. and Morris, J. (2020). A decade of sun protection in Australian early-childhood services: analysis</w:t>
      </w:r>
      <w:r w:rsidRPr="001D61F0">
        <w:rPr>
          <w:color w:val="232323"/>
          <w:spacing w:val="-3"/>
        </w:rPr>
        <w:t xml:space="preserve"> </w:t>
      </w:r>
      <w:r w:rsidRPr="001D61F0">
        <w:rPr>
          <w:color w:val="232323"/>
        </w:rPr>
        <w:t>of</w:t>
      </w:r>
      <w:r w:rsidRPr="001D61F0">
        <w:rPr>
          <w:color w:val="232323"/>
          <w:spacing w:val="-4"/>
        </w:rPr>
        <w:t xml:space="preserve"> </w:t>
      </w:r>
      <w:r w:rsidRPr="001D61F0">
        <w:rPr>
          <w:color w:val="232323"/>
        </w:rPr>
        <w:t>cross-sectional</w:t>
      </w:r>
      <w:r w:rsidRPr="001D61F0">
        <w:rPr>
          <w:color w:val="232323"/>
          <w:spacing w:val="-3"/>
        </w:rPr>
        <w:t xml:space="preserve"> </w:t>
      </w:r>
      <w:r w:rsidRPr="001D61F0">
        <w:rPr>
          <w:color w:val="232323"/>
        </w:rPr>
        <w:t>and</w:t>
      </w:r>
      <w:r w:rsidRPr="001D61F0">
        <w:rPr>
          <w:color w:val="232323"/>
          <w:spacing w:val="-4"/>
        </w:rPr>
        <w:t xml:space="preserve"> </w:t>
      </w:r>
      <w:r w:rsidRPr="001D61F0">
        <w:rPr>
          <w:color w:val="232323"/>
        </w:rPr>
        <w:t>repeated-measures</w:t>
      </w:r>
      <w:r w:rsidRPr="001D61F0">
        <w:rPr>
          <w:color w:val="232323"/>
          <w:spacing w:val="-3"/>
        </w:rPr>
        <w:t xml:space="preserve"> </w:t>
      </w:r>
      <w:r w:rsidRPr="001D61F0">
        <w:rPr>
          <w:color w:val="232323"/>
        </w:rPr>
        <w:t>data.</w:t>
      </w:r>
      <w:r w:rsidRPr="001D61F0">
        <w:rPr>
          <w:color w:val="232323"/>
          <w:spacing w:val="-4"/>
        </w:rPr>
        <w:t xml:space="preserve"> </w:t>
      </w:r>
      <w:r w:rsidRPr="001D61F0">
        <w:rPr>
          <w:color w:val="232323"/>
        </w:rPr>
        <w:t>Health</w:t>
      </w:r>
      <w:r w:rsidRPr="001D61F0">
        <w:rPr>
          <w:color w:val="232323"/>
          <w:spacing w:val="-4"/>
        </w:rPr>
        <w:t xml:space="preserve"> </w:t>
      </w:r>
      <w:r w:rsidRPr="001D61F0">
        <w:rPr>
          <w:color w:val="232323"/>
        </w:rPr>
        <w:t>Education</w:t>
      </w:r>
      <w:r w:rsidRPr="001D61F0">
        <w:rPr>
          <w:color w:val="232323"/>
          <w:spacing w:val="-4"/>
        </w:rPr>
        <w:t xml:space="preserve"> </w:t>
      </w:r>
      <w:r w:rsidRPr="001D61F0">
        <w:rPr>
          <w:color w:val="232323"/>
        </w:rPr>
        <w:t>Research,</w:t>
      </w:r>
      <w:r w:rsidRPr="001D61F0">
        <w:rPr>
          <w:color w:val="232323"/>
          <w:spacing w:val="-4"/>
        </w:rPr>
        <w:t xml:space="preserve"> </w:t>
      </w:r>
      <w:r w:rsidRPr="001D61F0">
        <w:rPr>
          <w:color w:val="232323"/>
        </w:rPr>
        <w:t>35(2),</w:t>
      </w:r>
      <w:r w:rsidRPr="001D61F0">
        <w:rPr>
          <w:color w:val="232323"/>
          <w:spacing w:val="-4"/>
        </w:rPr>
        <w:t xml:space="preserve"> </w:t>
      </w:r>
      <w:r w:rsidRPr="001D61F0">
        <w:rPr>
          <w:color w:val="232323"/>
        </w:rPr>
        <w:t>pp.99–</w:t>
      </w:r>
    </w:p>
    <w:p w14:paraId="7E26F23F" w14:textId="77777777" w:rsidR="00FE12C3" w:rsidRPr="001D61F0" w:rsidRDefault="00FE12C3" w:rsidP="00FE12C3">
      <w:pPr>
        <w:pStyle w:val="BodyText"/>
        <w:spacing w:line="225" w:lineRule="exact"/>
      </w:pPr>
      <w:r w:rsidRPr="001D61F0">
        <w:rPr>
          <w:color w:val="232323"/>
        </w:rPr>
        <w:t>109.</w:t>
      </w:r>
      <w:r w:rsidRPr="001D61F0">
        <w:rPr>
          <w:color w:val="232323"/>
          <w:spacing w:val="-5"/>
        </w:rPr>
        <w:t xml:space="preserve"> </w:t>
      </w:r>
      <w:r w:rsidRPr="001D61F0">
        <w:rPr>
          <w:color w:val="232323"/>
        </w:rPr>
        <w:t>doi:</w:t>
      </w:r>
      <w:r w:rsidRPr="001D61F0">
        <w:rPr>
          <w:color w:val="232323"/>
          <w:spacing w:val="-7"/>
        </w:rPr>
        <w:t xml:space="preserve"> </w:t>
      </w:r>
      <w:hyperlink r:id="rId118">
        <w:r w:rsidRPr="001D61F0">
          <w:rPr>
            <w:color w:val="0000FF"/>
            <w:spacing w:val="-2"/>
            <w:u w:val="single" w:color="0000FF"/>
          </w:rPr>
          <w:t>https://doi.org/10.1093/her/cyaa005</w:t>
        </w:r>
        <w:r w:rsidRPr="001D61F0">
          <w:rPr>
            <w:color w:val="232323"/>
            <w:spacing w:val="-2"/>
          </w:rPr>
          <w:t>.</w:t>
        </w:r>
      </w:hyperlink>
    </w:p>
    <w:p w14:paraId="37285732" w14:textId="77777777" w:rsidR="00FE12C3" w:rsidRPr="001D61F0" w:rsidRDefault="00FE12C3" w:rsidP="00FE12C3">
      <w:pPr>
        <w:pStyle w:val="BodyText"/>
        <w:spacing w:before="140" w:line="256" w:lineRule="auto"/>
      </w:pPr>
      <w:r w:rsidRPr="001D61F0">
        <w:rPr>
          <w:color w:val="232323"/>
        </w:rPr>
        <w:t>International Agency for Research on Cancer – IARC (1992). IARC Monographs on the Evaluation of Carcinogenic</w:t>
      </w:r>
      <w:r w:rsidRPr="001D61F0">
        <w:rPr>
          <w:color w:val="232323"/>
          <w:spacing w:val="-5"/>
        </w:rPr>
        <w:t xml:space="preserve"> </w:t>
      </w:r>
      <w:r w:rsidRPr="001D61F0">
        <w:rPr>
          <w:color w:val="232323"/>
        </w:rPr>
        <w:t>Risks</w:t>
      </w:r>
      <w:r w:rsidRPr="001D61F0">
        <w:rPr>
          <w:color w:val="232323"/>
          <w:spacing w:val="-5"/>
        </w:rPr>
        <w:t xml:space="preserve"> </w:t>
      </w:r>
      <w:r w:rsidRPr="001D61F0">
        <w:rPr>
          <w:color w:val="232323"/>
        </w:rPr>
        <w:t>to</w:t>
      </w:r>
      <w:r w:rsidRPr="001D61F0">
        <w:rPr>
          <w:color w:val="232323"/>
          <w:spacing w:val="-6"/>
        </w:rPr>
        <w:t xml:space="preserve"> </w:t>
      </w:r>
      <w:r w:rsidRPr="001D61F0">
        <w:rPr>
          <w:color w:val="232323"/>
        </w:rPr>
        <w:t>Humans.</w:t>
      </w:r>
      <w:r w:rsidRPr="001D61F0">
        <w:rPr>
          <w:color w:val="232323"/>
          <w:spacing w:val="-6"/>
        </w:rPr>
        <w:t xml:space="preserve"> </w:t>
      </w:r>
      <w:r w:rsidRPr="001D61F0">
        <w:rPr>
          <w:color w:val="232323"/>
        </w:rPr>
        <w:t>[online]</w:t>
      </w:r>
      <w:r w:rsidRPr="001D61F0">
        <w:rPr>
          <w:color w:val="232323"/>
          <w:spacing w:val="-4"/>
        </w:rPr>
        <w:t xml:space="preserve"> </w:t>
      </w:r>
      <w:r w:rsidRPr="001D61F0">
        <w:rPr>
          <w:color w:val="232323"/>
        </w:rPr>
        <w:t>Available</w:t>
      </w:r>
      <w:r w:rsidRPr="001D61F0">
        <w:rPr>
          <w:color w:val="232323"/>
          <w:spacing w:val="-6"/>
        </w:rPr>
        <w:t xml:space="preserve"> </w:t>
      </w:r>
      <w:r w:rsidRPr="001D61F0">
        <w:rPr>
          <w:color w:val="232323"/>
        </w:rPr>
        <w:t>at:</w:t>
      </w:r>
      <w:r w:rsidRPr="001D61F0">
        <w:rPr>
          <w:color w:val="232323"/>
          <w:spacing w:val="-6"/>
        </w:rPr>
        <w:t xml:space="preserve"> </w:t>
      </w:r>
      <w:hyperlink r:id="rId119">
        <w:r w:rsidRPr="001D61F0">
          <w:rPr>
            <w:color w:val="0000FF"/>
            <w:u w:val="single" w:color="0000FF"/>
          </w:rPr>
          <w:t>https://www.ncbi.nlm.nih.gov/books/NBK401588/</w:t>
        </w:r>
        <w:r w:rsidRPr="001D61F0">
          <w:rPr>
            <w:color w:val="232323"/>
          </w:rPr>
          <w:t>.</w:t>
        </w:r>
      </w:hyperlink>
      <w:r w:rsidRPr="001D61F0">
        <w:rPr>
          <w:color w:val="232323"/>
        </w:rPr>
        <w:t xml:space="preserve"> [Accessed on 20 June 2024].</w:t>
      </w:r>
    </w:p>
    <w:p w14:paraId="21A5D9D4" w14:textId="77777777" w:rsidR="00FE12C3" w:rsidRPr="00B25A37" w:rsidRDefault="00FE12C3" w:rsidP="00FE12C3">
      <w:pPr>
        <w:pStyle w:val="BodyText"/>
        <w:spacing w:before="126" w:line="256" w:lineRule="auto"/>
        <w:ind w:right="183"/>
      </w:pPr>
      <w:r w:rsidRPr="00B25A37">
        <w:rPr>
          <w:color w:val="232323"/>
        </w:rPr>
        <w:t>International</w:t>
      </w:r>
      <w:r w:rsidRPr="00B25A37">
        <w:rPr>
          <w:color w:val="232323"/>
          <w:spacing w:val="-5"/>
        </w:rPr>
        <w:t xml:space="preserve"> </w:t>
      </w:r>
      <w:r w:rsidRPr="00B25A37">
        <w:rPr>
          <w:color w:val="232323"/>
        </w:rPr>
        <w:t>Agency</w:t>
      </w:r>
      <w:r w:rsidRPr="00B25A37">
        <w:rPr>
          <w:color w:val="232323"/>
          <w:spacing w:val="-3"/>
        </w:rPr>
        <w:t xml:space="preserve"> </w:t>
      </w:r>
      <w:r w:rsidRPr="00B25A37">
        <w:rPr>
          <w:color w:val="232323"/>
        </w:rPr>
        <w:t>for</w:t>
      </w:r>
      <w:r w:rsidRPr="00B25A37">
        <w:rPr>
          <w:color w:val="232323"/>
          <w:spacing w:val="-1"/>
        </w:rPr>
        <w:t xml:space="preserve"> </w:t>
      </w:r>
      <w:r w:rsidRPr="00B25A37">
        <w:rPr>
          <w:color w:val="232323"/>
        </w:rPr>
        <w:t>Research</w:t>
      </w:r>
      <w:r w:rsidRPr="00B25A37">
        <w:rPr>
          <w:color w:val="232323"/>
          <w:spacing w:val="-4"/>
        </w:rPr>
        <w:t xml:space="preserve"> </w:t>
      </w:r>
      <w:r w:rsidRPr="00B25A37">
        <w:rPr>
          <w:color w:val="232323"/>
        </w:rPr>
        <w:t>on</w:t>
      </w:r>
      <w:r w:rsidRPr="00B25A37">
        <w:rPr>
          <w:color w:val="232323"/>
          <w:spacing w:val="-4"/>
        </w:rPr>
        <w:t xml:space="preserve"> </w:t>
      </w:r>
      <w:r w:rsidRPr="00B25A37">
        <w:rPr>
          <w:color w:val="232323"/>
        </w:rPr>
        <w:t>Cancer</w:t>
      </w:r>
      <w:r w:rsidRPr="00B25A37">
        <w:rPr>
          <w:color w:val="232323"/>
          <w:spacing w:val="-3"/>
        </w:rPr>
        <w:t xml:space="preserve"> </w:t>
      </w:r>
      <w:r w:rsidRPr="00B25A37">
        <w:rPr>
          <w:color w:val="232323"/>
        </w:rPr>
        <w:t>–</w:t>
      </w:r>
      <w:r w:rsidRPr="00B25A37">
        <w:rPr>
          <w:color w:val="232323"/>
          <w:spacing w:val="-2"/>
        </w:rPr>
        <w:t xml:space="preserve"> </w:t>
      </w:r>
      <w:r w:rsidRPr="00B25A37">
        <w:rPr>
          <w:color w:val="232323"/>
        </w:rPr>
        <w:t>IARC</w:t>
      </w:r>
      <w:r w:rsidRPr="00B25A37">
        <w:rPr>
          <w:color w:val="232323"/>
          <w:spacing w:val="-4"/>
        </w:rPr>
        <w:t xml:space="preserve"> </w:t>
      </w:r>
      <w:r w:rsidRPr="00B25A37">
        <w:rPr>
          <w:color w:val="232323"/>
        </w:rPr>
        <w:t>(2024a).</w:t>
      </w:r>
      <w:r w:rsidRPr="00B25A37">
        <w:rPr>
          <w:color w:val="232323"/>
          <w:spacing w:val="-4"/>
        </w:rPr>
        <w:t xml:space="preserve"> </w:t>
      </w:r>
      <w:r w:rsidRPr="00B25A37">
        <w:rPr>
          <w:color w:val="232323"/>
        </w:rPr>
        <w:t>CANCER</w:t>
      </w:r>
      <w:r w:rsidRPr="00B25A37">
        <w:rPr>
          <w:color w:val="232323"/>
          <w:spacing w:val="-4"/>
        </w:rPr>
        <w:t xml:space="preserve"> </w:t>
      </w:r>
      <w:r w:rsidRPr="00B25A37">
        <w:rPr>
          <w:color w:val="232323"/>
        </w:rPr>
        <w:t>TODAY</w:t>
      </w:r>
      <w:r w:rsidRPr="00B25A37">
        <w:rPr>
          <w:color w:val="232323"/>
          <w:spacing w:val="-5"/>
        </w:rPr>
        <w:t xml:space="preserve"> </w:t>
      </w:r>
      <w:r w:rsidRPr="00B25A37">
        <w:rPr>
          <w:color w:val="232323"/>
        </w:rPr>
        <w:t>-</w:t>
      </w:r>
      <w:r w:rsidRPr="00B25A37">
        <w:rPr>
          <w:color w:val="232323"/>
          <w:spacing w:val="-1"/>
        </w:rPr>
        <w:t xml:space="preserve"> </w:t>
      </w:r>
      <w:r w:rsidRPr="00B25A37">
        <w:rPr>
          <w:color w:val="232323"/>
        </w:rPr>
        <w:t>About.</w:t>
      </w:r>
      <w:r w:rsidRPr="00B25A37">
        <w:rPr>
          <w:color w:val="232323"/>
          <w:spacing w:val="-4"/>
        </w:rPr>
        <w:t xml:space="preserve"> </w:t>
      </w:r>
      <w:r w:rsidRPr="00B25A37">
        <w:rPr>
          <w:color w:val="232323"/>
        </w:rPr>
        <w:t xml:space="preserve">[online] Available at: </w:t>
      </w:r>
      <w:hyperlink r:id="rId120" w:anchor="about-csu">
        <w:r w:rsidRPr="00B25A37">
          <w:rPr>
            <w:color w:val="0000FF"/>
            <w:u w:val="single" w:color="0000FF"/>
          </w:rPr>
          <w:t>https://gco.iarc.fr/today/en/about#about-csu</w:t>
        </w:r>
        <w:r w:rsidRPr="00B25A37">
          <w:rPr>
            <w:color w:val="232323"/>
          </w:rPr>
          <w:t>.</w:t>
        </w:r>
      </w:hyperlink>
      <w:r w:rsidRPr="00B25A37">
        <w:rPr>
          <w:color w:val="232323"/>
        </w:rPr>
        <w:t xml:space="preserve"> [Accessed on 20 June 2024].</w:t>
      </w:r>
    </w:p>
    <w:p w14:paraId="72A26A7C" w14:textId="77777777" w:rsidR="00FE12C3" w:rsidRPr="001D61F0" w:rsidRDefault="00FE12C3" w:rsidP="00FE12C3">
      <w:pPr>
        <w:pStyle w:val="BodyText"/>
        <w:spacing w:before="124" w:line="256" w:lineRule="auto"/>
      </w:pPr>
      <w:r w:rsidRPr="001D61F0">
        <w:rPr>
          <w:color w:val="232323"/>
        </w:rPr>
        <w:t>International Agency for Research on Cancer – IARC (2024b). CANCER TODAY - DATAVIZ. [online] Available</w:t>
      </w:r>
      <w:r w:rsidRPr="001D61F0">
        <w:rPr>
          <w:color w:val="232323"/>
          <w:spacing w:val="-14"/>
        </w:rPr>
        <w:t xml:space="preserve"> </w:t>
      </w:r>
      <w:r w:rsidRPr="001D61F0">
        <w:rPr>
          <w:color w:val="232323"/>
        </w:rPr>
        <w:t>at:</w:t>
      </w:r>
      <w:r w:rsidRPr="001D61F0">
        <w:rPr>
          <w:color w:val="232323"/>
          <w:spacing w:val="-14"/>
        </w:rPr>
        <w:t xml:space="preserve"> </w:t>
      </w:r>
      <w:hyperlink r:id="rId121">
        <w:r w:rsidRPr="001D61F0">
          <w:rPr>
            <w:color w:val="0000FF"/>
            <w:u w:val="single" w:color="0000FF"/>
          </w:rPr>
          <w:t>https://gco.iarc.fr/today/en/dataviz/maps-heatmap?mode=population&amp;cancers=17&amp;sexes</w:t>
        </w:r>
      </w:hyperlink>
    </w:p>
    <w:p w14:paraId="5BDC1A65" w14:textId="77777777" w:rsidR="00FE12C3" w:rsidRPr="001D61F0" w:rsidRDefault="00ED32F1" w:rsidP="00FE12C3">
      <w:pPr>
        <w:pStyle w:val="BodyText"/>
        <w:spacing w:before="5"/>
      </w:pPr>
      <w:hyperlink r:id="rId122">
        <w:r w:rsidR="00FE12C3" w:rsidRPr="001D61F0">
          <w:rPr>
            <w:color w:val="0000FF"/>
            <w:u w:val="single" w:color="0000FF"/>
          </w:rPr>
          <w:t>=0</w:t>
        </w:r>
        <w:r w:rsidR="00FE12C3" w:rsidRPr="001D61F0">
          <w:rPr>
            <w:color w:val="232323"/>
          </w:rPr>
          <w:t>.</w:t>
        </w:r>
      </w:hyperlink>
      <w:r w:rsidR="00FE12C3" w:rsidRPr="001D61F0">
        <w:rPr>
          <w:color w:val="232323"/>
          <w:spacing w:val="-5"/>
        </w:rPr>
        <w:t xml:space="preserve"> </w:t>
      </w:r>
      <w:r w:rsidR="00FE12C3" w:rsidRPr="001D61F0">
        <w:rPr>
          <w:color w:val="232323"/>
        </w:rPr>
        <w:t>[Accessed</w:t>
      </w:r>
      <w:r w:rsidR="00FE12C3" w:rsidRPr="001D61F0">
        <w:rPr>
          <w:color w:val="232323"/>
          <w:spacing w:val="-5"/>
        </w:rPr>
        <w:t xml:space="preserve"> </w:t>
      </w:r>
      <w:r w:rsidR="00FE12C3" w:rsidRPr="001D61F0">
        <w:rPr>
          <w:color w:val="232323"/>
        </w:rPr>
        <w:t>on</w:t>
      </w:r>
      <w:r w:rsidR="00FE12C3" w:rsidRPr="001D61F0">
        <w:rPr>
          <w:color w:val="232323"/>
          <w:spacing w:val="-4"/>
        </w:rPr>
        <w:t xml:space="preserve"> </w:t>
      </w:r>
      <w:r w:rsidR="00FE12C3" w:rsidRPr="001D61F0">
        <w:rPr>
          <w:color w:val="232323"/>
        </w:rPr>
        <w:t>20</w:t>
      </w:r>
      <w:r w:rsidR="00FE12C3" w:rsidRPr="001D61F0">
        <w:rPr>
          <w:color w:val="232323"/>
          <w:spacing w:val="-5"/>
        </w:rPr>
        <w:t xml:space="preserve"> </w:t>
      </w:r>
      <w:r w:rsidR="00FE12C3" w:rsidRPr="001D61F0">
        <w:rPr>
          <w:color w:val="232323"/>
        </w:rPr>
        <w:t>June</w:t>
      </w:r>
      <w:r w:rsidR="00FE12C3" w:rsidRPr="001D61F0">
        <w:rPr>
          <w:color w:val="232323"/>
          <w:spacing w:val="1"/>
        </w:rPr>
        <w:t xml:space="preserve"> </w:t>
      </w:r>
      <w:r w:rsidR="00FE12C3" w:rsidRPr="001D61F0">
        <w:rPr>
          <w:color w:val="232323"/>
          <w:spacing w:val="-2"/>
        </w:rPr>
        <w:t>2024].</w:t>
      </w:r>
    </w:p>
    <w:p w14:paraId="25ED7E91" w14:textId="77777777" w:rsidR="00FE12C3" w:rsidRPr="001D61F0" w:rsidRDefault="00FE12C3" w:rsidP="00FE12C3">
      <w:pPr>
        <w:pStyle w:val="BodyText"/>
        <w:spacing w:before="137" w:line="256" w:lineRule="auto"/>
        <w:ind w:right="314"/>
      </w:pPr>
      <w:r w:rsidRPr="001D61F0">
        <w:t xml:space="preserve">Melanoma Institute Australia (n.d.). Sunscreen FAQs. [online] Available at: </w:t>
      </w:r>
      <w:hyperlink r:id="rId123">
        <w:r w:rsidRPr="001D61F0">
          <w:rPr>
            <w:color w:val="0000FF"/>
            <w:u w:val="single" w:color="0000FF"/>
          </w:rPr>
          <w:t>https://melanoma.org.au/about-melanoma/how-to-prevent-melanoma/sunscreen-faqs/</w:t>
        </w:r>
        <w:r w:rsidRPr="001D61F0">
          <w:t>.</w:t>
        </w:r>
      </w:hyperlink>
      <w:r w:rsidRPr="001D61F0">
        <w:rPr>
          <w:spacing w:val="-14"/>
        </w:rPr>
        <w:t xml:space="preserve"> </w:t>
      </w:r>
      <w:r w:rsidRPr="001D61F0">
        <w:t>[Accessed</w:t>
      </w:r>
      <w:r w:rsidRPr="001D61F0">
        <w:rPr>
          <w:spacing w:val="-14"/>
        </w:rPr>
        <w:t xml:space="preserve"> </w:t>
      </w:r>
      <w:r w:rsidRPr="001D61F0">
        <w:t>20</w:t>
      </w:r>
    </w:p>
    <w:p w14:paraId="231D4D68" w14:textId="77777777" w:rsidR="00FE12C3" w:rsidRPr="001D61F0" w:rsidRDefault="00FE12C3" w:rsidP="00FE12C3">
      <w:pPr>
        <w:pStyle w:val="BodyText"/>
        <w:spacing w:before="5"/>
      </w:pPr>
      <w:r w:rsidRPr="001D61F0">
        <w:t>June</w:t>
      </w:r>
      <w:r w:rsidRPr="001D61F0">
        <w:rPr>
          <w:spacing w:val="-7"/>
        </w:rPr>
        <w:t xml:space="preserve"> </w:t>
      </w:r>
      <w:r w:rsidRPr="001D61F0">
        <w:rPr>
          <w:spacing w:val="-2"/>
        </w:rPr>
        <w:t>2024].</w:t>
      </w:r>
    </w:p>
    <w:p w14:paraId="362F4242" w14:textId="77777777" w:rsidR="00FE12C3" w:rsidRPr="001D61F0" w:rsidRDefault="00FE12C3" w:rsidP="00FE12C3">
      <w:pPr>
        <w:pStyle w:val="BodyText"/>
        <w:spacing w:before="137" w:line="259" w:lineRule="auto"/>
      </w:pPr>
      <w:r w:rsidRPr="001D61F0">
        <w:rPr>
          <w:color w:val="232323"/>
        </w:rPr>
        <w:t>Morton,</w:t>
      </w:r>
      <w:r w:rsidRPr="001D61F0">
        <w:rPr>
          <w:color w:val="232323"/>
          <w:spacing w:val="-4"/>
        </w:rPr>
        <w:t xml:space="preserve"> </w:t>
      </w:r>
      <w:r w:rsidRPr="001D61F0">
        <w:rPr>
          <w:color w:val="232323"/>
        </w:rPr>
        <w:t>S.K.</w:t>
      </w:r>
      <w:r w:rsidRPr="001D61F0">
        <w:rPr>
          <w:color w:val="232323"/>
          <w:spacing w:val="-2"/>
        </w:rPr>
        <w:t xml:space="preserve"> </w:t>
      </w:r>
      <w:r w:rsidRPr="001D61F0">
        <w:rPr>
          <w:color w:val="232323"/>
        </w:rPr>
        <w:t>and</w:t>
      </w:r>
      <w:r w:rsidRPr="001D61F0">
        <w:rPr>
          <w:color w:val="232323"/>
          <w:spacing w:val="-2"/>
        </w:rPr>
        <w:t xml:space="preserve"> </w:t>
      </w:r>
      <w:r w:rsidRPr="001D61F0">
        <w:rPr>
          <w:color w:val="232323"/>
        </w:rPr>
        <w:t>Harrison,</w:t>
      </w:r>
      <w:r w:rsidRPr="001D61F0">
        <w:rPr>
          <w:color w:val="232323"/>
          <w:spacing w:val="-2"/>
        </w:rPr>
        <w:t xml:space="preserve"> </w:t>
      </w:r>
      <w:r w:rsidRPr="001D61F0">
        <w:rPr>
          <w:color w:val="232323"/>
        </w:rPr>
        <w:t>S.L.</w:t>
      </w:r>
      <w:r w:rsidRPr="001D61F0">
        <w:rPr>
          <w:color w:val="232323"/>
          <w:spacing w:val="-4"/>
        </w:rPr>
        <w:t xml:space="preserve"> </w:t>
      </w:r>
      <w:r w:rsidRPr="001D61F0">
        <w:rPr>
          <w:color w:val="232323"/>
        </w:rPr>
        <w:t>(2023).</w:t>
      </w:r>
      <w:r w:rsidRPr="001D61F0">
        <w:rPr>
          <w:color w:val="232323"/>
          <w:spacing w:val="-4"/>
        </w:rPr>
        <w:t xml:space="preserve"> </w:t>
      </w:r>
      <w:r w:rsidRPr="001D61F0">
        <w:rPr>
          <w:color w:val="232323"/>
        </w:rPr>
        <w:t>Slip,</w:t>
      </w:r>
      <w:r w:rsidRPr="001D61F0">
        <w:rPr>
          <w:color w:val="232323"/>
          <w:spacing w:val="-4"/>
        </w:rPr>
        <w:t xml:space="preserve"> </w:t>
      </w:r>
      <w:r w:rsidRPr="001D61F0">
        <w:rPr>
          <w:color w:val="232323"/>
        </w:rPr>
        <w:t>Slop,</w:t>
      </w:r>
      <w:r w:rsidRPr="001D61F0">
        <w:rPr>
          <w:color w:val="232323"/>
          <w:spacing w:val="-2"/>
        </w:rPr>
        <w:t xml:space="preserve"> </w:t>
      </w:r>
      <w:r w:rsidRPr="001D61F0">
        <w:rPr>
          <w:color w:val="232323"/>
        </w:rPr>
        <w:t>Slap,</w:t>
      </w:r>
      <w:r w:rsidRPr="001D61F0">
        <w:rPr>
          <w:color w:val="232323"/>
          <w:spacing w:val="-4"/>
        </w:rPr>
        <w:t xml:space="preserve"> </w:t>
      </w:r>
      <w:r w:rsidRPr="001D61F0">
        <w:rPr>
          <w:color w:val="232323"/>
        </w:rPr>
        <w:t>Slide,</w:t>
      </w:r>
      <w:r w:rsidRPr="001D61F0">
        <w:rPr>
          <w:color w:val="232323"/>
          <w:spacing w:val="-2"/>
        </w:rPr>
        <w:t xml:space="preserve"> </w:t>
      </w:r>
      <w:r w:rsidRPr="001D61F0">
        <w:rPr>
          <w:color w:val="232323"/>
        </w:rPr>
        <w:t>Seek</w:t>
      </w:r>
      <w:r w:rsidRPr="001D61F0">
        <w:rPr>
          <w:color w:val="232323"/>
          <w:spacing w:val="-3"/>
        </w:rPr>
        <w:t xml:space="preserve"> </w:t>
      </w:r>
      <w:r w:rsidRPr="001D61F0">
        <w:rPr>
          <w:color w:val="232323"/>
        </w:rPr>
        <w:t>and</w:t>
      </w:r>
      <w:r w:rsidRPr="001D61F0">
        <w:rPr>
          <w:color w:val="232323"/>
          <w:spacing w:val="-2"/>
        </w:rPr>
        <w:t xml:space="preserve"> </w:t>
      </w:r>
      <w:r w:rsidRPr="001D61F0">
        <w:rPr>
          <w:color w:val="232323"/>
        </w:rPr>
        <w:t>Sport:</w:t>
      </w:r>
      <w:r w:rsidRPr="001D61F0">
        <w:rPr>
          <w:color w:val="232323"/>
          <w:spacing w:val="-2"/>
        </w:rPr>
        <w:t xml:space="preserve"> </w:t>
      </w:r>
      <w:r w:rsidRPr="001D61F0">
        <w:rPr>
          <w:color w:val="232323"/>
        </w:rPr>
        <w:t>A</w:t>
      </w:r>
      <w:r w:rsidRPr="001D61F0">
        <w:rPr>
          <w:color w:val="232323"/>
          <w:spacing w:val="-2"/>
        </w:rPr>
        <w:t xml:space="preserve"> </w:t>
      </w:r>
      <w:r w:rsidRPr="001D61F0">
        <w:rPr>
          <w:color w:val="232323"/>
        </w:rPr>
        <w:t>Systematic</w:t>
      </w:r>
      <w:r w:rsidRPr="001D61F0">
        <w:rPr>
          <w:color w:val="232323"/>
          <w:spacing w:val="-3"/>
        </w:rPr>
        <w:t xml:space="preserve"> </w:t>
      </w:r>
      <w:r w:rsidRPr="001D61F0">
        <w:rPr>
          <w:color w:val="232323"/>
        </w:rPr>
        <w:t xml:space="preserve">Scoping Review of Sun Protection in Sport in Australasia. Current Oncology, [online] 30(1), pp.401–415. doi: </w:t>
      </w:r>
      <w:hyperlink r:id="rId124">
        <w:r w:rsidRPr="001D61F0">
          <w:rPr>
            <w:color w:val="0000FF"/>
            <w:spacing w:val="-2"/>
            <w:u w:val="single" w:color="0000FF"/>
          </w:rPr>
          <w:t>https://doi.org/10.3390/curroncol30010033</w:t>
        </w:r>
        <w:r w:rsidRPr="001D61F0">
          <w:rPr>
            <w:color w:val="232323"/>
            <w:spacing w:val="-2"/>
          </w:rPr>
          <w:t>.</w:t>
        </w:r>
      </w:hyperlink>
    </w:p>
    <w:p w14:paraId="4E0DAFA6" w14:textId="77777777" w:rsidR="00FE12C3" w:rsidRPr="001D61F0" w:rsidRDefault="00FE12C3" w:rsidP="00FE12C3">
      <w:pPr>
        <w:pStyle w:val="BodyText"/>
        <w:spacing w:before="119" w:line="259" w:lineRule="auto"/>
        <w:ind w:right="183"/>
      </w:pPr>
      <w:r w:rsidRPr="001D61F0">
        <w:rPr>
          <w:color w:val="232323"/>
        </w:rPr>
        <w:t>Neale,</w:t>
      </w:r>
      <w:r w:rsidRPr="001D61F0">
        <w:rPr>
          <w:color w:val="232323"/>
          <w:spacing w:val="-4"/>
        </w:rPr>
        <w:t xml:space="preserve"> </w:t>
      </w:r>
      <w:r w:rsidRPr="001D61F0">
        <w:rPr>
          <w:color w:val="232323"/>
        </w:rPr>
        <w:t>R.,</w:t>
      </w:r>
      <w:r w:rsidRPr="001D61F0">
        <w:rPr>
          <w:color w:val="232323"/>
          <w:spacing w:val="-4"/>
        </w:rPr>
        <w:t xml:space="preserve"> </w:t>
      </w:r>
      <w:r w:rsidRPr="001D61F0">
        <w:rPr>
          <w:color w:val="232323"/>
        </w:rPr>
        <w:t>Williams,</w:t>
      </w:r>
      <w:r w:rsidRPr="001D61F0">
        <w:rPr>
          <w:color w:val="232323"/>
          <w:spacing w:val="-4"/>
        </w:rPr>
        <w:t xml:space="preserve"> </w:t>
      </w:r>
      <w:r w:rsidRPr="001D61F0">
        <w:rPr>
          <w:color w:val="232323"/>
        </w:rPr>
        <w:t>G.</w:t>
      </w:r>
      <w:r w:rsidRPr="001D61F0">
        <w:rPr>
          <w:color w:val="232323"/>
          <w:spacing w:val="-2"/>
        </w:rPr>
        <w:t xml:space="preserve"> </w:t>
      </w:r>
      <w:r w:rsidRPr="001D61F0">
        <w:rPr>
          <w:color w:val="232323"/>
        </w:rPr>
        <w:t>and</w:t>
      </w:r>
      <w:r w:rsidRPr="001D61F0">
        <w:rPr>
          <w:color w:val="232323"/>
          <w:spacing w:val="-2"/>
        </w:rPr>
        <w:t xml:space="preserve"> </w:t>
      </w:r>
      <w:r w:rsidRPr="001D61F0">
        <w:rPr>
          <w:color w:val="232323"/>
        </w:rPr>
        <w:t>Green,</w:t>
      </w:r>
      <w:r w:rsidRPr="001D61F0">
        <w:rPr>
          <w:color w:val="232323"/>
          <w:spacing w:val="-2"/>
        </w:rPr>
        <w:t xml:space="preserve"> </w:t>
      </w:r>
      <w:r w:rsidRPr="001D61F0">
        <w:rPr>
          <w:color w:val="232323"/>
        </w:rPr>
        <w:t>A.</w:t>
      </w:r>
      <w:r w:rsidRPr="001D61F0">
        <w:rPr>
          <w:color w:val="232323"/>
          <w:spacing w:val="-4"/>
        </w:rPr>
        <w:t xml:space="preserve"> </w:t>
      </w:r>
      <w:r w:rsidRPr="001D61F0">
        <w:rPr>
          <w:color w:val="232323"/>
        </w:rPr>
        <w:t>(2002).</w:t>
      </w:r>
      <w:r w:rsidRPr="001D61F0">
        <w:rPr>
          <w:color w:val="232323"/>
          <w:spacing w:val="-2"/>
        </w:rPr>
        <w:t xml:space="preserve"> </w:t>
      </w:r>
      <w:r w:rsidRPr="001D61F0">
        <w:rPr>
          <w:color w:val="232323"/>
        </w:rPr>
        <w:t>Application</w:t>
      </w:r>
      <w:r w:rsidRPr="001D61F0">
        <w:rPr>
          <w:color w:val="232323"/>
          <w:spacing w:val="-4"/>
        </w:rPr>
        <w:t xml:space="preserve"> </w:t>
      </w:r>
      <w:r w:rsidRPr="001D61F0">
        <w:rPr>
          <w:color w:val="232323"/>
        </w:rPr>
        <w:t>Patterns</w:t>
      </w:r>
      <w:r w:rsidRPr="001D61F0">
        <w:rPr>
          <w:color w:val="232323"/>
          <w:spacing w:val="-3"/>
        </w:rPr>
        <w:t xml:space="preserve"> </w:t>
      </w:r>
      <w:r w:rsidRPr="001D61F0">
        <w:rPr>
          <w:color w:val="232323"/>
        </w:rPr>
        <w:t>Among</w:t>
      </w:r>
      <w:r w:rsidRPr="001D61F0">
        <w:rPr>
          <w:color w:val="232323"/>
          <w:spacing w:val="-2"/>
        </w:rPr>
        <w:t xml:space="preserve"> </w:t>
      </w:r>
      <w:r w:rsidRPr="001D61F0">
        <w:rPr>
          <w:color w:val="232323"/>
        </w:rPr>
        <w:t>Participants</w:t>
      </w:r>
      <w:r w:rsidRPr="001D61F0">
        <w:rPr>
          <w:color w:val="232323"/>
          <w:spacing w:val="-3"/>
        </w:rPr>
        <w:t xml:space="preserve"> </w:t>
      </w:r>
      <w:r w:rsidRPr="001D61F0">
        <w:rPr>
          <w:color w:val="232323"/>
        </w:rPr>
        <w:t>Randomized</w:t>
      </w:r>
      <w:r w:rsidRPr="001D61F0">
        <w:rPr>
          <w:color w:val="232323"/>
          <w:spacing w:val="-4"/>
        </w:rPr>
        <w:t xml:space="preserve"> </w:t>
      </w:r>
      <w:r w:rsidRPr="001D61F0">
        <w:rPr>
          <w:color w:val="232323"/>
        </w:rPr>
        <w:t xml:space="preserve">to Daily Sunscreen Use in a Skin Cancer Prevention Trial. Archives of Dermatology, 138(10). doi: </w:t>
      </w:r>
      <w:hyperlink r:id="rId125">
        <w:r w:rsidRPr="001D61F0">
          <w:rPr>
            <w:color w:val="0000FF"/>
            <w:spacing w:val="-2"/>
            <w:u w:val="single" w:color="0000FF"/>
          </w:rPr>
          <w:t>https://doi.org/10.1001/archderm.138.10.1319</w:t>
        </w:r>
        <w:r w:rsidRPr="001D61F0">
          <w:rPr>
            <w:color w:val="232323"/>
            <w:spacing w:val="-2"/>
          </w:rPr>
          <w:t>.</w:t>
        </w:r>
      </w:hyperlink>
    </w:p>
    <w:p w14:paraId="7E184CB1" w14:textId="77777777" w:rsidR="00FE12C3" w:rsidRPr="001D61F0" w:rsidRDefault="00FE12C3" w:rsidP="00FE12C3">
      <w:pPr>
        <w:pStyle w:val="BodyText"/>
        <w:spacing w:before="121" w:line="256" w:lineRule="auto"/>
        <w:ind w:right="315"/>
      </w:pPr>
      <w:r w:rsidRPr="001D61F0">
        <w:rPr>
          <w:color w:val="232323"/>
        </w:rPr>
        <w:t>Olsen, C.M., Wilson, L.F., Green, A.C., Bain, C.J., Fritschi, L., Neale, R.E. and Whiteman, D.C. (2015). Cancers in Australia attributable to exposure to solar ultraviolet radiation and prevented by regular</w:t>
      </w:r>
      <w:r w:rsidRPr="001D61F0">
        <w:rPr>
          <w:color w:val="232323"/>
          <w:spacing w:val="-3"/>
        </w:rPr>
        <w:t xml:space="preserve"> </w:t>
      </w:r>
      <w:r w:rsidRPr="001D61F0">
        <w:rPr>
          <w:color w:val="232323"/>
        </w:rPr>
        <w:t>sunscreen</w:t>
      </w:r>
      <w:r w:rsidRPr="001D61F0">
        <w:rPr>
          <w:color w:val="232323"/>
          <w:spacing w:val="-2"/>
        </w:rPr>
        <w:t xml:space="preserve"> </w:t>
      </w:r>
      <w:r w:rsidRPr="001D61F0">
        <w:rPr>
          <w:color w:val="232323"/>
        </w:rPr>
        <w:t>use.</w:t>
      </w:r>
      <w:r w:rsidRPr="001D61F0">
        <w:rPr>
          <w:color w:val="232323"/>
          <w:spacing w:val="-2"/>
        </w:rPr>
        <w:t xml:space="preserve"> </w:t>
      </w:r>
      <w:r w:rsidRPr="001D61F0">
        <w:rPr>
          <w:color w:val="232323"/>
        </w:rPr>
        <w:t>Australian</w:t>
      </w:r>
      <w:r w:rsidRPr="001D61F0">
        <w:rPr>
          <w:color w:val="232323"/>
          <w:spacing w:val="-4"/>
        </w:rPr>
        <w:t xml:space="preserve"> </w:t>
      </w:r>
      <w:r w:rsidRPr="001D61F0">
        <w:rPr>
          <w:color w:val="232323"/>
        </w:rPr>
        <w:t>and</w:t>
      </w:r>
      <w:r w:rsidRPr="001D61F0">
        <w:rPr>
          <w:color w:val="232323"/>
          <w:spacing w:val="-2"/>
        </w:rPr>
        <w:t xml:space="preserve"> </w:t>
      </w:r>
      <w:r w:rsidRPr="001D61F0">
        <w:rPr>
          <w:color w:val="232323"/>
        </w:rPr>
        <w:t>New</w:t>
      </w:r>
      <w:r w:rsidRPr="001D61F0">
        <w:rPr>
          <w:color w:val="232323"/>
          <w:spacing w:val="-4"/>
        </w:rPr>
        <w:t xml:space="preserve"> </w:t>
      </w:r>
      <w:r w:rsidRPr="001D61F0">
        <w:rPr>
          <w:color w:val="232323"/>
        </w:rPr>
        <w:t>Zealand</w:t>
      </w:r>
      <w:r w:rsidRPr="001D61F0">
        <w:rPr>
          <w:color w:val="232323"/>
          <w:spacing w:val="-2"/>
        </w:rPr>
        <w:t xml:space="preserve"> </w:t>
      </w:r>
      <w:r w:rsidRPr="001D61F0">
        <w:rPr>
          <w:color w:val="232323"/>
        </w:rPr>
        <w:t>Journal</w:t>
      </w:r>
      <w:r w:rsidRPr="001D61F0">
        <w:rPr>
          <w:color w:val="232323"/>
          <w:spacing w:val="-2"/>
        </w:rPr>
        <w:t xml:space="preserve"> </w:t>
      </w:r>
      <w:r w:rsidRPr="001D61F0">
        <w:rPr>
          <w:color w:val="232323"/>
        </w:rPr>
        <w:t>of</w:t>
      </w:r>
      <w:r w:rsidRPr="001D61F0">
        <w:rPr>
          <w:color w:val="232323"/>
          <w:spacing w:val="-2"/>
        </w:rPr>
        <w:t xml:space="preserve"> </w:t>
      </w:r>
      <w:r w:rsidRPr="001D61F0">
        <w:rPr>
          <w:color w:val="232323"/>
        </w:rPr>
        <w:t>Public</w:t>
      </w:r>
      <w:r w:rsidRPr="001D61F0">
        <w:rPr>
          <w:color w:val="232323"/>
          <w:spacing w:val="-3"/>
        </w:rPr>
        <w:t xml:space="preserve"> </w:t>
      </w:r>
      <w:r w:rsidRPr="001D61F0">
        <w:rPr>
          <w:color w:val="232323"/>
        </w:rPr>
        <w:t>Health,</w:t>
      </w:r>
      <w:r w:rsidRPr="001D61F0">
        <w:rPr>
          <w:color w:val="232323"/>
          <w:spacing w:val="-2"/>
        </w:rPr>
        <w:t xml:space="preserve"> </w:t>
      </w:r>
      <w:r w:rsidRPr="001D61F0">
        <w:rPr>
          <w:color w:val="232323"/>
        </w:rPr>
        <w:t>[online]</w:t>
      </w:r>
      <w:r w:rsidRPr="001D61F0">
        <w:rPr>
          <w:color w:val="232323"/>
          <w:spacing w:val="-4"/>
        </w:rPr>
        <w:t xml:space="preserve"> </w:t>
      </w:r>
      <w:r w:rsidRPr="001D61F0">
        <w:rPr>
          <w:color w:val="232323"/>
        </w:rPr>
        <w:t>39(5),</w:t>
      </w:r>
      <w:r w:rsidRPr="001D61F0">
        <w:rPr>
          <w:color w:val="232323"/>
          <w:spacing w:val="-4"/>
        </w:rPr>
        <w:t xml:space="preserve"> </w:t>
      </w:r>
      <w:r w:rsidRPr="001D61F0">
        <w:rPr>
          <w:color w:val="232323"/>
        </w:rPr>
        <w:t>pp.471–</w:t>
      </w:r>
    </w:p>
    <w:p w14:paraId="054316E5" w14:textId="77777777" w:rsidR="00FE12C3" w:rsidRPr="001D61F0" w:rsidRDefault="00FE12C3" w:rsidP="00FE12C3">
      <w:pPr>
        <w:pStyle w:val="BodyText"/>
        <w:spacing w:before="6"/>
      </w:pPr>
      <w:r w:rsidRPr="001D61F0">
        <w:rPr>
          <w:color w:val="232323"/>
          <w:spacing w:val="-2"/>
        </w:rPr>
        <w:t>476.</w:t>
      </w:r>
      <w:r w:rsidRPr="001D61F0">
        <w:rPr>
          <w:color w:val="232323"/>
          <w:spacing w:val="18"/>
        </w:rPr>
        <w:t xml:space="preserve"> </w:t>
      </w:r>
      <w:r w:rsidRPr="001D61F0">
        <w:rPr>
          <w:color w:val="232323"/>
          <w:spacing w:val="-2"/>
        </w:rPr>
        <w:t>doi:</w:t>
      </w:r>
      <w:r w:rsidRPr="001D61F0">
        <w:rPr>
          <w:color w:val="232323"/>
          <w:spacing w:val="16"/>
        </w:rPr>
        <w:t xml:space="preserve"> </w:t>
      </w:r>
      <w:hyperlink r:id="rId126">
        <w:r w:rsidRPr="001D61F0">
          <w:rPr>
            <w:color w:val="0000FF"/>
            <w:spacing w:val="-2"/>
            <w:u w:val="single" w:color="0000FF"/>
          </w:rPr>
          <w:t>https://doi.org/10.1111/1753-6405.12470</w:t>
        </w:r>
        <w:r w:rsidRPr="001D61F0">
          <w:rPr>
            <w:color w:val="232323"/>
            <w:spacing w:val="-2"/>
          </w:rPr>
          <w:t>.</w:t>
        </w:r>
      </w:hyperlink>
    </w:p>
    <w:p w14:paraId="3A4BFE99" w14:textId="77777777" w:rsidR="00FE12C3" w:rsidRPr="001D61F0" w:rsidRDefault="00FE12C3" w:rsidP="00FE12C3">
      <w:pPr>
        <w:pStyle w:val="BodyText"/>
        <w:spacing w:before="88" w:line="256" w:lineRule="auto"/>
        <w:ind w:right="183"/>
      </w:pPr>
      <w:r w:rsidRPr="001D61F0">
        <w:rPr>
          <w:color w:val="232323"/>
        </w:rPr>
        <w:t>Parkinson, L., Astley, B., Peterkin, D., Page, C. and Hampson, A. (2003). Health promotion in childcare</w:t>
      </w:r>
      <w:r w:rsidRPr="001D61F0">
        <w:rPr>
          <w:color w:val="232323"/>
          <w:spacing w:val="-4"/>
        </w:rPr>
        <w:t xml:space="preserve"> </w:t>
      </w:r>
      <w:r w:rsidRPr="001D61F0">
        <w:rPr>
          <w:color w:val="232323"/>
        </w:rPr>
        <w:t>centres:</w:t>
      </w:r>
      <w:r w:rsidRPr="001D61F0">
        <w:rPr>
          <w:color w:val="232323"/>
          <w:spacing w:val="-2"/>
        </w:rPr>
        <w:t xml:space="preserve"> </w:t>
      </w:r>
      <w:r w:rsidRPr="001D61F0">
        <w:rPr>
          <w:color w:val="232323"/>
        </w:rPr>
        <w:t>a</w:t>
      </w:r>
      <w:r w:rsidRPr="001D61F0">
        <w:rPr>
          <w:color w:val="232323"/>
          <w:spacing w:val="-4"/>
        </w:rPr>
        <w:t xml:space="preserve"> </w:t>
      </w:r>
      <w:r w:rsidRPr="001D61F0">
        <w:rPr>
          <w:color w:val="232323"/>
        </w:rPr>
        <w:t>survey</w:t>
      </w:r>
      <w:r w:rsidRPr="001D61F0">
        <w:rPr>
          <w:color w:val="232323"/>
          <w:spacing w:val="-3"/>
        </w:rPr>
        <w:t xml:space="preserve"> </w:t>
      </w:r>
      <w:r w:rsidRPr="001D61F0">
        <w:rPr>
          <w:color w:val="232323"/>
        </w:rPr>
        <w:t>of</w:t>
      </w:r>
      <w:r w:rsidRPr="001D61F0">
        <w:rPr>
          <w:color w:val="232323"/>
          <w:spacing w:val="-4"/>
        </w:rPr>
        <w:t xml:space="preserve"> </w:t>
      </w:r>
      <w:r w:rsidRPr="001D61F0">
        <w:rPr>
          <w:color w:val="232323"/>
        </w:rPr>
        <w:t>sun</w:t>
      </w:r>
      <w:r w:rsidRPr="001D61F0">
        <w:rPr>
          <w:color w:val="232323"/>
          <w:spacing w:val="-2"/>
        </w:rPr>
        <w:t xml:space="preserve"> </w:t>
      </w:r>
      <w:r w:rsidRPr="001D61F0">
        <w:rPr>
          <w:color w:val="232323"/>
        </w:rPr>
        <w:t>protection</w:t>
      </w:r>
      <w:r w:rsidRPr="001D61F0">
        <w:rPr>
          <w:color w:val="232323"/>
          <w:spacing w:val="-2"/>
        </w:rPr>
        <w:t xml:space="preserve"> </w:t>
      </w:r>
      <w:r w:rsidRPr="001D61F0">
        <w:rPr>
          <w:color w:val="232323"/>
        </w:rPr>
        <w:t>policy</w:t>
      </w:r>
      <w:r w:rsidRPr="001D61F0">
        <w:rPr>
          <w:color w:val="232323"/>
          <w:spacing w:val="-3"/>
        </w:rPr>
        <w:t xml:space="preserve"> </w:t>
      </w:r>
      <w:r w:rsidRPr="001D61F0">
        <w:rPr>
          <w:color w:val="232323"/>
        </w:rPr>
        <w:t>and</w:t>
      </w:r>
      <w:r w:rsidRPr="001D61F0">
        <w:rPr>
          <w:color w:val="232323"/>
          <w:spacing w:val="-2"/>
        </w:rPr>
        <w:t xml:space="preserve"> </w:t>
      </w:r>
      <w:r w:rsidRPr="001D61F0">
        <w:rPr>
          <w:color w:val="232323"/>
        </w:rPr>
        <w:t>practice.</w:t>
      </w:r>
      <w:r w:rsidRPr="001D61F0">
        <w:rPr>
          <w:color w:val="232323"/>
          <w:spacing w:val="-2"/>
        </w:rPr>
        <w:t xml:space="preserve"> </w:t>
      </w:r>
      <w:r w:rsidRPr="001D61F0">
        <w:rPr>
          <w:color w:val="232323"/>
        </w:rPr>
        <w:t>Australian</w:t>
      </w:r>
      <w:r w:rsidRPr="001D61F0">
        <w:rPr>
          <w:color w:val="232323"/>
          <w:spacing w:val="-4"/>
        </w:rPr>
        <w:t xml:space="preserve"> </w:t>
      </w:r>
      <w:r w:rsidRPr="001D61F0">
        <w:rPr>
          <w:color w:val="232323"/>
        </w:rPr>
        <w:t>and</w:t>
      </w:r>
      <w:r w:rsidRPr="001D61F0">
        <w:rPr>
          <w:color w:val="232323"/>
          <w:spacing w:val="-4"/>
        </w:rPr>
        <w:t xml:space="preserve"> </w:t>
      </w:r>
      <w:r w:rsidRPr="001D61F0">
        <w:rPr>
          <w:color w:val="232323"/>
        </w:rPr>
        <w:t>New</w:t>
      </w:r>
      <w:r w:rsidRPr="001D61F0">
        <w:rPr>
          <w:color w:val="232323"/>
          <w:spacing w:val="-4"/>
        </w:rPr>
        <w:t xml:space="preserve"> </w:t>
      </w:r>
      <w:r w:rsidRPr="001D61F0">
        <w:rPr>
          <w:color w:val="232323"/>
        </w:rPr>
        <w:t>Zealand</w:t>
      </w:r>
      <w:r w:rsidRPr="001D61F0">
        <w:rPr>
          <w:color w:val="232323"/>
          <w:spacing w:val="-4"/>
        </w:rPr>
        <w:t xml:space="preserve"> </w:t>
      </w:r>
      <w:r w:rsidRPr="001D61F0">
        <w:rPr>
          <w:color w:val="232323"/>
        </w:rPr>
        <w:t xml:space="preserve">Journal of Public Health, 27(5), pp.520–523. doi: </w:t>
      </w:r>
      <w:hyperlink r:id="rId127">
        <w:r w:rsidRPr="001D61F0">
          <w:rPr>
            <w:color w:val="0000FF"/>
            <w:u w:val="single" w:color="0000FF"/>
          </w:rPr>
          <w:t>https://doi.org/10.1111/j.1467-842x.2003.tb00826.x</w:t>
        </w:r>
        <w:r w:rsidRPr="001D61F0">
          <w:rPr>
            <w:color w:val="232323"/>
          </w:rPr>
          <w:t>.</w:t>
        </w:r>
      </w:hyperlink>
    </w:p>
    <w:p w14:paraId="1072FD64" w14:textId="77777777" w:rsidR="00FE12C3" w:rsidRPr="00B25A37" w:rsidRDefault="00FE12C3" w:rsidP="00FE12C3">
      <w:pPr>
        <w:pStyle w:val="BodyText"/>
        <w:tabs>
          <w:tab w:val="left" w:pos="1638"/>
        </w:tabs>
        <w:spacing w:before="126" w:line="259" w:lineRule="auto"/>
        <w:ind w:right="345"/>
      </w:pPr>
      <w:r w:rsidRPr="00B25A37">
        <w:rPr>
          <w:color w:val="232323"/>
        </w:rPr>
        <w:t>Queensland</w:t>
      </w:r>
      <w:r w:rsidRPr="00B25A37">
        <w:rPr>
          <w:color w:val="232323"/>
          <w:spacing w:val="-2"/>
        </w:rPr>
        <w:t xml:space="preserve"> </w:t>
      </w:r>
      <w:r w:rsidRPr="00B25A37">
        <w:rPr>
          <w:color w:val="232323"/>
        </w:rPr>
        <w:t>Government</w:t>
      </w:r>
      <w:r w:rsidRPr="00B25A37">
        <w:rPr>
          <w:color w:val="232323"/>
          <w:spacing w:val="-4"/>
        </w:rPr>
        <w:t xml:space="preserve"> </w:t>
      </w:r>
      <w:r w:rsidRPr="00B25A37">
        <w:rPr>
          <w:color w:val="232323"/>
        </w:rPr>
        <w:t>(2023).</w:t>
      </w:r>
      <w:r w:rsidRPr="00B25A37">
        <w:rPr>
          <w:color w:val="232323"/>
          <w:spacing w:val="-4"/>
        </w:rPr>
        <w:t xml:space="preserve"> </w:t>
      </w:r>
      <w:r w:rsidRPr="00B25A37">
        <w:rPr>
          <w:color w:val="232323"/>
        </w:rPr>
        <w:t>Figure</w:t>
      </w:r>
      <w:r w:rsidRPr="00B25A37">
        <w:rPr>
          <w:color w:val="232323"/>
          <w:spacing w:val="-4"/>
        </w:rPr>
        <w:t xml:space="preserve"> </w:t>
      </w:r>
      <w:r w:rsidRPr="00B25A37">
        <w:rPr>
          <w:color w:val="232323"/>
        </w:rPr>
        <w:t>3:</w:t>
      </w:r>
      <w:r w:rsidRPr="00B25A37">
        <w:rPr>
          <w:color w:val="232323"/>
          <w:spacing w:val="-2"/>
        </w:rPr>
        <w:t xml:space="preserve"> </w:t>
      </w:r>
      <w:r w:rsidRPr="00B25A37">
        <w:rPr>
          <w:color w:val="232323"/>
        </w:rPr>
        <w:t>Characteristics</w:t>
      </w:r>
      <w:r w:rsidRPr="00B25A37">
        <w:rPr>
          <w:color w:val="232323"/>
          <w:spacing w:val="-3"/>
        </w:rPr>
        <w:t xml:space="preserve"> </w:t>
      </w:r>
      <w:r w:rsidRPr="00B25A37">
        <w:rPr>
          <w:color w:val="232323"/>
        </w:rPr>
        <w:t>of</w:t>
      </w:r>
      <w:r w:rsidRPr="00B25A37">
        <w:rPr>
          <w:color w:val="232323"/>
          <w:spacing w:val="-4"/>
        </w:rPr>
        <w:t xml:space="preserve"> </w:t>
      </w:r>
      <w:r w:rsidRPr="00B25A37">
        <w:rPr>
          <w:color w:val="232323"/>
        </w:rPr>
        <w:t>sunburn</w:t>
      </w:r>
      <w:r w:rsidRPr="00B25A37">
        <w:rPr>
          <w:color w:val="232323"/>
          <w:spacing w:val="-4"/>
        </w:rPr>
        <w:t xml:space="preserve"> </w:t>
      </w:r>
      <w:r w:rsidRPr="00B25A37">
        <w:rPr>
          <w:color w:val="232323"/>
        </w:rPr>
        <w:t>and</w:t>
      </w:r>
      <w:r w:rsidRPr="00B25A37">
        <w:rPr>
          <w:color w:val="232323"/>
          <w:spacing w:val="-4"/>
        </w:rPr>
        <w:t xml:space="preserve"> </w:t>
      </w:r>
      <w:r w:rsidRPr="00B25A37">
        <w:rPr>
          <w:color w:val="232323"/>
        </w:rPr>
        <w:t>sun</w:t>
      </w:r>
      <w:r w:rsidRPr="00B25A37">
        <w:rPr>
          <w:color w:val="232323"/>
          <w:spacing w:val="-2"/>
        </w:rPr>
        <w:t xml:space="preserve"> </w:t>
      </w:r>
      <w:r w:rsidRPr="00B25A37">
        <w:rPr>
          <w:color w:val="232323"/>
        </w:rPr>
        <w:t>safety</w:t>
      </w:r>
      <w:r w:rsidRPr="00B25A37">
        <w:rPr>
          <w:color w:val="232323"/>
          <w:spacing w:val="-3"/>
        </w:rPr>
        <w:t xml:space="preserve"> </w:t>
      </w:r>
      <w:r w:rsidRPr="00B25A37">
        <w:rPr>
          <w:color w:val="232323"/>
        </w:rPr>
        <w:t>of</w:t>
      </w:r>
      <w:r w:rsidRPr="00B25A37">
        <w:rPr>
          <w:color w:val="232323"/>
          <w:spacing w:val="-4"/>
        </w:rPr>
        <w:t xml:space="preserve"> </w:t>
      </w:r>
      <w:r w:rsidRPr="00B25A37">
        <w:rPr>
          <w:color w:val="232323"/>
        </w:rPr>
        <w:t xml:space="preserve">Queensland children, 2020. [online] Available at: </w:t>
      </w:r>
      <w:hyperlink r:id="rId128" w:anchor="section__latest-results">
        <w:r w:rsidRPr="00B25A37">
          <w:rPr>
            <w:color w:val="0000FF"/>
            <w:u w:val="single" w:color="0000FF"/>
          </w:rPr>
          <w:t>https://www.choreport.health.qld.gov.au/our-lifestyle/sun-</w:t>
        </w:r>
      </w:hyperlink>
      <w:r w:rsidRPr="00B25A37">
        <w:rPr>
          <w:color w:val="0000FF"/>
        </w:rPr>
        <w:t xml:space="preserve"> </w:t>
      </w:r>
      <w:hyperlink r:id="rId129" w:anchor="section__latest-results">
        <w:r w:rsidRPr="00B25A37">
          <w:rPr>
            <w:color w:val="0000FF"/>
            <w:spacing w:val="-2"/>
            <w:u w:val="single" w:color="0000FF"/>
          </w:rPr>
          <w:t>safety#section</w:t>
        </w:r>
        <w:r w:rsidRPr="00B25A37">
          <w:rPr>
            <w:color w:val="0000FF"/>
            <w:u w:val="single" w:color="0000FF"/>
          </w:rPr>
          <w:tab/>
          <w:t>latest-results</w:t>
        </w:r>
        <w:r w:rsidRPr="00B25A37">
          <w:t>.</w:t>
        </w:r>
      </w:hyperlink>
      <w:r w:rsidRPr="00B25A37">
        <w:t xml:space="preserve"> </w:t>
      </w:r>
      <w:r w:rsidRPr="00B25A37">
        <w:rPr>
          <w:color w:val="232323"/>
        </w:rPr>
        <w:t>[Accessed on 20 June 2024]</w:t>
      </w:r>
    </w:p>
    <w:p w14:paraId="266F9595" w14:textId="77777777" w:rsidR="00FE12C3" w:rsidRPr="001D61F0" w:rsidRDefault="00FE12C3" w:rsidP="00FE12C3">
      <w:pPr>
        <w:pStyle w:val="BodyText"/>
        <w:spacing w:before="119" w:line="259" w:lineRule="auto"/>
        <w:ind w:right="180"/>
        <w:jc w:val="both"/>
      </w:pPr>
      <w:r w:rsidRPr="00B25A37">
        <w:rPr>
          <w:color w:val="232323"/>
        </w:rPr>
        <w:t>Queensland</w:t>
      </w:r>
      <w:r w:rsidRPr="00B25A37">
        <w:rPr>
          <w:color w:val="232323"/>
          <w:spacing w:val="-3"/>
        </w:rPr>
        <w:t xml:space="preserve"> </w:t>
      </w:r>
      <w:r w:rsidRPr="00B25A37">
        <w:rPr>
          <w:color w:val="232323"/>
        </w:rPr>
        <w:t>Preventive</w:t>
      </w:r>
      <w:r w:rsidRPr="00B25A37">
        <w:rPr>
          <w:color w:val="232323"/>
          <w:spacing w:val="-3"/>
        </w:rPr>
        <w:t xml:space="preserve"> </w:t>
      </w:r>
      <w:r w:rsidRPr="00B25A37">
        <w:rPr>
          <w:color w:val="232323"/>
        </w:rPr>
        <w:t>Health</w:t>
      </w:r>
      <w:r w:rsidRPr="00B25A37">
        <w:rPr>
          <w:color w:val="232323"/>
          <w:spacing w:val="-3"/>
        </w:rPr>
        <w:t xml:space="preserve"> </w:t>
      </w:r>
      <w:r w:rsidRPr="00B25A37">
        <w:rPr>
          <w:color w:val="232323"/>
        </w:rPr>
        <w:t>Surveys</w:t>
      </w:r>
      <w:r w:rsidRPr="00B25A37">
        <w:rPr>
          <w:color w:val="232323"/>
          <w:spacing w:val="-4"/>
        </w:rPr>
        <w:t xml:space="preserve"> </w:t>
      </w:r>
      <w:r w:rsidRPr="00B25A37">
        <w:rPr>
          <w:color w:val="232323"/>
        </w:rPr>
        <w:t>–</w:t>
      </w:r>
      <w:r w:rsidRPr="00B25A37">
        <w:rPr>
          <w:color w:val="232323"/>
          <w:spacing w:val="-5"/>
        </w:rPr>
        <w:t xml:space="preserve"> </w:t>
      </w:r>
      <w:r w:rsidRPr="00B25A37">
        <w:rPr>
          <w:color w:val="232323"/>
        </w:rPr>
        <w:t>QPHS</w:t>
      </w:r>
      <w:r w:rsidRPr="00B25A37">
        <w:rPr>
          <w:color w:val="232323"/>
          <w:spacing w:val="-3"/>
        </w:rPr>
        <w:t xml:space="preserve"> </w:t>
      </w:r>
      <w:r w:rsidRPr="00B25A37">
        <w:rPr>
          <w:color w:val="232323"/>
        </w:rPr>
        <w:t>(2023).</w:t>
      </w:r>
      <w:r w:rsidRPr="00B25A37">
        <w:rPr>
          <w:color w:val="232323"/>
          <w:spacing w:val="-5"/>
        </w:rPr>
        <w:t xml:space="preserve"> </w:t>
      </w:r>
      <w:r w:rsidRPr="00B25A37">
        <w:rPr>
          <w:color w:val="232323"/>
        </w:rPr>
        <w:t>Detailed</w:t>
      </w:r>
      <w:r w:rsidRPr="00B25A37">
        <w:rPr>
          <w:color w:val="232323"/>
          <w:spacing w:val="-5"/>
        </w:rPr>
        <w:t xml:space="preserve"> </w:t>
      </w:r>
      <w:r w:rsidRPr="00B25A37">
        <w:rPr>
          <w:color w:val="232323"/>
        </w:rPr>
        <w:t>Queensland</w:t>
      </w:r>
      <w:r w:rsidRPr="00B25A37">
        <w:rPr>
          <w:color w:val="232323"/>
          <w:spacing w:val="-5"/>
        </w:rPr>
        <w:t xml:space="preserve"> </w:t>
      </w:r>
      <w:r w:rsidRPr="00B25A37">
        <w:rPr>
          <w:color w:val="232323"/>
        </w:rPr>
        <w:t>and</w:t>
      </w:r>
      <w:r w:rsidRPr="00B25A37">
        <w:rPr>
          <w:color w:val="232323"/>
          <w:spacing w:val="-5"/>
        </w:rPr>
        <w:t xml:space="preserve"> </w:t>
      </w:r>
      <w:r w:rsidRPr="00B25A37">
        <w:rPr>
          <w:color w:val="232323"/>
        </w:rPr>
        <w:t>regional</w:t>
      </w:r>
      <w:r w:rsidRPr="00B25A37">
        <w:rPr>
          <w:color w:val="232323"/>
          <w:spacing w:val="-4"/>
        </w:rPr>
        <w:t xml:space="preserve"> </w:t>
      </w:r>
      <w:r w:rsidRPr="00B25A37">
        <w:rPr>
          <w:color w:val="232323"/>
        </w:rPr>
        <w:t xml:space="preserve">preventive health survey results. [online] Available at: </w:t>
      </w:r>
      <w:hyperlink r:id="rId130" w:anchor="queensland">
        <w:r w:rsidRPr="00B25A37">
          <w:rPr>
            <w:color w:val="0000FF"/>
            <w:u w:val="single" w:color="0000FF"/>
          </w:rPr>
          <w:t>https://www.health.qld.gov.au/research-reports/population-</w:t>
        </w:r>
      </w:hyperlink>
      <w:r w:rsidRPr="00B25A37">
        <w:rPr>
          <w:color w:val="0000FF"/>
        </w:rPr>
        <w:t xml:space="preserve"> </w:t>
      </w:r>
      <w:hyperlink r:id="rId131" w:anchor="queensland">
        <w:r w:rsidRPr="00B25A37">
          <w:rPr>
            <w:color w:val="0000FF"/>
            <w:u w:val="single" w:color="0000FF"/>
          </w:rPr>
          <w:t>health/preventive-health-surveys/detailed-data#queensland</w:t>
        </w:r>
        <w:r w:rsidRPr="00B25A37">
          <w:rPr>
            <w:color w:val="232323"/>
          </w:rPr>
          <w:t>.</w:t>
        </w:r>
      </w:hyperlink>
      <w:r w:rsidRPr="00B25A37">
        <w:rPr>
          <w:color w:val="232323"/>
        </w:rPr>
        <w:t xml:space="preserve"> [Accessed on 20 June 2024].</w:t>
      </w:r>
    </w:p>
    <w:p w14:paraId="21CA4E12" w14:textId="77777777" w:rsidR="00FE12C3" w:rsidRPr="001D61F0" w:rsidRDefault="00FE12C3" w:rsidP="00FE12C3">
      <w:pPr>
        <w:pStyle w:val="BodyText"/>
        <w:spacing w:before="118" w:line="261" w:lineRule="auto"/>
        <w:ind w:right="183"/>
      </w:pPr>
      <w:r w:rsidRPr="001D61F0">
        <w:t>Renwick,</w:t>
      </w:r>
      <w:r w:rsidRPr="001D61F0">
        <w:rPr>
          <w:spacing w:val="-3"/>
        </w:rPr>
        <w:t xml:space="preserve"> </w:t>
      </w:r>
      <w:r w:rsidRPr="001D61F0">
        <w:t>A.</w:t>
      </w:r>
      <w:r w:rsidRPr="001D61F0">
        <w:rPr>
          <w:spacing w:val="-3"/>
        </w:rPr>
        <w:t xml:space="preserve"> </w:t>
      </w:r>
      <w:r w:rsidRPr="001D61F0">
        <w:t>G.</w:t>
      </w:r>
      <w:r w:rsidRPr="001D61F0">
        <w:rPr>
          <w:spacing w:val="-3"/>
        </w:rPr>
        <w:t xml:space="preserve"> </w:t>
      </w:r>
      <w:r w:rsidRPr="001D61F0">
        <w:t>(1998).</w:t>
      </w:r>
      <w:r w:rsidRPr="001D61F0">
        <w:rPr>
          <w:spacing w:val="-3"/>
        </w:rPr>
        <w:t xml:space="preserve"> </w:t>
      </w:r>
      <w:r w:rsidRPr="001D61F0">
        <w:t>Toxicokinetics</w:t>
      </w:r>
      <w:r w:rsidRPr="001D61F0">
        <w:rPr>
          <w:spacing w:val="-2"/>
        </w:rPr>
        <w:t xml:space="preserve"> </w:t>
      </w:r>
      <w:r w:rsidRPr="001D61F0">
        <w:t>in</w:t>
      </w:r>
      <w:r w:rsidRPr="001D61F0">
        <w:rPr>
          <w:spacing w:val="-1"/>
        </w:rPr>
        <w:t xml:space="preserve"> </w:t>
      </w:r>
      <w:r w:rsidRPr="001D61F0">
        <w:t>infants</w:t>
      </w:r>
      <w:r w:rsidRPr="001D61F0">
        <w:rPr>
          <w:spacing w:val="-2"/>
        </w:rPr>
        <w:t xml:space="preserve"> </w:t>
      </w:r>
      <w:r w:rsidRPr="001D61F0">
        <w:t>and</w:t>
      </w:r>
      <w:r w:rsidRPr="001D61F0">
        <w:rPr>
          <w:spacing w:val="-3"/>
        </w:rPr>
        <w:t xml:space="preserve"> </w:t>
      </w:r>
      <w:r w:rsidRPr="001D61F0">
        <w:t>children</w:t>
      </w:r>
      <w:r w:rsidRPr="001D61F0">
        <w:rPr>
          <w:spacing w:val="-1"/>
        </w:rPr>
        <w:t xml:space="preserve"> </w:t>
      </w:r>
      <w:r w:rsidRPr="001D61F0">
        <w:t>in</w:t>
      </w:r>
      <w:r w:rsidRPr="001D61F0">
        <w:rPr>
          <w:spacing w:val="-3"/>
        </w:rPr>
        <w:t xml:space="preserve"> </w:t>
      </w:r>
      <w:r w:rsidRPr="001D61F0">
        <w:t>relation</w:t>
      </w:r>
      <w:r w:rsidRPr="001D61F0">
        <w:rPr>
          <w:spacing w:val="-3"/>
        </w:rPr>
        <w:t xml:space="preserve"> </w:t>
      </w:r>
      <w:r w:rsidRPr="001D61F0">
        <w:t>to</w:t>
      </w:r>
      <w:r w:rsidRPr="001D61F0">
        <w:rPr>
          <w:spacing w:val="-1"/>
        </w:rPr>
        <w:t xml:space="preserve"> </w:t>
      </w:r>
      <w:r w:rsidRPr="001D61F0">
        <w:t>the</w:t>
      </w:r>
      <w:r w:rsidRPr="001D61F0">
        <w:rPr>
          <w:spacing w:val="-1"/>
        </w:rPr>
        <w:t xml:space="preserve"> </w:t>
      </w:r>
      <w:r w:rsidRPr="001D61F0">
        <w:t>ADI</w:t>
      </w:r>
      <w:r w:rsidRPr="001D61F0">
        <w:rPr>
          <w:spacing w:val="-1"/>
        </w:rPr>
        <w:t xml:space="preserve"> </w:t>
      </w:r>
      <w:r w:rsidRPr="001D61F0">
        <w:t>and</w:t>
      </w:r>
      <w:r w:rsidRPr="001D61F0">
        <w:rPr>
          <w:spacing w:val="-3"/>
        </w:rPr>
        <w:t xml:space="preserve"> </w:t>
      </w:r>
      <w:r w:rsidRPr="001D61F0">
        <w:t>TDI.</w:t>
      </w:r>
      <w:r w:rsidRPr="001D61F0">
        <w:rPr>
          <w:spacing w:val="-3"/>
        </w:rPr>
        <w:t xml:space="preserve"> </w:t>
      </w:r>
      <w:r w:rsidRPr="001D61F0">
        <w:t>In</w:t>
      </w:r>
      <w:r w:rsidRPr="001D61F0">
        <w:rPr>
          <w:spacing w:val="-3"/>
        </w:rPr>
        <w:t xml:space="preserve"> </w:t>
      </w:r>
      <w:r w:rsidRPr="001D61F0">
        <w:t xml:space="preserve">Food Additives and Contaminants, 15 Suppl, 17–35. doi: </w:t>
      </w:r>
      <w:hyperlink r:id="rId132">
        <w:r w:rsidRPr="001D61F0">
          <w:rPr>
            <w:color w:val="0000FF"/>
            <w:u w:val="single" w:color="0000FF"/>
          </w:rPr>
          <w:t>https://doi.org/10.1080/02652039809374612</w:t>
        </w:r>
      </w:hyperlink>
    </w:p>
    <w:p w14:paraId="6921D351" w14:textId="77777777" w:rsidR="00FE12C3" w:rsidRPr="001D61F0" w:rsidRDefault="00FE12C3" w:rsidP="00FE12C3">
      <w:pPr>
        <w:pStyle w:val="BodyText"/>
        <w:spacing w:before="116" w:line="259" w:lineRule="auto"/>
        <w:ind w:right="195"/>
      </w:pPr>
      <w:r w:rsidRPr="001D61F0">
        <w:rPr>
          <w:color w:val="232323"/>
        </w:rPr>
        <w:t>Safe</w:t>
      </w:r>
      <w:r w:rsidRPr="001D61F0">
        <w:rPr>
          <w:color w:val="232323"/>
          <w:spacing w:val="-2"/>
        </w:rPr>
        <w:t xml:space="preserve"> </w:t>
      </w:r>
      <w:r w:rsidRPr="001D61F0">
        <w:rPr>
          <w:color w:val="232323"/>
        </w:rPr>
        <w:t>Work</w:t>
      </w:r>
      <w:r w:rsidRPr="001D61F0">
        <w:rPr>
          <w:color w:val="232323"/>
          <w:spacing w:val="-3"/>
        </w:rPr>
        <w:t xml:space="preserve"> </w:t>
      </w:r>
      <w:r w:rsidRPr="001D61F0">
        <w:rPr>
          <w:color w:val="232323"/>
        </w:rPr>
        <w:t>Australia</w:t>
      </w:r>
      <w:r w:rsidRPr="001D61F0">
        <w:rPr>
          <w:color w:val="232323"/>
          <w:spacing w:val="-2"/>
        </w:rPr>
        <w:t xml:space="preserve"> </w:t>
      </w:r>
      <w:r w:rsidRPr="001D61F0">
        <w:rPr>
          <w:color w:val="232323"/>
        </w:rPr>
        <w:t>(2019).</w:t>
      </w:r>
      <w:r w:rsidRPr="001D61F0">
        <w:rPr>
          <w:color w:val="232323"/>
          <w:spacing w:val="-4"/>
        </w:rPr>
        <w:t xml:space="preserve"> </w:t>
      </w:r>
      <w:r w:rsidRPr="001D61F0">
        <w:rPr>
          <w:color w:val="232323"/>
        </w:rPr>
        <w:t>Guide</w:t>
      </w:r>
      <w:r w:rsidRPr="001D61F0">
        <w:rPr>
          <w:color w:val="232323"/>
          <w:spacing w:val="-4"/>
        </w:rPr>
        <w:t xml:space="preserve"> </w:t>
      </w:r>
      <w:r w:rsidRPr="001D61F0">
        <w:rPr>
          <w:color w:val="232323"/>
        </w:rPr>
        <w:t>on</w:t>
      </w:r>
      <w:r w:rsidRPr="001D61F0">
        <w:rPr>
          <w:color w:val="232323"/>
          <w:spacing w:val="-4"/>
        </w:rPr>
        <w:t xml:space="preserve"> </w:t>
      </w:r>
      <w:r w:rsidRPr="001D61F0">
        <w:rPr>
          <w:color w:val="232323"/>
        </w:rPr>
        <w:t>exposure</w:t>
      </w:r>
      <w:r w:rsidRPr="001D61F0">
        <w:rPr>
          <w:color w:val="232323"/>
          <w:spacing w:val="-4"/>
        </w:rPr>
        <w:t xml:space="preserve"> </w:t>
      </w:r>
      <w:r w:rsidRPr="001D61F0">
        <w:rPr>
          <w:color w:val="232323"/>
        </w:rPr>
        <w:t>to</w:t>
      </w:r>
      <w:r w:rsidRPr="001D61F0">
        <w:rPr>
          <w:color w:val="232323"/>
          <w:spacing w:val="-4"/>
        </w:rPr>
        <w:t xml:space="preserve"> </w:t>
      </w:r>
      <w:r w:rsidRPr="001D61F0">
        <w:rPr>
          <w:color w:val="232323"/>
        </w:rPr>
        <w:t>solar</w:t>
      </w:r>
      <w:r w:rsidRPr="001D61F0">
        <w:rPr>
          <w:color w:val="232323"/>
          <w:spacing w:val="-3"/>
        </w:rPr>
        <w:t xml:space="preserve"> </w:t>
      </w:r>
      <w:r w:rsidRPr="001D61F0">
        <w:rPr>
          <w:color w:val="232323"/>
        </w:rPr>
        <w:t>ultraviolet</w:t>
      </w:r>
      <w:r w:rsidRPr="001D61F0">
        <w:rPr>
          <w:color w:val="232323"/>
          <w:spacing w:val="-4"/>
        </w:rPr>
        <w:t xml:space="preserve"> </w:t>
      </w:r>
      <w:r w:rsidRPr="001D61F0">
        <w:rPr>
          <w:color w:val="232323"/>
        </w:rPr>
        <w:t>radiation</w:t>
      </w:r>
      <w:r w:rsidRPr="001D61F0">
        <w:rPr>
          <w:color w:val="232323"/>
          <w:spacing w:val="-2"/>
        </w:rPr>
        <w:t xml:space="preserve"> </w:t>
      </w:r>
      <w:r w:rsidRPr="001D61F0">
        <w:rPr>
          <w:color w:val="232323"/>
        </w:rPr>
        <w:t>(UVR)</w:t>
      </w:r>
      <w:r w:rsidRPr="001D61F0">
        <w:rPr>
          <w:color w:val="232323"/>
          <w:spacing w:val="-1"/>
        </w:rPr>
        <w:t xml:space="preserve"> </w:t>
      </w:r>
      <w:r w:rsidRPr="001D61F0">
        <w:rPr>
          <w:color w:val="232323"/>
        </w:rPr>
        <w:t>National</w:t>
      </w:r>
      <w:r w:rsidRPr="001D61F0">
        <w:rPr>
          <w:color w:val="232323"/>
          <w:spacing w:val="-5"/>
        </w:rPr>
        <w:t xml:space="preserve"> </w:t>
      </w:r>
      <w:r w:rsidRPr="001D61F0">
        <w:rPr>
          <w:color w:val="232323"/>
        </w:rPr>
        <w:t xml:space="preserve">Guidance. </w:t>
      </w:r>
      <w:r w:rsidRPr="001D61F0">
        <w:t xml:space="preserve">[online] </w:t>
      </w:r>
      <w:r w:rsidRPr="001D61F0">
        <w:rPr>
          <w:color w:val="232323"/>
        </w:rPr>
        <w:t xml:space="preserve">Available at: </w:t>
      </w:r>
      <w:hyperlink r:id="rId133">
        <w:r w:rsidRPr="001D61F0">
          <w:rPr>
            <w:color w:val="0000FF"/>
            <w:u w:val="single" w:color="0000FF"/>
          </w:rPr>
          <w:t>https://www.safeworkaustralia.gov.au/system/files/documents/2001/guide-</w:t>
        </w:r>
      </w:hyperlink>
      <w:r w:rsidRPr="001D61F0">
        <w:rPr>
          <w:color w:val="0000FF"/>
        </w:rPr>
        <w:t xml:space="preserve"> </w:t>
      </w:r>
      <w:hyperlink r:id="rId134">
        <w:r w:rsidRPr="001D61F0">
          <w:rPr>
            <w:color w:val="0000FF"/>
            <w:u w:val="single" w:color="0000FF"/>
          </w:rPr>
          <w:t>exposure-solar-ultraviolet-radiation_1.pdf</w:t>
        </w:r>
        <w:r w:rsidRPr="001D61F0">
          <w:rPr>
            <w:color w:val="232323"/>
          </w:rPr>
          <w:t>.</w:t>
        </w:r>
      </w:hyperlink>
      <w:r w:rsidRPr="001D61F0">
        <w:rPr>
          <w:color w:val="232323"/>
        </w:rPr>
        <w:t xml:space="preserve"> [Accessed 20 June 2024].</w:t>
      </w:r>
    </w:p>
    <w:p w14:paraId="51B4AEE7" w14:textId="77777777" w:rsidR="00FE12C3" w:rsidRPr="001D61F0" w:rsidRDefault="00FE12C3" w:rsidP="00FE12C3">
      <w:pPr>
        <w:pStyle w:val="BodyText"/>
        <w:spacing w:before="119" w:line="259" w:lineRule="auto"/>
        <w:ind w:right="161"/>
      </w:pPr>
      <w:r w:rsidRPr="001D61F0">
        <w:rPr>
          <w:color w:val="232323"/>
        </w:rPr>
        <w:t>Schalka, S., dos Reis, V.M.S. and Cucé, L.C. (2009). The influence of the amount of sunscreen applied and its sun protection factor (SPF): evaluation of two sunscreens including the same ingredients</w:t>
      </w:r>
      <w:r w:rsidRPr="001D61F0">
        <w:rPr>
          <w:color w:val="232323"/>
          <w:spacing w:val="-5"/>
        </w:rPr>
        <w:t xml:space="preserve"> </w:t>
      </w:r>
      <w:r w:rsidRPr="001D61F0">
        <w:rPr>
          <w:color w:val="232323"/>
        </w:rPr>
        <w:t>at</w:t>
      </w:r>
      <w:r w:rsidRPr="001D61F0">
        <w:rPr>
          <w:color w:val="232323"/>
          <w:spacing w:val="-4"/>
        </w:rPr>
        <w:t xml:space="preserve"> </w:t>
      </w:r>
      <w:r w:rsidRPr="001D61F0">
        <w:rPr>
          <w:color w:val="232323"/>
        </w:rPr>
        <w:t>different</w:t>
      </w:r>
      <w:r w:rsidRPr="001D61F0">
        <w:rPr>
          <w:color w:val="232323"/>
          <w:spacing w:val="-6"/>
        </w:rPr>
        <w:t xml:space="preserve"> </w:t>
      </w:r>
      <w:r w:rsidRPr="001D61F0">
        <w:rPr>
          <w:color w:val="232323"/>
        </w:rPr>
        <w:t>concentrations.</w:t>
      </w:r>
      <w:r w:rsidRPr="001D61F0">
        <w:rPr>
          <w:color w:val="232323"/>
          <w:spacing w:val="-4"/>
        </w:rPr>
        <w:t xml:space="preserve"> </w:t>
      </w:r>
      <w:r w:rsidRPr="001D61F0">
        <w:rPr>
          <w:color w:val="232323"/>
        </w:rPr>
        <w:t>Photodermatology,</w:t>
      </w:r>
      <w:r w:rsidRPr="001D61F0">
        <w:rPr>
          <w:color w:val="232323"/>
          <w:spacing w:val="-6"/>
        </w:rPr>
        <w:t xml:space="preserve"> </w:t>
      </w:r>
      <w:r w:rsidRPr="001D61F0">
        <w:rPr>
          <w:color w:val="232323"/>
        </w:rPr>
        <w:t>Photoimmunology</w:t>
      </w:r>
      <w:r w:rsidRPr="001D61F0">
        <w:rPr>
          <w:color w:val="232323"/>
          <w:spacing w:val="-2"/>
        </w:rPr>
        <w:t xml:space="preserve"> </w:t>
      </w:r>
      <w:r w:rsidRPr="001D61F0">
        <w:rPr>
          <w:color w:val="232323"/>
        </w:rPr>
        <w:t>&amp;</w:t>
      </w:r>
      <w:r w:rsidRPr="001D61F0">
        <w:rPr>
          <w:color w:val="232323"/>
          <w:spacing w:val="-7"/>
        </w:rPr>
        <w:t xml:space="preserve"> </w:t>
      </w:r>
      <w:r w:rsidRPr="001D61F0">
        <w:rPr>
          <w:color w:val="232323"/>
        </w:rPr>
        <w:t>Photomedicine,</w:t>
      </w:r>
      <w:r w:rsidRPr="001D61F0">
        <w:rPr>
          <w:color w:val="232323"/>
          <w:spacing w:val="-6"/>
        </w:rPr>
        <w:t xml:space="preserve"> </w:t>
      </w:r>
      <w:r w:rsidRPr="001D61F0">
        <w:rPr>
          <w:color w:val="232323"/>
        </w:rPr>
        <w:t xml:space="preserve">25(4), pp.175–180. doi: </w:t>
      </w:r>
      <w:hyperlink r:id="rId135">
        <w:r w:rsidRPr="001D61F0">
          <w:rPr>
            <w:color w:val="0000FF"/>
            <w:u w:val="single" w:color="0000FF"/>
          </w:rPr>
          <w:t>https://doi.org/10.1111/j.1600-0781.2009.00408.x</w:t>
        </w:r>
        <w:r w:rsidRPr="001D61F0">
          <w:rPr>
            <w:color w:val="232323"/>
          </w:rPr>
          <w:t>.</w:t>
        </w:r>
      </w:hyperlink>
    </w:p>
    <w:p w14:paraId="1BA6C403" w14:textId="77777777" w:rsidR="00FE12C3" w:rsidRPr="001D61F0" w:rsidRDefault="00FE12C3" w:rsidP="00FE12C3">
      <w:pPr>
        <w:pStyle w:val="BodyText"/>
        <w:spacing w:before="120" w:line="259" w:lineRule="auto"/>
        <w:ind w:right="626"/>
      </w:pPr>
      <w:r w:rsidRPr="001D61F0">
        <w:rPr>
          <w:color w:val="232323"/>
        </w:rPr>
        <w:t>Scientific</w:t>
      </w:r>
      <w:r w:rsidRPr="001D61F0">
        <w:rPr>
          <w:color w:val="232323"/>
          <w:spacing w:val="-3"/>
        </w:rPr>
        <w:t xml:space="preserve"> </w:t>
      </w:r>
      <w:r w:rsidRPr="001D61F0">
        <w:rPr>
          <w:color w:val="232323"/>
        </w:rPr>
        <w:t>Committee</w:t>
      </w:r>
      <w:r w:rsidRPr="001D61F0">
        <w:rPr>
          <w:color w:val="232323"/>
          <w:spacing w:val="-4"/>
        </w:rPr>
        <w:t xml:space="preserve"> </w:t>
      </w:r>
      <w:r w:rsidRPr="001D61F0">
        <w:rPr>
          <w:color w:val="232323"/>
        </w:rPr>
        <w:t>on</w:t>
      </w:r>
      <w:r w:rsidRPr="001D61F0">
        <w:rPr>
          <w:color w:val="232323"/>
          <w:spacing w:val="-2"/>
        </w:rPr>
        <w:t xml:space="preserve"> </w:t>
      </w:r>
      <w:r w:rsidRPr="001D61F0">
        <w:rPr>
          <w:color w:val="232323"/>
        </w:rPr>
        <w:t>Consumer</w:t>
      </w:r>
      <w:r w:rsidRPr="001D61F0">
        <w:rPr>
          <w:color w:val="232323"/>
          <w:spacing w:val="-1"/>
        </w:rPr>
        <w:t xml:space="preserve"> </w:t>
      </w:r>
      <w:r w:rsidRPr="001D61F0">
        <w:rPr>
          <w:color w:val="232323"/>
        </w:rPr>
        <w:t>Safety</w:t>
      </w:r>
      <w:r w:rsidRPr="001D61F0">
        <w:rPr>
          <w:color w:val="232323"/>
          <w:spacing w:val="-3"/>
        </w:rPr>
        <w:t xml:space="preserve"> </w:t>
      </w:r>
      <w:r w:rsidRPr="001D61F0">
        <w:rPr>
          <w:color w:val="232323"/>
        </w:rPr>
        <w:t>–</w:t>
      </w:r>
      <w:r w:rsidRPr="001D61F0">
        <w:rPr>
          <w:color w:val="232323"/>
          <w:spacing w:val="-1"/>
        </w:rPr>
        <w:t xml:space="preserve"> </w:t>
      </w:r>
      <w:r w:rsidRPr="001D61F0">
        <w:rPr>
          <w:color w:val="232323"/>
        </w:rPr>
        <w:t>SCCS</w:t>
      </w:r>
      <w:r w:rsidRPr="001D61F0">
        <w:rPr>
          <w:color w:val="232323"/>
          <w:spacing w:val="-5"/>
        </w:rPr>
        <w:t xml:space="preserve"> </w:t>
      </w:r>
      <w:r w:rsidRPr="001D61F0">
        <w:rPr>
          <w:color w:val="232323"/>
        </w:rPr>
        <w:t>(2021).</w:t>
      </w:r>
      <w:r w:rsidRPr="001D61F0">
        <w:rPr>
          <w:color w:val="232323"/>
          <w:spacing w:val="-4"/>
        </w:rPr>
        <w:t xml:space="preserve"> </w:t>
      </w:r>
      <w:r w:rsidRPr="001D61F0">
        <w:rPr>
          <w:color w:val="232323"/>
        </w:rPr>
        <w:t>The</w:t>
      </w:r>
      <w:r w:rsidRPr="001D61F0">
        <w:rPr>
          <w:color w:val="232323"/>
          <w:spacing w:val="-2"/>
        </w:rPr>
        <w:t xml:space="preserve"> </w:t>
      </w:r>
      <w:r w:rsidRPr="001D61F0">
        <w:rPr>
          <w:color w:val="232323"/>
        </w:rPr>
        <w:t>SCCS</w:t>
      </w:r>
      <w:r w:rsidRPr="001D61F0">
        <w:rPr>
          <w:color w:val="232323"/>
          <w:spacing w:val="-5"/>
        </w:rPr>
        <w:t xml:space="preserve"> </w:t>
      </w:r>
      <w:r w:rsidRPr="001D61F0">
        <w:rPr>
          <w:color w:val="232323"/>
        </w:rPr>
        <w:t>Notes</w:t>
      </w:r>
      <w:r w:rsidRPr="001D61F0">
        <w:rPr>
          <w:color w:val="232323"/>
          <w:spacing w:val="-3"/>
        </w:rPr>
        <w:t xml:space="preserve"> </w:t>
      </w:r>
      <w:r w:rsidRPr="001D61F0">
        <w:rPr>
          <w:color w:val="232323"/>
        </w:rPr>
        <w:t>of</w:t>
      </w:r>
      <w:r w:rsidRPr="001D61F0">
        <w:rPr>
          <w:color w:val="232323"/>
          <w:spacing w:val="-4"/>
        </w:rPr>
        <w:t xml:space="preserve"> </w:t>
      </w:r>
      <w:r w:rsidRPr="001D61F0">
        <w:rPr>
          <w:color w:val="232323"/>
        </w:rPr>
        <w:t>Guidance</w:t>
      </w:r>
      <w:r w:rsidRPr="001D61F0">
        <w:rPr>
          <w:color w:val="232323"/>
          <w:spacing w:val="-4"/>
        </w:rPr>
        <w:t xml:space="preserve"> </w:t>
      </w:r>
      <w:r w:rsidRPr="001D61F0">
        <w:rPr>
          <w:color w:val="232323"/>
        </w:rPr>
        <w:t>for</w:t>
      </w:r>
      <w:r w:rsidRPr="001D61F0">
        <w:rPr>
          <w:color w:val="232323"/>
          <w:spacing w:val="-3"/>
        </w:rPr>
        <w:t xml:space="preserve"> </w:t>
      </w:r>
      <w:r w:rsidRPr="001D61F0">
        <w:rPr>
          <w:color w:val="232323"/>
        </w:rPr>
        <w:t>The Testing of Cosmetic Ingredients and Their Safety Evaluation 11</w:t>
      </w:r>
      <w:r w:rsidRPr="001D61F0">
        <w:rPr>
          <w:color w:val="232323"/>
          <w:position w:val="6"/>
          <w:sz w:val="13"/>
        </w:rPr>
        <w:t>th</w:t>
      </w:r>
      <w:r w:rsidRPr="001D61F0">
        <w:rPr>
          <w:color w:val="232323"/>
          <w:spacing w:val="27"/>
          <w:position w:val="6"/>
          <w:sz w:val="13"/>
        </w:rPr>
        <w:t xml:space="preserve"> </w:t>
      </w:r>
      <w:r w:rsidRPr="001D61F0">
        <w:rPr>
          <w:color w:val="232323"/>
        </w:rPr>
        <w:t xml:space="preserve">Revision. Available at: </w:t>
      </w:r>
      <w:hyperlink r:id="rId136">
        <w:r w:rsidRPr="001D61F0">
          <w:rPr>
            <w:color w:val="0000FF"/>
            <w:spacing w:val="-2"/>
            <w:u w:val="single" w:color="0000FF"/>
          </w:rPr>
          <w:t>https://health.ec.europa.eu/document/download/89af1a70-a2b1-44da-a868-</w:t>
        </w:r>
      </w:hyperlink>
      <w:r w:rsidRPr="001D61F0">
        <w:rPr>
          <w:color w:val="0000FF"/>
          <w:spacing w:val="-2"/>
        </w:rPr>
        <w:t xml:space="preserve"> </w:t>
      </w:r>
      <w:hyperlink r:id="rId137">
        <w:r w:rsidRPr="001D61F0">
          <w:rPr>
            <w:color w:val="0000FF"/>
            <w:u w:val="single" w:color="0000FF"/>
          </w:rPr>
          <w:t>e7d80a8e736c_en?filename=sccs_o_250.pdf</w:t>
        </w:r>
        <w:r w:rsidRPr="001D61F0">
          <w:rPr>
            <w:color w:val="232323"/>
          </w:rPr>
          <w:t>.</w:t>
        </w:r>
      </w:hyperlink>
      <w:r w:rsidRPr="001D61F0">
        <w:rPr>
          <w:color w:val="232323"/>
        </w:rPr>
        <w:t xml:space="preserve"> [Accessed 19 June 2024].</w:t>
      </w:r>
    </w:p>
    <w:p w14:paraId="67BA76BD" w14:textId="77777777" w:rsidR="00FE12C3" w:rsidRPr="001D61F0" w:rsidRDefault="00FE12C3" w:rsidP="00FE12C3">
      <w:pPr>
        <w:pStyle w:val="BodyText"/>
        <w:spacing w:before="120" w:line="259" w:lineRule="auto"/>
        <w:ind w:right="158"/>
      </w:pPr>
      <w:r w:rsidRPr="001D61F0">
        <w:rPr>
          <w:color w:val="232323"/>
        </w:rPr>
        <w:t>Scientific Committee on Consumer Safety – SCCS (2023). The SCCS Notes of Guidance for The Testing of Cosmetic Ingredients and Their Safety Evaluation 12</w:t>
      </w:r>
      <w:r w:rsidRPr="001D61F0">
        <w:rPr>
          <w:color w:val="232323"/>
          <w:position w:val="6"/>
          <w:sz w:val="13"/>
        </w:rPr>
        <w:t>th</w:t>
      </w:r>
      <w:r w:rsidRPr="001D61F0">
        <w:rPr>
          <w:color w:val="232323"/>
          <w:spacing w:val="27"/>
          <w:position w:val="6"/>
          <w:sz w:val="13"/>
        </w:rPr>
        <w:t xml:space="preserve"> </w:t>
      </w:r>
      <w:r w:rsidRPr="001D61F0">
        <w:rPr>
          <w:color w:val="232323"/>
        </w:rPr>
        <w:t xml:space="preserve">Revision. [online] Available at: </w:t>
      </w:r>
      <w:hyperlink r:id="rId138">
        <w:r w:rsidRPr="001D61F0">
          <w:rPr>
            <w:color w:val="0000FF"/>
            <w:spacing w:val="-2"/>
            <w:u w:val="single" w:color="0000FF"/>
          </w:rPr>
          <w:t>https://health.ec.europa.eu/latest-updates/sccs-notes-guidance-testing-cosmetic-ingredients-and-their-</w:t>
        </w:r>
      </w:hyperlink>
      <w:r w:rsidRPr="001D61F0">
        <w:rPr>
          <w:color w:val="0000FF"/>
          <w:spacing w:val="-2"/>
        </w:rPr>
        <w:t xml:space="preserve"> </w:t>
      </w:r>
      <w:hyperlink r:id="rId139">
        <w:r w:rsidRPr="001D61F0">
          <w:rPr>
            <w:color w:val="0000FF"/>
            <w:u w:val="single" w:color="0000FF"/>
          </w:rPr>
          <w:t>safety-evaluation-12th-revision-2023-05-16_en</w:t>
        </w:r>
        <w:r w:rsidRPr="001D61F0">
          <w:rPr>
            <w:color w:val="232323"/>
          </w:rPr>
          <w:t>.</w:t>
        </w:r>
      </w:hyperlink>
      <w:r w:rsidRPr="001D61F0">
        <w:rPr>
          <w:color w:val="232323"/>
          <w:spacing w:val="40"/>
        </w:rPr>
        <w:t xml:space="preserve"> </w:t>
      </w:r>
      <w:r w:rsidRPr="001D61F0">
        <w:rPr>
          <w:color w:val="232323"/>
        </w:rPr>
        <w:t>[Accessed 19 June 2024].</w:t>
      </w:r>
    </w:p>
    <w:p w14:paraId="776A0DB8" w14:textId="77777777" w:rsidR="00FE12C3" w:rsidRPr="001D61F0" w:rsidRDefault="00FE12C3" w:rsidP="00FE12C3">
      <w:pPr>
        <w:pStyle w:val="BodyText"/>
        <w:spacing w:before="118" w:line="259" w:lineRule="auto"/>
      </w:pPr>
      <w:r w:rsidRPr="001D61F0">
        <w:rPr>
          <w:color w:val="232323"/>
        </w:rPr>
        <w:t>Scientific Committee on Cosmetic Products and Non-Food Products – SCCNFP (2002). Position Statement</w:t>
      </w:r>
      <w:r w:rsidRPr="001D61F0">
        <w:rPr>
          <w:color w:val="232323"/>
          <w:spacing w:val="-4"/>
        </w:rPr>
        <w:t xml:space="preserve"> </w:t>
      </w:r>
      <w:r w:rsidRPr="001D61F0">
        <w:rPr>
          <w:color w:val="232323"/>
        </w:rPr>
        <w:t>on</w:t>
      </w:r>
      <w:r w:rsidRPr="001D61F0">
        <w:rPr>
          <w:color w:val="232323"/>
          <w:spacing w:val="-4"/>
        </w:rPr>
        <w:t xml:space="preserve"> </w:t>
      </w:r>
      <w:r w:rsidRPr="001D61F0">
        <w:rPr>
          <w:color w:val="232323"/>
        </w:rPr>
        <w:t>The</w:t>
      </w:r>
      <w:r w:rsidRPr="001D61F0">
        <w:rPr>
          <w:color w:val="232323"/>
          <w:spacing w:val="-2"/>
        </w:rPr>
        <w:t xml:space="preserve"> </w:t>
      </w:r>
      <w:r w:rsidRPr="001D61F0">
        <w:rPr>
          <w:color w:val="232323"/>
        </w:rPr>
        <w:t>Calculation</w:t>
      </w:r>
      <w:r w:rsidRPr="001D61F0">
        <w:rPr>
          <w:color w:val="232323"/>
          <w:spacing w:val="-4"/>
        </w:rPr>
        <w:t xml:space="preserve"> </w:t>
      </w:r>
      <w:r w:rsidRPr="001D61F0">
        <w:rPr>
          <w:color w:val="232323"/>
        </w:rPr>
        <w:t>of</w:t>
      </w:r>
      <w:r w:rsidRPr="001D61F0">
        <w:rPr>
          <w:color w:val="232323"/>
          <w:spacing w:val="-2"/>
        </w:rPr>
        <w:t xml:space="preserve"> </w:t>
      </w:r>
      <w:r w:rsidRPr="001D61F0">
        <w:rPr>
          <w:color w:val="232323"/>
        </w:rPr>
        <w:t>The</w:t>
      </w:r>
      <w:r w:rsidRPr="001D61F0">
        <w:rPr>
          <w:color w:val="232323"/>
          <w:spacing w:val="-2"/>
        </w:rPr>
        <w:t xml:space="preserve"> </w:t>
      </w:r>
      <w:r w:rsidRPr="001D61F0">
        <w:rPr>
          <w:color w:val="232323"/>
        </w:rPr>
        <w:t>Margin</w:t>
      </w:r>
      <w:r w:rsidRPr="001D61F0">
        <w:rPr>
          <w:color w:val="232323"/>
          <w:spacing w:val="-2"/>
        </w:rPr>
        <w:t xml:space="preserve"> </w:t>
      </w:r>
      <w:r w:rsidRPr="001D61F0">
        <w:rPr>
          <w:color w:val="232323"/>
        </w:rPr>
        <w:t>of</w:t>
      </w:r>
      <w:r w:rsidRPr="001D61F0">
        <w:rPr>
          <w:color w:val="232323"/>
          <w:spacing w:val="-4"/>
        </w:rPr>
        <w:t xml:space="preserve"> </w:t>
      </w:r>
      <w:r w:rsidRPr="001D61F0">
        <w:rPr>
          <w:color w:val="232323"/>
        </w:rPr>
        <w:t>Safety of</w:t>
      </w:r>
      <w:r w:rsidRPr="001D61F0">
        <w:rPr>
          <w:color w:val="232323"/>
          <w:spacing w:val="-4"/>
        </w:rPr>
        <w:t xml:space="preserve"> </w:t>
      </w:r>
      <w:r w:rsidRPr="001D61F0">
        <w:rPr>
          <w:color w:val="232323"/>
        </w:rPr>
        <w:t>Ingredients</w:t>
      </w:r>
      <w:r w:rsidRPr="001D61F0">
        <w:rPr>
          <w:color w:val="232323"/>
          <w:spacing w:val="-3"/>
        </w:rPr>
        <w:t xml:space="preserve"> </w:t>
      </w:r>
      <w:r w:rsidRPr="001D61F0">
        <w:rPr>
          <w:color w:val="232323"/>
        </w:rPr>
        <w:t>Incorporated</w:t>
      </w:r>
      <w:r w:rsidRPr="001D61F0">
        <w:rPr>
          <w:color w:val="232323"/>
          <w:spacing w:val="-2"/>
        </w:rPr>
        <w:t xml:space="preserve"> </w:t>
      </w:r>
      <w:r w:rsidRPr="001D61F0">
        <w:rPr>
          <w:color w:val="232323"/>
        </w:rPr>
        <w:t>in</w:t>
      </w:r>
      <w:r w:rsidRPr="001D61F0">
        <w:rPr>
          <w:color w:val="232323"/>
          <w:spacing w:val="-4"/>
        </w:rPr>
        <w:t xml:space="preserve"> </w:t>
      </w:r>
      <w:r w:rsidRPr="001D61F0">
        <w:rPr>
          <w:color w:val="232323"/>
        </w:rPr>
        <w:t>Cosmetics</w:t>
      </w:r>
      <w:r w:rsidRPr="001D61F0">
        <w:rPr>
          <w:color w:val="232323"/>
          <w:spacing w:val="-3"/>
        </w:rPr>
        <w:t xml:space="preserve"> </w:t>
      </w:r>
      <w:r w:rsidRPr="001D61F0">
        <w:rPr>
          <w:color w:val="232323"/>
        </w:rPr>
        <w:t xml:space="preserve">Which May Be Applied to The Skin of Children adopted by the SCCNFP [online] Available at: </w:t>
      </w:r>
      <w:hyperlink r:id="rId140">
        <w:r w:rsidRPr="001D61F0">
          <w:rPr>
            <w:color w:val="0000FF"/>
            <w:u w:val="single" w:color="0000FF"/>
          </w:rPr>
          <w:t>https://ec.europa.eu/health/archive/ph_risk/committees/sccp/documents/out152_en.pdf</w:t>
        </w:r>
        <w:r w:rsidRPr="001D61F0">
          <w:rPr>
            <w:color w:val="232323"/>
          </w:rPr>
          <w:t>.</w:t>
        </w:r>
      </w:hyperlink>
      <w:r w:rsidRPr="001D61F0">
        <w:rPr>
          <w:color w:val="232323"/>
          <w:spacing w:val="-3"/>
        </w:rPr>
        <w:t xml:space="preserve"> </w:t>
      </w:r>
      <w:r w:rsidRPr="001D61F0">
        <w:rPr>
          <w:color w:val="232323"/>
        </w:rPr>
        <w:t>[Accessed</w:t>
      </w:r>
      <w:r w:rsidRPr="001D61F0">
        <w:rPr>
          <w:color w:val="232323"/>
          <w:spacing w:val="-1"/>
        </w:rPr>
        <w:t xml:space="preserve"> </w:t>
      </w:r>
      <w:r w:rsidRPr="001D61F0">
        <w:rPr>
          <w:color w:val="232323"/>
        </w:rPr>
        <w:t>20</w:t>
      </w:r>
    </w:p>
    <w:p w14:paraId="3A9D3C9D" w14:textId="77777777" w:rsidR="00FE12C3" w:rsidRPr="001D61F0" w:rsidRDefault="00FE12C3" w:rsidP="00FE12C3">
      <w:pPr>
        <w:pStyle w:val="BodyText"/>
      </w:pPr>
      <w:r w:rsidRPr="001D61F0">
        <w:rPr>
          <w:color w:val="232323"/>
        </w:rPr>
        <w:t>June</w:t>
      </w:r>
      <w:r w:rsidRPr="001D61F0">
        <w:rPr>
          <w:color w:val="232323"/>
          <w:spacing w:val="-7"/>
        </w:rPr>
        <w:t xml:space="preserve"> </w:t>
      </w:r>
      <w:r w:rsidRPr="001D61F0">
        <w:rPr>
          <w:color w:val="232323"/>
          <w:spacing w:val="-2"/>
        </w:rPr>
        <w:t>2024].</w:t>
      </w:r>
    </w:p>
    <w:p w14:paraId="3D2B14BF" w14:textId="77777777" w:rsidR="00FE12C3" w:rsidRPr="001D61F0" w:rsidRDefault="00FE12C3" w:rsidP="00FE12C3">
      <w:pPr>
        <w:pStyle w:val="BodyText"/>
        <w:spacing w:before="137" w:line="259" w:lineRule="auto"/>
      </w:pPr>
      <w:r w:rsidRPr="001D61F0">
        <w:rPr>
          <w:color w:val="232323"/>
        </w:rPr>
        <w:t>Stanton,</w:t>
      </w:r>
      <w:r w:rsidRPr="001D61F0">
        <w:rPr>
          <w:color w:val="232323"/>
          <w:spacing w:val="-2"/>
        </w:rPr>
        <w:t xml:space="preserve"> </w:t>
      </w:r>
      <w:r w:rsidRPr="001D61F0">
        <w:rPr>
          <w:color w:val="232323"/>
        </w:rPr>
        <w:t>W.R.</w:t>
      </w:r>
      <w:r w:rsidRPr="001D61F0">
        <w:rPr>
          <w:color w:val="232323"/>
          <w:spacing w:val="-4"/>
        </w:rPr>
        <w:t xml:space="preserve"> </w:t>
      </w:r>
      <w:r w:rsidRPr="001D61F0">
        <w:rPr>
          <w:color w:val="232323"/>
        </w:rPr>
        <w:t>(2004).</w:t>
      </w:r>
      <w:r w:rsidRPr="001D61F0">
        <w:rPr>
          <w:color w:val="232323"/>
          <w:spacing w:val="-2"/>
        </w:rPr>
        <w:t xml:space="preserve"> </w:t>
      </w:r>
      <w:r w:rsidRPr="001D61F0">
        <w:rPr>
          <w:color w:val="232323"/>
        </w:rPr>
        <w:t>Primary</w:t>
      </w:r>
      <w:r w:rsidRPr="001D61F0">
        <w:rPr>
          <w:color w:val="232323"/>
          <w:spacing w:val="-3"/>
        </w:rPr>
        <w:t xml:space="preserve"> </w:t>
      </w:r>
      <w:r w:rsidRPr="001D61F0">
        <w:rPr>
          <w:color w:val="232323"/>
        </w:rPr>
        <w:t>prevention</w:t>
      </w:r>
      <w:r w:rsidRPr="001D61F0">
        <w:rPr>
          <w:color w:val="232323"/>
          <w:spacing w:val="-2"/>
        </w:rPr>
        <w:t xml:space="preserve"> </w:t>
      </w:r>
      <w:r w:rsidRPr="001D61F0">
        <w:rPr>
          <w:color w:val="232323"/>
        </w:rPr>
        <w:t>of</w:t>
      </w:r>
      <w:r w:rsidRPr="001D61F0">
        <w:rPr>
          <w:color w:val="232323"/>
          <w:spacing w:val="-4"/>
        </w:rPr>
        <w:t xml:space="preserve"> </w:t>
      </w:r>
      <w:r w:rsidRPr="001D61F0">
        <w:rPr>
          <w:color w:val="232323"/>
        </w:rPr>
        <w:t>skin</w:t>
      </w:r>
      <w:r w:rsidRPr="001D61F0">
        <w:rPr>
          <w:color w:val="232323"/>
          <w:spacing w:val="-4"/>
        </w:rPr>
        <w:t xml:space="preserve"> </w:t>
      </w:r>
      <w:r w:rsidRPr="001D61F0">
        <w:rPr>
          <w:color w:val="232323"/>
        </w:rPr>
        <w:t>cancer:</w:t>
      </w:r>
      <w:r w:rsidRPr="001D61F0">
        <w:rPr>
          <w:color w:val="232323"/>
          <w:spacing w:val="-4"/>
        </w:rPr>
        <w:t xml:space="preserve"> </w:t>
      </w:r>
      <w:r w:rsidRPr="001D61F0">
        <w:rPr>
          <w:color w:val="232323"/>
        </w:rPr>
        <w:t>a</w:t>
      </w:r>
      <w:r w:rsidRPr="001D61F0">
        <w:rPr>
          <w:color w:val="232323"/>
          <w:spacing w:val="-4"/>
        </w:rPr>
        <w:t xml:space="preserve"> </w:t>
      </w:r>
      <w:r w:rsidRPr="001D61F0">
        <w:rPr>
          <w:color w:val="232323"/>
        </w:rPr>
        <w:t>review</w:t>
      </w:r>
      <w:r w:rsidRPr="001D61F0">
        <w:rPr>
          <w:color w:val="232323"/>
          <w:spacing w:val="-4"/>
        </w:rPr>
        <w:t xml:space="preserve"> </w:t>
      </w:r>
      <w:r w:rsidRPr="001D61F0">
        <w:rPr>
          <w:color w:val="232323"/>
        </w:rPr>
        <w:t>of</w:t>
      </w:r>
      <w:r w:rsidRPr="001D61F0">
        <w:rPr>
          <w:color w:val="232323"/>
          <w:spacing w:val="-2"/>
        </w:rPr>
        <w:t xml:space="preserve"> </w:t>
      </w:r>
      <w:r w:rsidRPr="001D61F0">
        <w:rPr>
          <w:color w:val="232323"/>
        </w:rPr>
        <w:t>sun</w:t>
      </w:r>
      <w:r w:rsidRPr="001D61F0">
        <w:rPr>
          <w:color w:val="232323"/>
          <w:spacing w:val="-4"/>
        </w:rPr>
        <w:t xml:space="preserve"> </w:t>
      </w:r>
      <w:r w:rsidRPr="001D61F0">
        <w:rPr>
          <w:color w:val="232323"/>
        </w:rPr>
        <w:t>protection</w:t>
      </w:r>
      <w:r w:rsidRPr="001D61F0">
        <w:rPr>
          <w:color w:val="232323"/>
          <w:spacing w:val="-4"/>
        </w:rPr>
        <w:t xml:space="preserve"> </w:t>
      </w:r>
      <w:r w:rsidRPr="001D61F0">
        <w:rPr>
          <w:color w:val="232323"/>
        </w:rPr>
        <w:t>in</w:t>
      </w:r>
      <w:r w:rsidRPr="001D61F0">
        <w:rPr>
          <w:color w:val="232323"/>
          <w:spacing w:val="-4"/>
        </w:rPr>
        <w:t xml:space="preserve"> </w:t>
      </w:r>
      <w:r w:rsidRPr="001D61F0">
        <w:rPr>
          <w:color w:val="232323"/>
        </w:rPr>
        <w:t>Australia</w:t>
      </w:r>
      <w:r w:rsidRPr="001D61F0">
        <w:rPr>
          <w:color w:val="232323"/>
          <w:spacing w:val="-2"/>
        </w:rPr>
        <w:t xml:space="preserve"> </w:t>
      </w:r>
      <w:r w:rsidRPr="001D61F0">
        <w:rPr>
          <w:color w:val="232323"/>
        </w:rPr>
        <w:t xml:space="preserve">and internationally. Health Promotion International, [online] 19(3), pp.369–378. doi: </w:t>
      </w:r>
      <w:hyperlink r:id="rId141">
        <w:r w:rsidRPr="001D61F0">
          <w:rPr>
            <w:color w:val="0000FF"/>
            <w:spacing w:val="-2"/>
            <w:u w:val="single" w:color="0000FF"/>
          </w:rPr>
          <w:t>https://doi.org/10.1093/heapro/dah310</w:t>
        </w:r>
        <w:r w:rsidRPr="001D61F0">
          <w:rPr>
            <w:color w:val="232323"/>
            <w:spacing w:val="-2"/>
          </w:rPr>
          <w:t>.</w:t>
        </w:r>
      </w:hyperlink>
    </w:p>
    <w:p w14:paraId="38C7C8B1" w14:textId="77777777" w:rsidR="00FE12C3" w:rsidRPr="001D61F0" w:rsidRDefault="00FE12C3" w:rsidP="00FE12C3">
      <w:pPr>
        <w:pStyle w:val="BodyText"/>
        <w:spacing w:before="121" w:line="256" w:lineRule="auto"/>
        <w:ind w:right="183"/>
      </w:pPr>
      <w:r w:rsidRPr="001D61F0">
        <w:rPr>
          <w:color w:val="232323"/>
        </w:rPr>
        <w:t>Stokes,</w:t>
      </w:r>
      <w:r w:rsidRPr="001D61F0">
        <w:rPr>
          <w:color w:val="232323"/>
          <w:spacing w:val="-4"/>
        </w:rPr>
        <w:t xml:space="preserve"> </w:t>
      </w:r>
      <w:r w:rsidRPr="001D61F0">
        <w:rPr>
          <w:color w:val="232323"/>
        </w:rPr>
        <w:t>R.</w:t>
      </w:r>
      <w:r w:rsidRPr="001D61F0">
        <w:rPr>
          <w:color w:val="232323"/>
          <w:spacing w:val="-2"/>
        </w:rPr>
        <w:t xml:space="preserve"> </w:t>
      </w:r>
      <w:r w:rsidRPr="001D61F0">
        <w:rPr>
          <w:color w:val="232323"/>
        </w:rPr>
        <w:t>and</w:t>
      </w:r>
      <w:r w:rsidRPr="001D61F0">
        <w:rPr>
          <w:color w:val="232323"/>
          <w:spacing w:val="-4"/>
        </w:rPr>
        <w:t xml:space="preserve"> </w:t>
      </w:r>
      <w:r w:rsidRPr="001D61F0">
        <w:rPr>
          <w:color w:val="232323"/>
        </w:rPr>
        <w:t>Diffey,</w:t>
      </w:r>
      <w:r w:rsidRPr="001D61F0">
        <w:rPr>
          <w:color w:val="232323"/>
          <w:spacing w:val="-2"/>
        </w:rPr>
        <w:t xml:space="preserve"> </w:t>
      </w:r>
      <w:r w:rsidRPr="001D61F0">
        <w:rPr>
          <w:color w:val="232323"/>
        </w:rPr>
        <w:t>B.</w:t>
      </w:r>
      <w:r w:rsidRPr="001D61F0">
        <w:rPr>
          <w:color w:val="232323"/>
          <w:spacing w:val="-4"/>
        </w:rPr>
        <w:t xml:space="preserve"> </w:t>
      </w:r>
      <w:r w:rsidRPr="001D61F0">
        <w:rPr>
          <w:color w:val="232323"/>
        </w:rPr>
        <w:t>(1997).</w:t>
      </w:r>
      <w:r w:rsidRPr="001D61F0">
        <w:rPr>
          <w:color w:val="232323"/>
          <w:spacing w:val="-4"/>
        </w:rPr>
        <w:t xml:space="preserve"> </w:t>
      </w:r>
      <w:r w:rsidRPr="001D61F0">
        <w:rPr>
          <w:color w:val="232323"/>
        </w:rPr>
        <w:t>How</w:t>
      </w:r>
      <w:r w:rsidRPr="001D61F0">
        <w:rPr>
          <w:color w:val="232323"/>
          <w:spacing w:val="-4"/>
        </w:rPr>
        <w:t xml:space="preserve"> </w:t>
      </w:r>
      <w:r w:rsidRPr="001D61F0">
        <w:rPr>
          <w:color w:val="232323"/>
        </w:rPr>
        <w:t>well</w:t>
      </w:r>
      <w:r w:rsidRPr="001D61F0">
        <w:rPr>
          <w:color w:val="232323"/>
          <w:spacing w:val="-5"/>
        </w:rPr>
        <w:t xml:space="preserve"> </w:t>
      </w:r>
      <w:r w:rsidRPr="001D61F0">
        <w:rPr>
          <w:color w:val="232323"/>
        </w:rPr>
        <w:t>are</w:t>
      </w:r>
      <w:r w:rsidRPr="001D61F0">
        <w:rPr>
          <w:color w:val="232323"/>
          <w:spacing w:val="-4"/>
        </w:rPr>
        <w:t xml:space="preserve"> </w:t>
      </w:r>
      <w:r w:rsidRPr="001D61F0">
        <w:rPr>
          <w:color w:val="232323"/>
        </w:rPr>
        <w:t>sunscreen</w:t>
      </w:r>
      <w:r w:rsidRPr="001D61F0">
        <w:rPr>
          <w:color w:val="232323"/>
          <w:spacing w:val="-4"/>
        </w:rPr>
        <w:t xml:space="preserve"> </w:t>
      </w:r>
      <w:r w:rsidRPr="001D61F0">
        <w:rPr>
          <w:color w:val="232323"/>
        </w:rPr>
        <w:t>users</w:t>
      </w:r>
      <w:r w:rsidRPr="001D61F0">
        <w:rPr>
          <w:color w:val="232323"/>
          <w:spacing w:val="-3"/>
        </w:rPr>
        <w:t xml:space="preserve"> </w:t>
      </w:r>
      <w:r w:rsidRPr="001D61F0">
        <w:rPr>
          <w:color w:val="232323"/>
        </w:rPr>
        <w:t>protected?</w:t>
      </w:r>
      <w:r w:rsidRPr="001D61F0">
        <w:rPr>
          <w:color w:val="232323"/>
          <w:spacing w:val="-4"/>
        </w:rPr>
        <w:t xml:space="preserve"> </w:t>
      </w:r>
      <w:r w:rsidRPr="001D61F0">
        <w:rPr>
          <w:color w:val="232323"/>
        </w:rPr>
        <w:t xml:space="preserve">Photodermatology, Photoimmunology &amp; Photomedicine, 13(5-6), pp.186–188. doi: </w:t>
      </w:r>
      <w:hyperlink r:id="rId142">
        <w:r w:rsidRPr="001D61F0">
          <w:rPr>
            <w:color w:val="0000FF"/>
            <w:u w:val="single" w:color="0000FF"/>
          </w:rPr>
          <w:t>https://doi.org/10.1111/j.1600-</w:t>
        </w:r>
      </w:hyperlink>
      <w:r w:rsidRPr="001D61F0">
        <w:rPr>
          <w:color w:val="0000FF"/>
        </w:rPr>
        <w:t xml:space="preserve"> </w:t>
      </w:r>
      <w:hyperlink r:id="rId143">
        <w:r w:rsidRPr="001D61F0">
          <w:rPr>
            <w:color w:val="0000FF"/>
            <w:spacing w:val="-2"/>
            <w:u w:val="single" w:color="0000FF"/>
          </w:rPr>
          <w:t>0781.1997.tb00227.x</w:t>
        </w:r>
        <w:r w:rsidRPr="001D61F0">
          <w:rPr>
            <w:color w:val="232323"/>
            <w:spacing w:val="-2"/>
          </w:rPr>
          <w:t>.</w:t>
        </w:r>
      </w:hyperlink>
    </w:p>
    <w:p w14:paraId="636AF7F4" w14:textId="77777777" w:rsidR="00FE12C3" w:rsidRPr="001D61F0" w:rsidRDefault="00FE12C3" w:rsidP="00FE12C3">
      <w:pPr>
        <w:pStyle w:val="BodyText"/>
        <w:spacing w:before="126" w:line="256" w:lineRule="auto"/>
        <w:ind w:right="1593"/>
      </w:pPr>
      <w:r w:rsidRPr="001D61F0">
        <w:rPr>
          <w:color w:val="232323"/>
        </w:rPr>
        <w:t xml:space="preserve">SunSmart (2024). Protect your skin - SunSmart. [online] Available at: </w:t>
      </w:r>
      <w:hyperlink r:id="rId144" w:anchor="sunscreen">
        <w:r w:rsidRPr="001D61F0">
          <w:rPr>
            <w:color w:val="0000FF"/>
            <w:u w:val="single" w:color="0000FF"/>
          </w:rPr>
          <w:t>https://www.sunsmart.com.au/protect-your-skin#sunscreen</w:t>
        </w:r>
        <w:r w:rsidRPr="001D61F0">
          <w:rPr>
            <w:color w:val="232323"/>
          </w:rPr>
          <w:t>.</w:t>
        </w:r>
      </w:hyperlink>
      <w:r w:rsidRPr="001D61F0">
        <w:rPr>
          <w:color w:val="232323"/>
          <w:spacing w:val="-10"/>
        </w:rPr>
        <w:t xml:space="preserve"> </w:t>
      </w:r>
      <w:r w:rsidRPr="001D61F0">
        <w:rPr>
          <w:color w:val="232323"/>
        </w:rPr>
        <w:t>[Accessed</w:t>
      </w:r>
      <w:r w:rsidRPr="001D61F0">
        <w:rPr>
          <w:color w:val="232323"/>
          <w:spacing w:val="-10"/>
        </w:rPr>
        <w:t xml:space="preserve"> </w:t>
      </w:r>
      <w:r w:rsidRPr="001D61F0">
        <w:rPr>
          <w:color w:val="232323"/>
        </w:rPr>
        <w:t>20</w:t>
      </w:r>
      <w:r w:rsidRPr="001D61F0">
        <w:rPr>
          <w:color w:val="232323"/>
          <w:spacing w:val="-9"/>
        </w:rPr>
        <w:t xml:space="preserve"> </w:t>
      </w:r>
      <w:r w:rsidRPr="001D61F0">
        <w:rPr>
          <w:color w:val="232323"/>
        </w:rPr>
        <w:t>June</w:t>
      </w:r>
      <w:r w:rsidRPr="001D61F0">
        <w:rPr>
          <w:color w:val="232323"/>
          <w:spacing w:val="-9"/>
        </w:rPr>
        <w:t xml:space="preserve"> </w:t>
      </w:r>
      <w:r w:rsidRPr="001D61F0">
        <w:rPr>
          <w:color w:val="232323"/>
        </w:rPr>
        <w:t>2024].</w:t>
      </w:r>
    </w:p>
    <w:p w14:paraId="19B73AB0" w14:textId="77777777" w:rsidR="00FE12C3" w:rsidRPr="001D61F0" w:rsidRDefault="00FE12C3" w:rsidP="00FE12C3">
      <w:pPr>
        <w:pStyle w:val="BodyText"/>
        <w:spacing w:before="125" w:line="256" w:lineRule="auto"/>
        <w:ind w:right="546"/>
      </w:pPr>
      <w:r w:rsidRPr="001D61F0">
        <w:t xml:space="preserve">Surf Life Saving Australia </w:t>
      </w:r>
      <w:r w:rsidRPr="001D61F0">
        <w:rPr>
          <w:color w:val="232323"/>
        </w:rPr>
        <w:t xml:space="preserve">(2006). </w:t>
      </w:r>
      <w:r w:rsidRPr="001D61F0">
        <w:t>Surf Life Saving Australia Policy</w:t>
      </w:r>
      <w:r w:rsidRPr="001D61F0">
        <w:rPr>
          <w:color w:val="232323"/>
        </w:rPr>
        <w:t xml:space="preserve">. </w:t>
      </w:r>
      <w:r w:rsidRPr="001D61F0">
        <w:t xml:space="preserve">[online] </w:t>
      </w:r>
      <w:r w:rsidRPr="001D61F0">
        <w:rPr>
          <w:color w:val="232323"/>
        </w:rPr>
        <w:t xml:space="preserve">Available at: </w:t>
      </w:r>
      <w:hyperlink r:id="rId145">
        <w:r w:rsidRPr="001D61F0">
          <w:rPr>
            <w:color w:val="0000FF"/>
            <w:u w:val="single" w:color="0000FF"/>
          </w:rPr>
          <w:t>https://sls.com.au/wp-content/uploads/2015/10/sun-safety-july2006.pdf</w:t>
        </w:r>
        <w:r w:rsidRPr="001D61F0">
          <w:rPr>
            <w:color w:val="232323"/>
          </w:rPr>
          <w:t>.</w:t>
        </w:r>
      </w:hyperlink>
      <w:r w:rsidRPr="001D61F0">
        <w:rPr>
          <w:color w:val="232323"/>
          <w:spacing w:val="-10"/>
        </w:rPr>
        <w:t xml:space="preserve"> </w:t>
      </w:r>
      <w:r w:rsidRPr="001D61F0">
        <w:rPr>
          <w:color w:val="232323"/>
        </w:rPr>
        <w:t>[Accessed</w:t>
      </w:r>
      <w:r w:rsidRPr="001D61F0">
        <w:rPr>
          <w:color w:val="232323"/>
          <w:spacing w:val="-8"/>
        </w:rPr>
        <w:t xml:space="preserve"> </w:t>
      </w:r>
      <w:r w:rsidRPr="001D61F0">
        <w:rPr>
          <w:color w:val="232323"/>
        </w:rPr>
        <w:t>20</w:t>
      </w:r>
      <w:r w:rsidRPr="001D61F0">
        <w:rPr>
          <w:color w:val="232323"/>
          <w:spacing w:val="-10"/>
        </w:rPr>
        <w:t xml:space="preserve"> </w:t>
      </w:r>
      <w:r w:rsidRPr="001D61F0">
        <w:rPr>
          <w:color w:val="232323"/>
        </w:rPr>
        <w:t>June</w:t>
      </w:r>
      <w:r w:rsidRPr="001D61F0">
        <w:rPr>
          <w:color w:val="232323"/>
          <w:spacing w:val="-10"/>
        </w:rPr>
        <w:t xml:space="preserve"> </w:t>
      </w:r>
      <w:r w:rsidRPr="001D61F0">
        <w:rPr>
          <w:color w:val="232323"/>
        </w:rPr>
        <w:t>2024].</w:t>
      </w:r>
    </w:p>
    <w:p w14:paraId="25532CC2" w14:textId="77777777" w:rsidR="00FE12C3" w:rsidRPr="001D61F0" w:rsidRDefault="00FE12C3" w:rsidP="00FE12C3">
      <w:pPr>
        <w:pStyle w:val="BodyText"/>
        <w:spacing w:before="122" w:line="259" w:lineRule="auto"/>
        <w:ind w:right="183"/>
      </w:pPr>
      <w:r w:rsidRPr="001D61F0">
        <w:rPr>
          <w:color w:val="232323"/>
        </w:rPr>
        <w:t>Tabbakh,</w:t>
      </w:r>
      <w:r w:rsidRPr="001D61F0">
        <w:rPr>
          <w:color w:val="232323"/>
          <w:spacing w:val="-3"/>
        </w:rPr>
        <w:t xml:space="preserve"> </w:t>
      </w:r>
      <w:r w:rsidRPr="001D61F0">
        <w:rPr>
          <w:color w:val="232323"/>
        </w:rPr>
        <w:t>T.,</w:t>
      </w:r>
      <w:r w:rsidRPr="001D61F0">
        <w:rPr>
          <w:color w:val="232323"/>
          <w:spacing w:val="-3"/>
        </w:rPr>
        <w:t xml:space="preserve"> </w:t>
      </w:r>
      <w:r w:rsidRPr="001D61F0">
        <w:rPr>
          <w:color w:val="232323"/>
        </w:rPr>
        <w:t>Volkov,</w:t>
      </w:r>
      <w:r w:rsidRPr="001D61F0">
        <w:rPr>
          <w:color w:val="232323"/>
          <w:spacing w:val="-3"/>
        </w:rPr>
        <w:t xml:space="preserve"> </w:t>
      </w:r>
      <w:r w:rsidRPr="001D61F0">
        <w:rPr>
          <w:color w:val="232323"/>
        </w:rPr>
        <w:t>A.,</w:t>
      </w:r>
      <w:r w:rsidRPr="001D61F0">
        <w:rPr>
          <w:color w:val="232323"/>
          <w:spacing w:val="-3"/>
        </w:rPr>
        <w:t xml:space="preserve"> </w:t>
      </w:r>
      <w:r w:rsidRPr="001D61F0">
        <w:rPr>
          <w:color w:val="232323"/>
        </w:rPr>
        <w:t>Wakefield,</w:t>
      </w:r>
      <w:r w:rsidRPr="001D61F0">
        <w:rPr>
          <w:color w:val="232323"/>
          <w:spacing w:val="-3"/>
        </w:rPr>
        <w:t xml:space="preserve"> </w:t>
      </w:r>
      <w:r w:rsidRPr="001D61F0">
        <w:rPr>
          <w:color w:val="232323"/>
        </w:rPr>
        <w:t>M.</w:t>
      </w:r>
      <w:r w:rsidRPr="001D61F0">
        <w:rPr>
          <w:color w:val="232323"/>
          <w:spacing w:val="-3"/>
        </w:rPr>
        <w:t xml:space="preserve"> </w:t>
      </w:r>
      <w:r w:rsidRPr="001D61F0">
        <w:rPr>
          <w:color w:val="232323"/>
        </w:rPr>
        <w:t>and</w:t>
      </w:r>
      <w:r w:rsidRPr="001D61F0">
        <w:rPr>
          <w:color w:val="232323"/>
          <w:spacing w:val="-3"/>
        </w:rPr>
        <w:t xml:space="preserve"> </w:t>
      </w:r>
      <w:r w:rsidRPr="001D61F0">
        <w:rPr>
          <w:color w:val="232323"/>
        </w:rPr>
        <w:t>Dobbinson,</w:t>
      </w:r>
      <w:r w:rsidRPr="001D61F0">
        <w:rPr>
          <w:color w:val="232323"/>
          <w:spacing w:val="-5"/>
        </w:rPr>
        <w:t xml:space="preserve"> </w:t>
      </w:r>
      <w:r w:rsidRPr="001D61F0">
        <w:rPr>
          <w:color w:val="232323"/>
        </w:rPr>
        <w:t>S.</w:t>
      </w:r>
      <w:r w:rsidRPr="001D61F0">
        <w:rPr>
          <w:color w:val="232323"/>
          <w:spacing w:val="-5"/>
        </w:rPr>
        <w:t xml:space="preserve"> </w:t>
      </w:r>
      <w:r w:rsidRPr="001D61F0">
        <w:rPr>
          <w:color w:val="232323"/>
        </w:rPr>
        <w:t>(2019).</w:t>
      </w:r>
      <w:r w:rsidRPr="001D61F0">
        <w:rPr>
          <w:color w:val="232323"/>
          <w:spacing w:val="-3"/>
        </w:rPr>
        <w:t xml:space="preserve"> </w:t>
      </w:r>
      <w:r w:rsidRPr="001D61F0">
        <w:rPr>
          <w:color w:val="232323"/>
        </w:rPr>
        <w:t>Implementation</w:t>
      </w:r>
      <w:r w:rsidRPr="001D61F0">
        <w:rPr>
          <w:color w:val="232323"/>
          <w:spacing w:val="-3"/>
        </w:rPr>
        <w:t xml:space="preserve"> </w:t>
      </w:r>
      <w:r w:rsidRPr="001D61F0">
        <w:rPr>
          <w:color w:val="232323"/>
        </w:rPr>
        <w:t>of</w:t>
      </w:r>
      <w:r w:rsidRPr="001D61F0">
        <w:rPr>
          <w:color w:val="232323"/>
          <w:spacing w:val="-5"/>
        </w:rPr>
        <w:t xml:space="preserve"> </w:t>
      </w:r>
      <w:r w:rsidRPr="001D61F0">
        <w:rPr>
          <w:color w:val="232323"/>
        </w:rPr>
        <w:t>the</w:t>
      </w:r>
      <w:r w:rsidRPr="001D61F0">
        <w:rPr>
          <w:color w:val="232323"/>
          <w:spacing w:val="-5"/>
        </w:rPr>
        <w:t xml:space="preserve"> </w:t>
      </w:r>
      <w:r w:rsidRPr="001D61F0">
        <w:rPr>
          <w:color w:val="232323"/>
        </w:rPr>
        <w:t xml:space="preserve">SunSmart program and population sun protection behaviour in Melbourne, Australia: Results from cross- sectional summer surveys from 1987 to 2017. PLOS Medicine, 16(10), p.e1002932. doi: </w:t>
      </w:r>
      <w:hyperlink r:id="rId146">
        <w:r w:rsidRPr="001D61F0">
          <w:rPr>
            <w:color w:val="0000FF"/>
            <w:spacing w:val="-2"/>
            <w:u w:val="single" w:color="0000FF"/>
          </w:rPr>
          <w:t>https://doi.org/10.1371/journal.pmed.1002932</w:t>
        </w:r>
        <w:r w:rsidRPr="001D61F0">
          <w:rPr>
            <w:color w:val="232323"/>
            <w:spacing w:val="-2"/>
          </w:rPr>
          <w:t>.</w:t>
        </w:r>
      </w:hyperlink>
    </w:p>
    <w:p w14:paraId="1F6B3799" w14:textId="77777777" w:rsidR="00FE12C3" w:rsidRPr="001D61F0" w:rsidRDefault="00FE12C3" w:rsidP="00FE12C3">
      <w:pPr>
        <w:pStyle w:val="BodyText"/>
        <w:spacing w:before="88" w:line="256" w:lineRule="auto"/>
        <w:ind w:right="183"/>
      </w:pPr>
      <w:r w:rsidRPr="001D61F0">
        <w:rPr>
          <w:color w:val="232323"/>
        </w:rPr>
        <w:t>Tabbakh, T. and Dobbinson, S (2018). 2016–2017 National Sun Protection Survey: Report 2 Sun Protective Behaviours and Sunburn Incidence on Weekends among Australians in Summer 2016– 2017;</w:t>
      </w:r>
      <w:r w:rsidRPr="001D61F0">
        <w:rPr>
          <w:color w:val="232323"/>
          <w:spacing w:val="-4"/>
        </w:rPr>
        <w:t xml:space="preserve"> </w:t>
      </w:r>
      <w:r w:rsidRPr="001D61F0">
        <w:rPr>
          <w:color w:val="232323"/>
        </w:rPr>
        <w:t>Centre</w:t>
      </w:r>
      <w:r w:rsidRPr="001D61F0">
        <w:rPr>
          <w:color w:val="232323"/>
          <w:spacing w:val="-4"/>
        </w:rPr>
        <w:t xml:space="preserve"> </w:t>
      </w:r>
      <w:r w:rsidRPr="001D61F0">
        <w:rPr>
          <w:color w:val="232323"/>
        </w:rPr>
        <w:t>for</w:t>
      </w:r>
      <w:r w:rsidRPr="001D61F0">
        <w:rPr>
          <w:color w:val="232323"/>
          <w:spacing w:val="-3"/>
        </w:rPr>
        <w:t xml:space="preserve"> </w:t>
      </w:r>
      <w:r w:rsidRPr="001D61F0">
        <w:rPr>
          <w:color w:val="232323"/>
        </w:rPr>
        <w:t>Behavioural</w:t>
      </w:r>
      <w:r w:rsidRPr="001D61F0">
        <w:rPr>
          <w:color w:val="232323"/>
          <w:spacing w:val="-5"/>
        </w:rPr>
        <w:t xml:space="preserve"> </w:t>
      </w:r>
      <w:r w:rsidRPr="001D61F0">
        <w:rPr>
          <w:color w:val="232323"/>
        </w:rPr>
        <w:t>Research</w:t>
      </w:r>
      <w:r w:rsidRPr="001D61F0">
        <w:rPr>
          <w:color w:val="232323"/>
          <w:spacing w:val="-4"/>
        </w:rPr>
        <w:t xml:space="preserve"> </w:t>
      </w:r>
      <w:r w:rsidRPr="001D61F0">
        <w:rPr>
          <w:color w:val="232323"/>
        </w:rPr>
        <w:t>in</w:t>
      </w:r>
      <w:r w:rsidRPr="001D61F0">
        <w:rPr>
          <w:color w:val="232323"/>
          <w:spacing w:val="-4"/>
        </w:rPr>
        <w:t xml:space="preserve"> </w:t>
      </w:r>
      <w:r w:rsidRPr="001D61F0">
        <w:rPr>
          <w:color w:val="232323"/>
        </w:rPr>
        <w:t>Cancer,</w:t>
      </w:r>
      <w:r w:rsidRPr="001D61F0">
        <w:rPr>
          <w:color w:val="232323"/>
          <w:spacing w:val="-4"/>
        </w:rPr>
        <w:t xml:space="preserve"> </w:t>
      </w:r>
      <w:r w:rsidRPr="001D61F0">
        <w:rPr>
          <w:color w:val="232323"/>
        </w:rPr>
        <w:t>Cancer</w:t>
      </w:r>
      <w:r w:rsidRPr="001D61F0">
        <w:rPr>
          <w:color w:val="232323"/>
          <w:spacing w:val="-3"/>
        </w:rPr>
        <w:t xml:space="preserve"> </w:t>
      </w:r>
      <w:r w:rsidRPr="001D61F0">
        <w:rPr>
          <w:color w:val="232323"/>
        </w:rPr>
        <w:t>Council</w:t>
      </w:r>
      <w:r w:rsidRPr="001D61F0">
        <w:rPr>
          <w:color w:val="232323"/>
          <w:spacing w:val="-3"/>
        </w:rPr>
        <w:t xml:space="preserve"> </w:t>
      </w:r>
      <w:r w:rsidRPr="001D61F0">
        <w:rPr>
          <w:color w:val="232323"/>
        </w:rPr>
        <w:t>of</w:t>
      </w:r>
      <w:r w:rsidRPr="001D61F0">
        <w:rPr>
          <w:color w:val="232323"/>
          <w:spacing w:val="-2"/>
        </w:rPr>
        <w:t xml:space="preserve"> </w:t>
      </w:r>
      <w:r w:rsidRPr="001D61F0">
        <w:rPr>
          <w:color w:val="232323"/>
        </w:rPr>
        <w:t>Victoria:</w:t>
      </w:r>
      <w:r w:rsidRPr="001D61F0">
        <w:rPr>
          <w:color w:val="232323"/>
          <w:spacing w:val="-2"/>
        </w:rPr>
        <w:t xml:space="preserve"> </w:t>
      </w:r>
      <w:r w:rsidRPr="001D61F0">
        <w:rPr>
          <w:color w:val="232323"/>
        </w:rPr>
        <w:t>Melbourne,</w:t>
      </w:r>
      <w:r w:rsidRPr="001D61F0">
        <w:rPr>
          <w:color w:val="232323"/>
          <w:spacing w:val="-2"/>
        </w:rPr>
        <w:t xml:space="preserve"> </w:t>
      </w:r>
      <w:r w:rsidRPr="001D61F0">
        <w:rPr>
          <w:color w:val="232323"/>
        </w:rPr>
        <w:t xml:space="preserve">Australia, [online] Available at: </w:t>
      </w:r>
      <w:hyperlink r:id="rId147">
        <w:r w:rsidRPr="001D61F0">
          <w:rPr>
            <w:color w:val="0000FF"/>
            <w:u w:val="single" w:color="0000FF"/>
          </w:rPr>
          <w:t>https://www.cancer.org.au/about-us/policy-and-advocacy/prevention-</w:t>
        </w:r>
      </w:hyperlink>
      <w:hyperlink r:id="rId148">
        <w:r w:rsidRPr="001D61F0">
          <w:rPr>
            <w:color w:val="0000FF"/>
            <w:spacing w:val="-2"/>
            <w:u w:val="single" w:color="0000FF"/>
          </w:rPr>
          <w:t>policy/national-cancer-prevention-policy/skin-cancer-statistics-and-issues/trends-in-sun-protection-</w:t>
        </w:r>
      </w:hyperlink>
      <w:r w:rsidRPr="001D61F0">
        <w:rPr>
          <w:color w:val="0000FF"/>
          <w:spacing w:val="-2"/>
        </w:rPr>
        <w:t xml:space="preserve"> </w:t>
      </w:r>
      <w:hyperlink r:id="rId149">
        <w:r w:rsidRPr="001D61F0">
          <w:rPr>
            <w:color w:val="0000FF"/>
            <w:u w:val="single" w:color="0000FF"/>
          </w:rPr>
          <w:t>behaviours</w:t>
        </w:r>
      </w:hyperlink>
      <w:r w:rsidRPr="001D61F0">
        <w:rPr>
          <w:color w:val="0000FF"/>
        </w:rPr>
        <w:t xml:space="preserve"> </w:t>
      </w:r>
      <w:r w:rsidRPr="001D61F0">
        <w:rPr>
          <w:color w:val="232323"/>
        </w:rPr>
        <w:t>[Accessed 20 June 2024].</w:t>
      </w:r>
    </w:p>
    <w:p w14:paraId="6F40BCB9" w14:textId="77777777" w:rsidR="00FE12C3" w:rsidRPr="001D61F0" w:rsidRDefault="00FE12C3" w:rsidP="00FE12C3">
      <w:pPr>
        <w:pStyle w:val="BodyText"/>
        <w:spacing w:before="122"/>
      </w:pPr>
      <w:r w:rsidRPr="001D61F0">
        <w:rPr>
          <w:color w:val="232323"/>
        </w:rPr>
        <w:t>Whiteman,</w:t>
      </w:r>
      <w:r w:rsidRPr="001D61F0">
        <w:rPr>
          <w:color w:val="232323"/>
          <w:spacing w:val="-5"/>
        </w:rPr>
        <w:t xml:space="preserve"> </w:t>
      </w:r>
      <w:r w:rsidRPr="001D61F0">
        <w:rPr>
          <w:color w:val="232323"/>
        </w:rPr>
        <w:t>D.C.,</w:t>
      </w:r>
      <w:r w:rsidRPr="001D61F0">
        <w:rPr>
          <w:color w:val="232323"/>
          <w:spacing w:val="-5"/>
        </w:rPr>
        <w:t xml:space="preserve"> </w:t>
      </w:r>
      <w:r w:rsidRPr="001D61F0">
        <w:rPr>
          <w:color w:val="232323"/>
        </w:rPr>
        <w:t>Neale,</w:t>
      </w:r>
      <w:r w:rsidRPr="001D61F0">
        <w:rPr>
          <w:color w:val="232323"/>
          <w:spacing w:val="-5"/>
        </w:rPr>
        <w:t xml:space="preserve"> </w:t>
      </w:r>
      <w:r w:rsidRPr="001D61F0">
        <w:rPr>
          <w:color w:val="232323"/>
        </w:rPr>
        <w:t>R.E.,</w:t>
      </w:r>
      <w:r w:rsidRPr="001D61F0">
        <w:rPr>
          <w:color w:val="232323"/>
          <w:spacing w:val="-4"/>
        </w:rPr>
        <w:t xml:space="preserve"> </w:t>
      </w:r>
      <w:r w:rsidRPr="001D61F0">
        <w:rPr>
          <w:color w:val="232323"/>
        </w:rPr>
        <w:t>Aitken,</w:t>
      </w:r>
      <w:r w:rsidRPr="001D61F0">
        <w:rPr>
          <w:color w:val="232323"/>
          <w:spacing w:val="-7"/>
        </w:rPr>
        <w:t xml:space="preserve"> </w:t>
      </w:r>
      <w:r w:rsidRPr="001D61F0">
        <w:rPr>
          <w:color w:val="232323"/>
        </w:rPr>
        <w:t>J.,</w:t>
      </w:r>
      <w:r w:rsidRPr="001D61F0">
        <w:rPr>
          <w:color w:val="232323"/>
          <w:spacing w:val="-7"/>
        </w:rPr>
        <w:t xml:space="preserve"> </w:t>
      </w:r>
      <w:r w:rsidRPr="001D61F0">
        <w:rPr>
          <w:color w:val="232323"/>
        </w:rPr>
        <w:t>Gordon,</w:t>
      </w:r>
      <w:r w:rsidRPr="001D61F0">
        <w:rPr>
          <w:color w:val="232323"/>
          <w:spacing w:val="-4"/>
        </w:rPr>
        <w:t xml:space="preserve"> </w:t>
      </w:r>
      <w:r w:rsidRPr="001D61F0">
        <w:rPr>
          <w:color w:val="232323"/>
        </w:rPr>
        <w:t>L.,</w:t>
      </w:r>
      <w:r w:rsidRPr="001D61F0">
        <w:rPr>
          <w:color w:val="232323"/>
          <w:spacing w:val="-7"/>
        </w:rPr>
        <w:t xml:space="preserve"> </w:t>
      </w:r>
      <w:r w:rsidRPr="001D61F0">
        <w:rPr>
          <w:color w:val="232323"/>
        </w:rPr>
        <w:t>Green,</w:t>
      </w:r>
      <w:r w:rsidRPr="001D61F0">
        <w:rPr>
          <w:color w:val="232323"/>
          <w:spacing w:val="-5"/>
        </w:rPr>
        <w:t xml:space="preserve"> </w:t>
      </w:r>
      <w:r w:rsidRPr="001D61F0">
        <w:rPr>
          <w:color w:val="232323"/>
        </w:rPr>
        <w:t>A.C.,</w:t>
      </w:r>
      <w:r w:rsidRPr="001D61F0">
        <w:rPr>
          <w:color w:val="232323"/>
          <w:spacing w:val="-4"/>
        </w:rPr>
        <w:t xml:space="preserve"> </w:t>
      </w:r>
      <w:r w:rsidRPr="001D61F0">
        <w:rPr>
          <w:color w:val="232323"/>
        </w:rPr>
        <w:t>Janda,</w:t>
      </w:r>
      <w:r w:rsidRPr="001D61F0">
        <w:rPr>
          <w:color w:val="232323"/>
          <w:spacing w:val="-7"/>
        </w:rPr>
        <w:t xml:space="preserve"> </w:t>
      </w:r>
      <w:r w:rsidRPr="001D61F0">
        <w:rPr>
          <w:color w:val="232323"/>
        </w:rPr>
        <w:t>M.,</w:t>
      </w:r>
      <w:r w:rsidRPr="001D61F0">
        <w:rPr>
          <w:color w:val="232323"/>
          <w:spacing w:val="-6"/>
        </w:rPr>
        <w:t xml:space="preserve"> </w:t>
      </w:r>
      <w:r w:rsidRPr="001D61F0">
        <w:rPr>
          <w:color w:val="232323"/>
        </w:rPr>
        <w:t>Olsen,</w:t>
      </w:r>
      <w:r w:rsidRPr="001D61F0">
        <w:rPr>
          <w:color w:val="232323"/>
          <w:spacing w:val="-7"/>
        </w:rPr>
        <w:t xml:space="preserve"> </w:t>
      </w:r>
      <w:r w:rsidRPr="001D61F0">
        <w:rPr>
          <w:color w:val="232323"/>
        </w:rPr>
        <w:t>C.M.</w:t>
      </w:r>
      <w:r w:rsidRPr="001D61F0">
        <w:rPr>
          <w:color w:val="232323"/>
          <w:spacing w:val="-6"/>
        </w:rPr>
        <w:t xml:space="preserve"> </w:t>
      </w:r>
      <w:r w:rsidRPr="001D61F0">
        <w:rPr>
          <w:color w:val="232323"/>
        </w:rPr>
        <w:t>and</w:t>
      </w:r>
      <w:r w:rsidRPr="001D61F0">
        <w:rPr>
          <w:color w:val="232323"/>
          <w:spacing w:val="-5"/>
        </w:rPr>
        <w:t xml:space="preserve"> </w:t>
      </w:r>
      <w:r w:rsidRPr="001D61F0">
        <w:rPr>
          <w:color w:val="232323"/>
          <w:spacing w:val="-2"/>
        </w:rPr>
        <w:t>Soyer,</w:t>
      </w:r>
    </w:p>
    <w:p w14:paraId="219504BD" w14:textId="77777777" w:rsidR="00FE12C3" w:rsidRPr="001D61F0" w:rsidRDefault="00FE12C3" w:rsidP="00FE12C3">
      <w:pPr>
        <w:pStyle w:val="BodyText"/>
        <w:spacing w:before="20" w:line="259" w:lineRule="auto"/>
        <w:ind w:right="850"/>
      </w:pPr>
      <w:r w:rsidRPr="001D61F0">
        <w:rPr>
          <w:color w:val="232323"/>
        </w:rPr>
        <w:t>H.P.</w:t>
      </w:r>
      <w:r w:rsidRPr="001D61F0">
        <w:rPr>
          <w:color w:val="232323"/>
          <w:spacing w:val="-4"/>
        </w:rPr>
        <w:t xml:space="preserve"> </w:t>
      </w:r>
      <w:r w:rsidRPr="001D61F0">
        <w:rPr>
          <w:color w:val="232323"/>
        </w:rPr>
        <w:t>(2019).</w:t>
      </w:r>
      <w:r w:rsidRPr="001D61F0">
        <w:rPr>
          <w:color w:val="232323"/>
          <w:spacing w:val="-2"/>
        </w:rPr>
        <w:t xml:space="preserve"> </w:t>
      </w:r>
      <w:r w:rsidRPr="001D61F0">
        <w:rPr>
          <w:color w:val="232323"/>
        </w:rPr>
        <w:t>When</w:t>
      </w:r>
      <w:r w:rsidRPr="001D61F0">
        <w:rPr>
          <w:color w:val="232323"/>
          <w:spacing w:val="-4"/>
        </w:rPr>
        <w:t xml:space="preserve"> </w:t>
      </w:r>
      <w:r w:rsidRPr="001D61F0">
        <w:rPr>
          <w:color w:val="232323"/>
        </w:rPr>
        <w:t>to</w:t>
      </w:r>
      <w:r w:rsidRPr="001D61F0">
        <w:rPr>
          <w:color w:val="232323"/>
          <w:spacing w:val="-4"/>
        </w:rPr>
        <w:t xml:space="preserve"> </w:t>
      </w:r>
      <w:r w:rsidRPr="001D61F0">
        <w:rPr>
          <w:color w:val="232323"/>
        </w:rPr>
        <w:t>apply</w:t>
      </w:r>
      <w:r w:rsidRPr="001D61F0">
        <w:rPr>
          <w:color w:val="232323"/>
          <w:spacing w:val="-3"/>
        </w:rPr>
        <w:t xml:space="preserve"> </w:t>
      </w:r>
      <w:r w:rsidRPr="001D61F0">
        <w:rPr>
          <w:color w:val="232323"/>
        </w:rPr>
        <w:t>sunscreen:</w:t>
      </w:r>
      <w:r w:rsidRPr="001D61F0">
        <w:rPr>
          <w:color w:val="232323"/>
          <w:spacing w:val="-4"/>
        </w:rPr>
        <w:t xml:space="preserve"> </w:t>
      </w:r>
      <w:r w:rsidRPr="001D61F0">
        <w:rPr>
          <w:color w:val="232323"/>
        </w:rPr>
        <w:t>a</w:t>
      </w:r>
      <w:r w:rsidRPr="001D61F0">
        <w:rPr>
          <w:color w:val="232323"/>
          <w:spacing w:val="-4"/>
        </w:rPr>
        <w:t xml:space="preserve"> </w:t>
      </w:r>
      <w:r w:rsidRPr="001D61F0">
        <w:rPr>
          <w:color w:val="232323"/>
        </w:rPr>
        <w:t>consensus</w:t>
      </w:r>
      <w:r w:rsidRPr="001D61F0">
        <w:rPr>
          <w:color w:val="232323"/>
          <w:spacing w:val="-3"/>
        </w:rPr>
        <w:t xml:space="preserve"> </w:t>
      </w:r>
      <w:r w:rsidRPr="001D61F0">
        <w:rPr>
          <w:color w:val="232323"/>
        </w:rPr>
        <w:t>statement</w:t>
      </w:r>
      <w:r w:rsidRPr="001D61F0">
        <w:rPr>
          <w:color w:val="232323"/>
          <w:spacing w:val="-4"/>
        </w:rPr>
        <w:t xml:space="preserve"> </w:t>
      </w:r>
      <w:r w:rsidRPr="001D61F0">
        <w:rPr>
          <w:color w:val="232323"/>
        </w:rPr>
        <w:t>for</w:t>
      </w:r>
      <w:r w:rsidRPr="001D61F0">
        <w:rPr>
          <w:color w:val="232323"/>
          <w:spacing w:val="-3"/>
        </w:rPr>
        <w:t xml:space="preserve"> </w:t>
      </w:r>
      <w:r w:rsidRPr="001D61F0">
        <w:rPr>
          <w:color w:val="232323"/>
        </w:rPr>
        <w:t>Australia</w:t>
      </w:r>
      <w:r w:rsidRPr="001D61F0">
        <w:rPr>
          <w:color w:val="232323"/>
          <w:spacing w:val="-4"/>
        </w:rPr>
        <w:t xml:space="preserve"> </w:t>
      </w:r>
      <w:r w:rsidRPr="001D61F0">
        <w:rPr>
          <w:color w:val="232323"/>
        </w:rPr>
        <w:t>and</w:t>
      </w:r>
      <w:r w:rsidRPr="001D61F0">
        <w:rPr>
          <w:color w:val="232323"/>
          <w:spacing w:val="-4"/>
        </w:rPr>
        <w:t xml:space="preserve"> </w:t>
      </w:r>
      <w:r w:rsidRPr="001D61F0">
        <w:rPr>
          <w:color w:val="232323"/>
        </w:rPr>
        <w:t>New</w:t>
      </w:r>
      <w:r w:rsidRPr="001D61F0">
        <w:rPr>
          <w:color w:val="232323"/>
          <w:spacing w:val="-4"/>
        </w:rPr>
        <w:t xml:space="preserve"> </w:t>
      </w:r>
      <w:r w:rsidRPr="001D61F0">
        <w:rPr>
          <w:color w:val="232323"/>
        </w:rPr>
        <w:t xml:space="preserve">Zealand. Australian and New Zealand Journal of Public Health, 43(2), pp.171–175. doi: </w:t>
      </w:r>
      <w:hyperlink r:id="rId150">
        <w:r w:rsidRPr="001D61F0">
          <w:rPr>
            <w:color w:val="0000FF"/>
            <w:spacing w:val="-2"/>
            <w:u w:val="single" w:color="0000FF"/>
          </w:rPr>
          <w:t>https://doi.org/10.1111/1753-6405.12873</w:t>
        </w:r>
        <w:r w:rsidRPr="001D61F0">
          <w:rPr>
            <w:color w:val="232323"/>
            <w:spacing w:val="-2"/>
          </w:rPr>
          <w:t>.</w:t>
        </w:r>
      </w:hyperlink>
    </w:p>
    <w:p w14:paraId="6CE38021" w14:textId="77777777" w:rsidR="00FE12C3" w:rsidRDefault="00FE12C3" w:rsidP="00FE12C3">
      <w:pPr>
        <w:pStyle w:val="BodyText"/>
        <w:spacing w:before="119" w:line="259" w:lineRule="auto"/>
        <w:ind w:right="426"/>
        <w:rPr>
          <w:color w:val="232323"/>
          <w:spacing w:val="-2"/>
        </w:rPr>
      </w:pPr>
      <w:r w:rsidRPr="001D61F0">
        <w:rPr>
          <w:color w:val="232323"/>
        </w:rPr>
        <w:t xml:space="preserve">World Health Organization – WHO (2013). UV Radiation data [online] Available at: </w:t>
      </w:r>
      <w:hyperlink r:id="rId151">
        <w:r w:rsidRPr="001D61F0">
          <w:rPr>
            <w:color w:val="0000FF"/>
            <w:u w:val="single" w:color="0000FF"/>
          </w:rPr>
          <w:t>https://www.who.int/data/gho/data/indicators/indicator-details/GHO/uv-radiation</w:t>
        </w:r>
        <w:r w:rsidRPr="001D61F0">
          <w:rPr>
            <w:color w:val="232323"/>
          </w:rPr>
          <w:t>.</w:t>
        </w:r>
      </w:hyperlink>
      <w:r w:rsidRPr="001D61F0">
        <w:rPr>
          <w:color w:val="232323"/>
          <w:spacing w:val="-13"/>
        </w:rPr>
        <w:t xml:space="preserve"> </w:t>
      </w:r>
      <w:r w:rsidRPr="001D61F0">
        <w:rPr>
          <w:color w:val="232323"/>
        </w:rPr>
        <w:t>[Accessed</w:t>
      </w:r>
      <w:r w:rsidRPr="001D61F0">
        <w:rPr>
          <w:color w:val="232323"/>
          <w:spacing w:val="-13"/>
        </w:rPr>
        <w:t xml:space="preserve"> </w:t>
      </w:r>
      <w:r w:rsidRPr="001D61F0">
        <w:rPr>
          <w:color w:val="232323"/>
        </w:rPr>
        <w:t>20</w:t>
      </w:r>
      <w:r w:rsidRPr="001D61F0">
        <w:rPr>
          <w:color w:val="232323"/>
          <w:spacing w:val="-13"/>
        </w:rPr>
        <w:t xml:space="preserve"> </w:t>
      </w:r>
      <w:r w:rsidRPr="001D61F0">
        <w:rPr>
          <w:color w:val="232323"/>
        </w:rPr>
        <w:t xml:space="preserve">June </w:t>
      </w:r>
      <w:r w:rsidRPr="001D61F0">
        <w:rPr>
          <w:color w:val="232323"/>
          <w:spacing w:val="-2"/>
        </w:rPr>
        <w:t>2024]</w:t>
      </w:r>
    </w:p>
    <w:p w14:paraId="042B6A5B" w14:textId="648F9B18" w:rsidR="004C2E09" w:rsidRDefault="00B25A37" w:rsidP="00FE12C3">
      <w:pPr>
        <w:pStyle w:val="BodyText"/>
        <w:spacing w:before="119" w:line="259" w:lineRule="auto"/>
        <w:ind w:right="426"/>
        <w:rPr>
          <w:color w:val="232323"/>
          <w:spacing w:val="-2"/>
        </w:rPr>
      </w:pPr>
      <w:r>
        <w:rPr>
          <w:color w:val="232323"/>
          <w:spacing w:val="-2"/>
        </w:rPr>
        <w:t>Zou, W., Ramanathan, R., Urban, S., Sinclair, C., King. K., Tinker. R. and Bansal. V. (2022). Sunscreen testing: a critical perspective and future roadmap. TrAC Trends in Analytical Chemistry</w:t>
      </w:r>
      <w:r w:rsidR="004C2E09">
        <w:rPr>
          <w:color w:val="232323"/>
          <w:spacing w:val="-2"/>
        </w:rPr>
        <w:t xml:space="preserve">, Volume 157, pp. 1–19. doi: </w:t>
      </w:r>
      <w:hyperlink r:id="rId152" w:history="1">
        <w:r w:rsidR="004C2E09" w:rsidRPr="00C578E3">
          <w:rPr>
            <w:rStyle w:val="Hyperlink"/>
            <w:spacing w:val="-2"/>
          </w:rPr>
          <w:t>https://doi.org/10.1016/j.trac.2022/116724</w:t>
        </w:r>
      </w:hyperlink>
    </w:p>
    <w:p w14:paraId="62063865" w14:textId="4ED60931" w:rsidR="00B25A37" w:rsidRPr="001D61F0" w:rsidRDefault="004C2E09" w:rsidP="00FE12C3">
      <w:pPr>
        <w:pStyle w:val="BodyText"/>
        <w:spacing w:before="119" w:line="259" w:lineRule="auto"/>
        <w:ind w:right="426"/>
      </w:pPr>
      <w:r>
        <w:rPr>
          <w:color w:val="232323"/>
          <w:spacing w:val="-2"/>
        </w:rPr>
        <w:t xml:space="preserve"> </w:t>
      </w:r>
      <w:r w:rsidR="00B25A37">
        <w:rPr>
          <w:color w:val="232323"/>
          <w:spacing w:val="-2"/>
        </w:rPr>
        <w:t xml:space="preserve">  </w:t>
      </w:r>
    </w:p>
    <w:p w14:paraId="02E8D883" w14:textId="6EB7580A" w:rsidR="00FE12C3" w:rsidRPr="001D61F0" w:rsidRDefault="00FE12C3" w:rsidP="00FE12C3">
      <w:pPr>
        <w:pStyle w:val="BodyText"/>
        <w:spacing w:before="120" w:line="259" w:lineRule="auto"/>
        <w:ind w:right="161"/>
      </w:pPr>
    </w:p>
    <w:p w14:paraId="24C527FA" w14:textId="77777777" w:rsidR="00FE12C3" w:rsidRPr="001D61F0" w:rsidRDefault="00FE12C3" w:rsidP="00FE12C3">
      <w:pPr>
        <w:pStyle w:val="BodyText"/>
        <w:spacing w:before="126" w:line="259" w:lineRule="auto"/>
        <w:ind w:right="624"/>
      </w:pPr>
    </w:p>
    <w:p w14:paraId="1993A331" w14:textId="77777777" w:rsidR="00A769C9" w:rsidRPr="00A769C9" w:rsidRDefault="00A769C9" w:rsidP="00A769C9"/>
    <w:p w14:paraId="36B9F62B" w14:textId="03863A48" w:rsidR="004E2F19" w:rsidRDefault="00464CDD" w:rsidP="0089410A">
      <w:r>
        <w:br w:type="page"/>
      </w:r>
      <w:bookmarkStart w:id="173" w:name="_Appendix_1:_Sunscreen"/>
      <w:bookmarkStart w:id="174" w:name="_Attachment_3:_Real"/>
      <w:bookmarkStart w:id="175" w:name="_Attachment_5:_Australian"/>
      <w:bookmarkStart w:id="176" w:name="_Attachment_6:_SCCS"/>
      <w:bookmarkEnd w:id="3"/>
      <w:bookmarkEnd w:id="4"/>
      <w:bookmarkEnd w:id="173"/>
      <w:bookmarkEnd w:id="174"/>
      <w:bookmarkEnd w:id="175"/>
      <w:bookmarkEnd w:id="176"/>
    </w:p>
    <w:p w14:paraId="19F4E0B1" w14:textId="77777777" w:rsidR="0089410A" w:rsidRPr="00215D48" w:rsidRDefault="0089410A" w:rsidP="0089410A">
      <w:pPr>
        <w:pStyle w:val="NonTOCheading2"/>
      </w:pPr>
      <w:r w:rsidRPr="00215D48">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7870E828"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CAE15" w14:textId="77777777" w:rsidR="0089410A" w:rsidRPr="00215D48" w:rsidRDefault="0089410A" w:rsidP="00F807B2">
            <w:bookmarkStart w:id="177" w:name="ColumnTitle_4"/>
            <w:r w:rsidRPr="00215D48">
              <w:t>Version</w:t>
            </w:r>
          </w:p>
        </w:tc>
        <w:tc>
          <w:tcPr>
            <w:tcW w:w="3242" w:type="dxa"/>
          </w:tcPr>
          <w:p w14:paraId="188F35EC"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49144D7D"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AED9B70"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77"/>
      <w:tr w:rsidR="0089410A" w:rsidRPr="00215D48" w14:paraId="696A57E1"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E8749E2" w14:textId="77777777" w:rsidR="0089410A" w:rsidRPr="00215D48" w:rsidRDefault="0089410A" w:rsidP="00F807B2">
            <w:r w:rsidRPr="00215D48">
              <w:t>V1.0</w:t>
            </w:r>
          </w:p>
        </w:tc>
        <w:tc>
          <w:tcPr>
            <w:tcW w:w="3242" w:type="dxa"/>
          </w:tcPr>
          <w:p w14:paraId="472A269D" w14:textId="77777777" w:rsidR="0089410A" w:rsidRPr="00215D48" w:rsidRDefault="0089410A" w:rsidP="00F807B2">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637A7CBF" w14:textId="5DDAB847" w:rsidR="0089410A" w:rsidRDefault="004A144A" w:rsidP="00F807B2">
            <w:pPr>
              <w:cnfStyle w:val="000000000000" w:firstRow="0" w:lastRow="0" w:firstColumn="0" w:lastColumn="0" w:oddVBand="0" w:evenVBand="0" w:oddHBand="0" w:evenHBand="0" w:firstRowFirstColumn="0" w:firstRowLastColumn="0" w:lastRowFirstColumn="0" w:lastRowLastColumn="0"/>
            </w:pPr>
            <w:r>
              <w:t>Complementary &amp; Over the Counter Medicines Branch</w:t>
            </w:r>
          </w:p>
          <w:p w14:paraId="2C769FBC" w14:textId="77777777" w:rsidR="004A144A" w:rsidRDefault="004A144A" w:rsidP="00F807B2">
            <w:pPr>
              <w:cnfStyle w:val="000000000000" w:firstRow="0" w:lastRow="0" w:firstColumn="0" w:lastColumn="0" w:oddVBand="0" w:evenVBand="0" w:oddHBand="0" w:evenHBand="0" w:firstRowFirstColumn="0" w:firstRowLastColumn="0" w:lastRowFirstColumn="0" w:lastRowLastColumn="0"/>
            </w:pPr>
            <w:r>
              <w:t>Therapeutic Goods Administration</w:t>
            </w:r>
          </w:p>
          <w:p w14:paraId="371821C3" w14:textId="122268B4" w:rsidR="004A144A" w:rsidRPr="00215D48" w:rsidRDefault="004A144A" w:rsidP="00F807B2">
            <w:pPr>
              <w:cnfStyle w:val="000000000000" w:firstRow="0" w:lastRow="0" w:firstColumn="0" w:lastColumn="0" w:oddVBand="0" w:evenVBand="0" w:oddHBand="0" w:evenHBand="0" w:firstRowFirstColumn="0" w:firstRowLastColumn="0" w:lastRowFirstColumn="0" w:lastRowLastColumn="0"/>
            </w:pPr>
            <w:r>
              <w:t>Department of Health and Aged Care</w:t>
            </w:r>
          </w:p>
        </w:tc>
        <w:tc>
          <w:tcPr>
            <w:tcW w:w="1808" w:type="dxa"/>
          </w:tcPr>
          <w:p w14:paraId="33D40FAE" w14:textId="460B7E81" w:rsidR="0089410A" w:rsidRPr="00215D48" w:rsidRDefault="002543B9" w:rsidP="00F807B2">
            <w:pPr>
              <w:cnfStyle w:val="000000000000" w:firstRow="0" w:lastRow="0" w:firstColumn="0" w:lastColumn="0" w:oddVBand="0" w:evenVBand="0" w:oddHBand="0" w:evenHBand="0" w:firstRowFirstColumn="0" w:firstRowLastColumn="0" w:lastRowFirstColumn="0" w:lastRowLastColumn="0"/>
            </w:pPr>
            <w:r>
              <w:t>December</w:t>
            </w:r>
            <w:r w:rsidR="00CE0174">
              <w:t xml:space="preserve"> </w:t>
            </w:r>
            <w:r w:rsidR="00F427AA">
              <w:t>2024</w:t>
            </w:r>
          </w:p>
        </w:tc>
      </w:tr>
    </w:tbl>
    <w:p w14:paraId="2FBA527E" w14:textId="77777777" w:rsidR="0089410A" w:rsidRDefault="0089410A" w:rsidP="00DD3815">
      <w:pPr>
        <w:pStyle w:val="LegalSubheading"/>
        <w:rPr>
          <w:b/>
          <w:bCs/>
        </w:rPr>
      </w:pPr>
    </w:p>
    <w:p w14:paraId="19FB7A00" w14:textId="77777777" w:rsidR="00B528AB" w:rsidRDefault="00B528AB" w:rsidP="00DD3815">
      <w:pPr>
        <w:pStyle w:val="LegalSubheading"/>
        <w:rPr>
          <w:b/>
          <w:bCs/>
        </w:rPr>
        <w:sectPr w:rsidR="00B528AB" w:rsidSect="002101D0">
          <w:pgSz w:w="11906" w:h="16838"/>
          <w:pgMar w:top="1440" w:right="1440" w:bottom="1440" w:left="1440" w:header="680" w:footer="708" w:gutter="0"/>
          <w:cols w:space="708"/>
          <w:docGrid w:linePitch="360"/>
        </w:sectPr>
      </w:pPr>
    </w:p>
    <w:p w14:paraId="5F841DC0" w14:textId="77777777" w:rsidR="00B528AB" w:rsidRPr="00DD3815" w:rsidRDefault="00B528AB" w:rsidP="00DD3815">
      <w:pPr>
        <w:pStyle w:val="LegalSubheading"/>
        <w:rPr>
          <w:b/>
          <w:bCs/>
        </w:rPr>
      </w:pPr>
    </w:p>
    <w:sectPr w:rsidR="00B528AB" w:rsidRPr="00DD3815" w:rsidSect="00537B47">
      <w:headerReference w:type="first" r:id="rId153"/>
      <w:footerReference w:type="first" r:id="rId1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49CAE" w14:textId="77777777" w:rsidR="00F86364" w:rsidRDefault="00F86364" w:rsidP="00537B47">
      <w:pPr>
        <w:spacing w:after="0" w:line="240" w:lineRule="auto"/>
      </w:pPr>
      <w:r>
        <w:separator/>
      </w:r>
    </w:p>
  </w:endnote>
  <w:endnote w:type="continuationSeparator" w:id="0">
    <w:p w14:paraId="7D2D1B25" w14:textId="77777777" w:rsidR="00F86364" w:rsidRDefault="00F86364"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97AB" w14:textId="77777777" w:rsidR="00177D01" w:rsidRDefault="00177D01">
    <w:pPr>
      <w:pStyle w:val="Footer"/>
    </w:pPr>
  </w:p>
  <w:p w14:paraId="5FEB35A0" w14:textId="77777777" w:rsidR="00DC6883" w:rsidRDefault="00DC6883"/>
  <w:p w14:paraId="6D177D2C" w14:textId="77777777" w:rsidR="00DC6883" w:rsidRDefault="00DC6883"/>
  <w:p w14:paraId="4B7BF7BC" w14:textId="77777777" w:rsidR="008570BE" w:rsidRDefault="008570BE"/>
  <w:p w14:paraId="03E5916D" w14:textId="77777777" w:rsidR="000013F6" w:rsidRDefault="000013F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392FD" w14:textId="0EA61998" w:rsidR="00DD3815" w:rsidRPr="00DD3815" w:rsidRDefault="0089410A" w:rsidP="00DD3815">
    <w:pPr>
      <w:pStyle w:val="Footer"/>
    </w:pPr>
    <w:r>
      <w:rPr>
        <w:noProof/>
        <w:lang w:eastAsia="en-AU"/>
      </w:rPr>
      <mc:AlternateContent>
        <mc:Choice Requires="wps">
          <w:drawing>
            <wp:anchor distT="0" distB="0" distL="114300" distR="114300" simplePos="0" relativeHeight="251660288" behindDoc="0" locked="0" layoutInCell="1" allowOverlap="1" wp14:anchorId="7932C66D" wp14:editId="2BF33425">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B82960"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AA4B05">
      <w:t>Australian Sunscreen Exposure Model – Impact Analysis</w:t>
    </w:r>
  </w:p>
  <w:p w14:paraId="72AC26E1" w14:textId="33AE6AD3" w:rsidR="000013F6" w:rsidRDefault="00DD3815" w:rsidP="002E2592">
    <w:pPr>
      <w:pStyle w:val="Footer"/>
    </w:pPr>
    <w:r w:rsidRPr="00DD3815">
      <w:t>V1.0</w:t>
    </w:r>
    <w:r w:rsidR="002543B9">
      <w:t xml:space="preserve"> December</w:t>
    </w:r>
    <w:r w:rsidRPr="00DD3815">
      <w:t xml:space="preserve"> </w:t>
    </w:r>
    <w:r w:rsidR="00F2493D">
      <w:t>2024</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00ED32F1">
      <w:rPr>
        <w:noProof/>
      </w:rPr>
      <w:t>82</w:t>
    </w:r>
    <w:r w:rsidRPr="00DD3815">
      <w:fldChar w:fldCharType="end"/>
    </w:r>
    <w:r w:rsidRPr="00DD3815">
      <w:t xml:space="preserve"> of </w:t>
    </w:r>
    <w:r w:rsidR="00ED32F1">
      <w:fldChar w:fldCharType="begin"/>
    </w:r>
    <w:r w:rsidR="00ED32F1">
      <w:instrText xml:space="preserve"> NUMPAGES  \* Arabic  \* MERGEFORMAT </w:instrText>
    </w:r>
    <w:r w:rsidR="00ED32F1">
      <w:fldChar w:fldCharType="separate"/>
    </w:r>
    <w:r w:rsidR="00ED32F1">
      <w:rPr>
        <w:noProof/>
      </w:rPr>
      <w:t>83</w:t>
    </w:r>
    <w:r w:rsidR="00ED32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B549" w14:textId="77777777" w:rsidR="00ED32F1" w:rsidRDefault="00ED3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1E22636B" w14:textId="77777777" w:rsidTr="00574690">
      <w:trPr>
        <w:trHeight w:hRule="exact" w:val="565"/>
        <w:jc w:val="center"/>
      </w:trPr>
      <w:tc>
        <w:tcPr>
          <w:tcW w:w="9145" w:type="dxa"/>
        </w:tcPr>
        <w:p w14:paraId="566FE7F4" w14:textId="77777777" w:rsidR="00B528AB" w:rsidRPr="00215D48" w:rsidRDefault="00B528AB" w:rsidP="00B528AB">
          <w:pPr>
            <w:pStyle w:val="TGASignoff"/>
          </w:pPr>
          <w:r w:rsidRPr="00215D48">
            <w:t>Therapeutic Goods Administration</w:t>
          </w:r>
        </w:p>
      </w:tc>
    </w:tr>
    <w:tr w:rsidR="00B528AB" w:rsidRPr="00215D48" w14:paraId="507D0FC0" w14:textId="77777777" w:rsidTr="00574690">
      <w:trPr>
        <w:trHeight w:val="963"/>
        <w:jc w:val="center"/>
      </w:trPr>
      <w:tc>
        <w:tcPr>
          <w:tcW w:w="9145" w:type="dxa"/>
          <w:tcMar>
            <w:top w:w="28" w:type="dxa"/>
          </w:tcMar>
        </w:tcPr>
        <w:p w14:paraId="284CC94D" w14:textId="77777777" w:rsidR="00B528AB" w:rsidRPr="00215D48" w:rsidRDefault="00B528AB" w:rsidP="00B528AB">
          <w:pPr>
            <w:pStyle w:val="Address"/>
            <w:jc w:val="center"/>
          </w:pPr>
          <w:r w:rsidRPr="00215D48">
            <w:t>PO Box 100 Woden ACT 2606 Australia</w:t>
          </w:r>
        </w:p>
        <w:p w14:paraId="24D3691D"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5D7444B7"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5C9BEDFC" w14:textId="77777777" w:rsidTr="00574690">
      <w:trPr>
        <w:trHeight w:val="251"/>
        <w:jc w:val="center"/>
      </w:trPr>
      <w:tc>
        <w:tcPr>
          <w:tcW w:w="9145" w:type="dxa"/>
          <w:tcMar>
            <w:top w:w="28" w:type="dxa"/>
          </w:tcMar>
        </w:tcPr>
        <w:p w14:paraId="68D20879" w14:textId="3160969B" w:rsidR="00B528AB" w:rsidRPr="00215D48" w:rsidRDefault="00B528AB" w:rsidP="00B528AB">
          <w:pPr>
            <w:pStyle w:val="Address"/>
            <w:jc w:val="center"/>
          </w:pPr>
          <w:r w:rsidRPr="00215D48">
            <w:t xml:space="preserve">Reference/Publication </w:t>
          </w:r>
          <w:r w:rsidR="000706E3" w:rsidRPr="000706E3">
            <w:t>D24-3355327</w:t>
          </w:r>
        </w:p>
      </w:tc>
    </w:tr>
  </w:tbl>
  <w:p w14:paraId="6505C931"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7B91B" w14:textId="77777777" w:rsidR="00F86364" w:rsidRDefault="00F86364" w:rsidP="00537B47">
      <w:pPr>
        <w:spacing w:after="0" w:line="240" w:lineRule="auto"/>
      </w:pPr>
      <w:r>
        <w:separator/>
      </w:r>
    </w:p>
  </w:footnote>
  <w:footnote w:type="continuationSeparator" w:id="0">
    <w:p w14:paraId="7EC2DC79" w14:textId="77777777" w:rsidR="00F86364" w:rsidRDefault="00F86364" w:rsidP="00537B47">
      <w:pPr>
        <w:spacing w:after="0" w:line="240" w:lineRule="auto"/>
      </w:pPr>
      <w:r>
        <w:continuationSeparator/>
      </w:r>
    </w:p>
  </w:footnote>
  <w:footnote w:id="1">
    <w:p w14:paraId="2F1A0658" w14:textId="6700165B" w:rsidR="00494EAF" w:rsidRPr="002E2592" w:rsidRDefault="00494EAF" w:rsidP="000C50CE">
      <w:pPr>
        <w:spacing w:after="0"/>
        <w:rPr>
          <w:sz w:val="16"/>
          <w:szCs w:val="16"/>
        </w:rPr>
      </w:pPr>
      <w:r w:rsidRPr="002E2592">
        <w:rPr>
          <w:rStyle w:val="FootnoteReference"/>
          <w:sz w:val="16"/>
          <w:szCs w:val="16"/>
        </w:rPr>
        <w:footnoteRef/>
      </w:r>
      <w:r w:rsidRPr="002E2592">
        <w:rPr>
          <w:sz w:val="16"/>
          <w:szCs w:val="16"/>
        </w:rPr>
        <w:t xml:space="preserve"> </w:t>
      </w:r>
      <w:r w:rsidRPr="002E2592">
        <w:rPr>
          <w:color w:val="0000FF"/>
          <w:spacing w:val="-2"/>
          <w:sz w:val="16"/>
          <w:szCs w:val="16"/>
          <w:u w:val="single" w:color="0000FF"/>
        </w:rPr>
        <w:t>https://</w:t>
      </w:r>
      <w:hyperlink r:id="rId1">
        <w:r w:rsidRPr="002E2592">
          <w:rPr>
            <w:color w:val="0000FF"/>
            <w:spacing w:val="-2"/>
            <w:sz w:val="16"/>
            <w:szCs w:val="16"/>
            <w:u w:val="single" w:color="0000FF"/>
          </w:rPr>
          <w:t>www.aihw.gov.au/reports/cancer/cancer-data-in-australia/contents/overview-of-cancer-in-australia-</w:t>
        </w:r>
        <w:r w:rsidRPr="002E2592">
          <w:rPr>
            <w:color w:val="0000FF"/>
            <w:spacing w:val="-4"/>
            <w:sz w:val="16"/>
            <w:szCs w:val="16"/>
            <w:u w:val="single" w:color="0000FF"/>
          </w:rPr>
          <w:t>2023</w:t>
        </w:r>
      </w:hyperlink>
    </w:p>
  </w:footnote>
  <w:footnote w:id="2">
    <w:p w14:paraId="013E3DAF" w14:textId="4E9DE504" w:rsidR="0058625F" w:rsidRPr="002E2592" w:rsidRDefault="0058625F" w:rsidP="0058625F">
      <w:pPr>
        <w:spacing w:after="0"/>
        <w:rPr>
          <w:sz w:val="16"/>
          <w:szCs w:val="16"/>
        </w:rPr>
      </w:pPr>
      <w:r w:rsidRPr="002E2592">
        <w:rPr>
          <w:rStyle w:val="FootnoteReference"/>
          <w:sz w:val="16"/>
          <w:szCs w:val="16"/>
        </w:rPr>
        <w:footnoteRef/>
      </w:r>
      <w:r w:rsidRPr="002E2592">
        <w:rPr>
          <w:sz w:val="16"/>
          <w:szCs w:val="16"/>
        </w:rPr>
        <w:t xml:space="preserve"> </w:t>
      </w:r>
      <w:hyperlink r:id="rId2" w:history="1">
        <w:r w:rsidR="00C94E3B" w:rsidRPr="00C578E3">
          <w:rPr>
            <w:rStyle w:val="Hyperlink"/>
            <w:sz w:val="16"/>
            <w:szCs w:val="16"/>
          </w:rPr>
          <w:t>www.aihw.gov.au/reports/cancer/cancer-data-in-australia/contents/overview</w:t>
        </w:r>
      </w:hyperlink>
      <w:r w:rsidR="00C94E3B" w:rsidRPr="002E2592">
        <w:rPr>
          <w:sz w:val="16"/>
          <w:szCs w:val="16"/>
        </w:rPr>
        <w:t xml:space="preserve"> </w:t>
      </w:r>
    </w:p>
  </w:footnote>
  <w:footnote w:id="3">
    <w:p w14:paraId="144564D6" w14:textId="6BCF3AB2" w:rsidR="00B91D09" w:rsidRPr="008B3B5F" w:rsidRDefault="00B91D09" w:rsidP="008B3B5F">
      <w:pPr>
        <w:spacing w:after="0"/>
        <w:rPr>
          <w:sz w:val="16"/>
          <w:szCs w:val="16"/>
        </w:rPr>
      </w:pPr>
      <w:r w:rsidRPr="002E2592">
        <w:rPr>
          <w:rStyle w:val="FootnoteReference"/>
          <w:sz w:val="16"/>
          <w:szCs w:val="16"/>
        </w:rPr>
        <w:footnoteRef/>
      </w:r>
      <w:r w:rsidRPr="002E2592">
        <w:rPr>
          <w:sz w:val="16"/>
          <w:szCs w:val="16"/>
        </w:rPr>
        <w:t xml:space="preserve"> </w:t>
      </w:r>
      <w:r w:rsidRPr="002E2592">
        <w:rPr>
          <w:color w:val="0000FF"/>
          <w:spacing w:val="-2"/>
          <w:sz w:val="16"/>
          <w:szCs w:val="16"/>
          <w:u w:val="single" w:color="0000FF"/>
        </w:rPr>
        <w:t>https://</w:t>
      </w:r>
      <w:hyperlink r:id="rId3">
        <w:r w:rsidRPr="002E2592">
          <w:rPr>
            <w:color w:val="0000FF"/>
            <w:spacing w:val="-2"/>
            <w:sz w:val="16"/>
            <w:szCs w:val="16"/>
            <w:u w:val="single" w:color="0000FF"/>
          </w:rPr>
          <w:t>www.abs.gov.au/statistics/people/population/deaths-australia/2022</w:t>
        </w:r>
      </w:hyperlink>
    </w:p>
  </w:footnote>
  <w:footnote w:id="4">
    <w:p w14:paraId="6EDC7029" w14:textId="5ECE1089" w:rsidR="00F53E4A" w:rsidRDefault="00F53E4A">
      <w:pPr>
        <w:pStyle w:val="FootnoteText"/>
      </w:pPr>
      <w:r>
        <w:rPr>
          <w:rStyle w:val="FootnoteReference"/>
        </w:rPr>
        <w:footnoteRef/>
      </w:r>
      <w:r>
        <w:t xml:space="preserve"> </w:t>
      </w:r>
      <w:hyperlink r:id="rId4" w:history="1">
        <w:r w:rsidRPr="00C578E3">
          <w:rPr>
            <w:rStyle w:val="Hyperlink"/>
          </w:rPr>
          <w:t>www.aihw.gov.au/reports/health-welfare-expenditure/spending-on-disease-in-australia/data</w:t>
        </w:r>
      </w:hyperlink>
    </w:p>
  </w:footnote>
  <w:footnote w:id="5">
    <w:p w14:paraId="0ABF620D" w14:textId="4438C9C1" w:rsidR="0058625F" w:rsidRDefault="0058625F" w:rsidP="0058625F">
      <w:pPr>
        <w:pStyle w:val="FootnoteText"/>
        <w:rPr>
          <w:rFonts w:eastAsiaTheme="minorHAnsi" w:cstheme="minorBidi"/>
          <w:color w:val="0000FF"/>
          <w:spacing w:val="-2"/>
          <w:szCs w:val="16"/>
          <w:u w:val="single" w:color="0000FF"/>
        </w:rPr>
      </w:pPr>
      <w:r w:rsidRPr="000C50CE">
        <w:rPr>
          <w:color w:val="232323"/>
          <w:vertAlign w:val="superscript"/>
        </w:rPr>
        <w:footnoteRef/>
      </w:r>
      <w:r w:rsidRPr="000C50CE">
        <w:rPr>
          <w:color w:val="232323"/>
          <w:szCs w:val="16"/>
        </w:rPr>
        <w:t xml:space="preserve"> </w:t>
      </w:r>
      <w:hyperlink r:id="rId5" w:history="1">
        <w:r w:rsidR="008B3B5F" w:rsidRPr="00C578E3">
          <w:rPr>
            <w:rStyle w:val="Hyperlink"/>
            <w:rFonts w:eastAsiaTheme="minorHAnsi" w:cstheme="minorBidi"/>
            <w:spacing w:val="-2"/>
            <w:szCs w:val="16"/>
          </w:rPr>
          <w:t>www.dermcoll.edu.au/wp-content/uploads/2023/09/ACD-Statement-Impact-of-skin-cancer-in-Australia-August-2023.pdf</w:t>
        </w:r>
      </w:hyperlink>
    </w:p>
    <w:p w14:paraId="2E4DDA8D" w14:textId="77777777" w:rsidR="008B3B5F" w:rsidRPr="000C50CE" w:rsidRDefault="008B3B5F" w:rsidP="0058625F">
      <w:pPr>
        <w:pStyle w:val="FootnoteText"/>
        <w:rPr>
          <w:color w:val="232323"/>
          <w:szCs w:val="16"/>
        </w:rPr>
      </w:pPr>
    </w:p>
  </w:footnote>
  <w:footnote w:id="6">
    <w:p w14:paraId="65455814" w14:textId="77777777" w:rsidR="0058625F" w:rsidRPr="000C50CE" w:rsidRDefault="0058625F" w:rsidP="0058625F">
      <w:pPr>
        <w:pStyle w:val="FootnoteText"/>
        <w:rPr>
          <w:color w:val="232323"/>
          <w:szCs w:val="16"/>
        </w:rPr>
      </w:pPr>
      <w:r w:rsidRPr="000C50CE">
        <w:rPr>
          <w:color w:val="232323"/>
          <w:vertAlign w:val="superscript"/>
        </w:rPr>
        <w:footnoteRef/>
      </w:r>
      <w:r w:rsidRPr="000C50CE">
        <w:rPr>
          <w:color w:val="232323"/>
          <w:szCs w:val="16"/>
          <w:vertAlign w:val="superscript"/>
        </w:rPr>
        <w:t xml:space="preserve"> </w:t>
      </w:r>
      <w:r w:rsidRPr="000C50CE">
        <w:rPr>
          <w:rFonts w:eastAsiaTheme="minorHAnsi" w:cstheme="minorBidi"/>
          <w:color w:val="0000FF"/>
          <w:spacing w:val="-2"/>
          <w:szCs w:val="16"/>
          <w:u w:val="single" w:color="0000FF"/>
        </w:rPr>
        <w:t>https://</w:t>
      </w:r>
      <w:hyperlink r:id="rId6">
        <w:r w:rsidRPr="000C50CE">
          <w:rPr>
            <w:rFonts w:eastAsiaTheme="minorHAnsi" w:cstheme="minorBidi"/>
            <w:color w:val="0000FF"/>
            <w:spacing w:val="-2"/>
            <w:szCs w:val="16"/>
            <w:u w:val="single" w:color="0000FF"/>
          </w:rPr>
          <w:t>www.arpansa.gov.au/our-services/testing-and-calibration/ultraviolet-radiation-testing/assessment-of-ultraviolet-</w:t>
        </w:r>
      </w:hyperlink>
      <w:r w:rsidRPr="000C50CE">
        <w:rPr>
          <w:rFonts w:eastAsiaTheme="minorHAnsi" w:cstheme="minorBidi"/>
          <w:color w:val="0000FF"/>
          <w:spacing w:val="-2"/>
          <w:szCs w:val="16"/>
          <w:u w:val="single" w:color="0000FF"/>
        </w:rPr>
        <w:t>hazards</w:t>
      </w:r>
    </w:p>
  </w:footnote>
  <w:footnote w:id="7">
    <w:p w14:paraId="79114A57" w14:textId="1DA66D3A" w:rsidR="008E2272" w:rsidRPr="000C50CE" w:rsidRDefault="0058625F" w:rsidP="0058625F">
      <w:pPr>
        <w:pStyle w:val="FootnoteText"/>
        <w:rPr>
          <w:color w:val="232323"/>
          <w:szCs w:val="16"/>
        </w:rPr>
      </w:pPr>
      <w:r w:rsidRPr="000C50CE">
        <w:rPr>
          <w:color w:val="232323"/>
          <w:vertAlign w:val="superscript"/>
        </w:rPr>
        <w:footnoteRef/>
      </w:r>
      <w:r w:rsidRPr="000C50CE">
        <w:rPr>
          <w:color w:val="232323"/>
          <w:szCs w:val="16"/>
          <w:vertAlign w:val="superscript"/>
        </w:rPr>
        <w:t xml:space="preserve"> </w:t>
      </w:r>
      <w:r w:rsidRPr="000C50CE">
        <w:rPr>
          <w:color w:val="232323"/>
          <w:szCs w:val="16"/>
        </w:rPr>
        <w:t xml:space="preserve">World Health Organisation </w:t>
      </w:r>
      <w:hyperlink r:id="rId7" w:history="1">
        <w:r w:rsidR="008E2272" w:rsidRPr="00C578E3">
          <w:rPr>
            <w:rStyle w:val="Hyperlink"/>
            <w:szCs w:val="16"/>
          </w:rPr>
          <w:t>https://www.who.int/news-room/questions-and-answers/item/radiation-ultraviolet-(uv)</w:t>
        </w:r>
      </w:hyperlink>
    </w:p>
  </w:footnote>
  <w:footnote w:id="8">
    <w:p w14:paraId="0F900526" w14:textId="1A8B6439" w:rsidR="008E2272" w:rsidRPr="008E2272" w:rsidRDefault="008E2272">
      <w:pPr>
        <w:pStyle w:val="FootnoteText"/>
        <w:rPr>
          <w:color w:val="232323"/>
          <w:szCs w:val="16"/>
        </w:rPr>
      </w:pPr>
      <w:r>
        <w:rPr>
          <w:rStyle w:val="FootnoteReference"/>
        </w:rPr>
        <w:footnoteRef/>
      </w:r>
      <w:r>
        <w:t xml:space="preserve"> </w:t>
      </w:r>
      <w:r w:rsidRPr="000C50CE">
        <w:rPr>
          <w:rFonts w:eastAsiaTheme="minorHAnsi" w:cstheme="minorBidi"/>
          <w:color w:val="0000FF"/>
          <w:spacing w:val="-2"/>
          <w:szCs w:val="16"/>
          <w:u w:val="single" w:color="0000FF"/>
        </w:rPr>
        <w:t>https://ncci.canceraustralia.gov.au/prevention/sun-exposure/sunburn-and-sun-protection</w:t>
      </w:r>
    </w:p>
  </w:footnote>
  <w:footnote w:id="9">
    <w:p w14:paraId="32C0B9AC" w14:textId="38E2E4B2" w:rsidR="008E2272" w:rsidRDefault="008E2272">
      <w:pPr>
        <w:pStyle w:val="FootnoteText"/>
      </w:pPr>
      <w:r>
        <w:rPr>
          <w:rStyle w:val="FootnoteReference"/>
        </w:rPr>
        <w:footnoteRef/>
      </w:r>
      <w:r>
        <w:t xml:space="preserve"> </w:t>
      </w:r>
      <w:r w:rsidRPr="00E37D50">
        <w:rPr>
          <w:lang w:val="en-US"/>
        </w:rPr>
        <w:t xml:space="preserve">AS/NZS 2604:2021, </w:t>
      </w:r>
      <w:r w:rsidRPr="00E37D50">
        <w:rPr>
          <w:i/>
          <w:lang w:val="en-US"/>
        </w:rPr>
        <w:t>Sunscreen</w:t>
      </w:r>
      <w:r>
        <w:rPr>
          <w:i/>
          <w:lang w:val="en-US"/>
        </w:rPr>
        <w:t xml:space="preserve"> </w:t>
      </w:r>
      <w:r w:rsidRPr="00E37D50">
        <w:rPr>
          <w:i/>
        </w:rPr>
        <w:t>products</w:t>
      </w:r>
      <w:r w:rsidRPr="00E37D50">
        <w:rPr>
          <w:i/>
          <w:spacing w:val="-4"/>
        </w:rPr>
        <w:t xml:space="preserve"> </w:t>
      </w:r>
      <w:r w:rsidRPr="00E37D50">
        <w:rPr>
          <w:i/>
        </w:rPr>
        <w:t>-</w:t>
      </w:r>
      <w:r w:rsidRPr="00E37D50">
        <w:rPr>
          <w:i/>
          <w:spacing w:val="-4"/>
        </w:rPr>
        <w:t xml:space="preserve"> </w:t>
      </w:r>
      <w:r w:rsidRPr="00E37D50">
        <w:rPr>
          <w:i/>
        </w:rPr>
        <w:t>Evaluation</w:t>
      </w:r>
      <w:r w:rsidRPr="00E37D50">
        <w:rPr>
          <w:i/>
          <w:spacing w:val="-5"/>
        </w:rPr>
        <w:t xml:space="preserve"> </w:t>
      </w:r>
      <w:r w:rsidRPr="00E37D50">
        <w:rPr>
          <w:i/>
        </w:rPr>
        <w:t>and</w:t>
      </w:r>
      <w:r w:rsidRPr="00E37D50">
        <w:rPr>
          <w:i/>
          <w:spacing w:val="-5"/>
        </w:rPr>
        <w:t xml:space="preserve"> </w:t>
      </w:r>
      <w:r w:rsidRPr="00E37D50">
        <w:rPr>
          <w:i/>
        </w:rPr>
        <w:t>classification</w:t>
      </w:r>
      <w:r w:rsidRPr="00E37D50">
        <w:rPr>
          <w:i/>
          <w:spacing w:val="-5"/>
        </w:rPr>
        <w:t xml:space="preserve"> </w:t>
      </w:r>
      <w:r w:rsidRPr="00E37D50">
        <w:t>for</w:t>
      </w:r>
      <w:r w:rsidRPr="00E37D50">
        <w:rPr>
          <w:spacing w:val="-4"/>
        </w:rPr>
        <w:t xml:space="preserve"> </w:t>
      </w:r>
      <w:r w:rsidRPr="00E37D50">
        <w:t>sunscreens</w:t>
      </w:r>
    </w:p>
  </w:footnote>
  <w:footnote w:id="10">
    <w:p w14:paraId="5867B0EE" w14:textId="77777777" w:rsidR="00945DDC" w:rsidRPr="009506B0" w:rsidRDefault="00945DDC" w:rsidP="003B1D44">
      <w:pPr>
        <w:pStyle w:val="FootnoteText"/>
        <w:rPr>
          <w:szCs w:val="16"/>
        </w:rPr>
      </w:pPr>
      <w:r w:rsidRPr="009506B0">
        <w:rPr>
          <w:rStyle w:val="FootnoteReference"/>
          <w:szCs w:val="16"/>
        </w:rPr>
        <w:footnoteRef/>
      </w:r>
      <w:r w:rsidRPr="009506B0">
        <w:rPr>
          <w:szCs w:val="16"/>
        </w:rPr>
        <w:t xml:space="preserve"> </w:t>
      </w:r>
      <w:r w:rsidRPr="003B1D44">
        <w:rPr>
          <w:rStyle w:val="FootnoteTextChar"/>
        </w:rPr>
        <w:t>The acceptable MoS cutoff should reflect the quality of safety data available. Acceptance of lower MoS values may be deemed appropriate when the NOAEL is based upon human toxicological data. Conversely, a requirement for higher MoS values may arise such as, in instances where the duration of the toxicological study does not adequately reflect the intended duration of exposure.</w:t>
      </w:r>
    </w:p>
  </w:footnote>
  <w:footnote w:id="11">
    <w:p w14:paraId="37D0BB92" w14:textId="77777777" w:rsidR="004365D2" w:rsidRPr="009B6969" w:rsidRDefault="004365D2" w:rsidP="004365D2">
      <w:pPr>
        <w:pStyle w:val="FootnoteText"/>
        <w:rPr>
          <w:szCs w:val="16"/>
        </w:rPr>
      </w:pPr>
      <w:r w:rsidRPr="009B6969">
        <w:rPr>
          <w:rStyle w:val="FootnoteReference"/>
          <w:szCs w:val="16"/>
        </w:rPr>
        <w:footnoteRef/>
      </w:r>
      <w:r w:rsidRPr="009B6969">
        <w:rPr>
          <w:szCs w:val="16"/>
        </w:rPr>
        <w:t xml:space="preserve"> The SPF is the level of protection a sunscreen offers against sunburn. It relates to the amount of time it takes for redness to appear on the skin compared to when no sunscreen is applied.</w:t>
      </w:r>
    </w:p>
  </w:footnote>
  <w:footnote w:id="12">
    <w:p w14:paraId="116F475F" w14:textId="17AFDFE0" w:rsidR="00C415E5" w:rsidRPr="009B6969" w:rsidRDefault="00C415E5" w:rsidP="009B6969">
      <w:pPr>
        <w:pStyle w:val="FootnoteText"/>
        <w:rPr>
          <w:szCs w:val="16"/>
        </w:rPr>
      </w:pPr>
      <w:r w:rsidRPr="009B6969">
        <w:rPr>
          <w:vertAlign w:val="superscript"/>
        </w:rPr>
        <w:footnoteRef/>
      </w:r>
      <w:r w:rsidRPr="009B6969">
        <w:rPr>
          <w:szCs w:val="16"/>
          <w:vertAlign w:val="superscript"/>
        </w:rPr>
        <w:t xml:space="preserve"> </w:t>
      </w:r>
      <w:r w:rsidRPr="009B6969">
        <w:rPr>
          <w:szCs w:val="16"/>
        </w:rPr>
        <w:t>See Table 3 and 4 under the ‘About the data’ tab.</w:t>
      </w:r>
    </w:p>
  </w:footnote>
  <w:footnote w:id="13">
    <w:p w14:paraId="327082DF" w14:textId="1D83EF82" w:rsidR="005D1392" w:rsidRPr="009B6969" w:rsidRDefault="005D1392" w:rsidP="003B1D44">
      <w:pPr>
        <w:pStyle w:val="FootnoteText"/>
        <w:rPr>
          <w:color w:val="232323"/>
          <w:szCs w:val="16"/>
        </w:rPr>
      </w:pPr>
      <w:r w:rsidRPr="009B6969">
        <w:rPr>
          <w:rStyle w:val="FootnoteReference"/>
          <w:szCs w:val="16"/>
        </w:rPr>
        <w:footnoteRef/>
      </w:r>
      <w:r w:rsidRPr="009B6969">
        <w:rPr>
          <w:szCs w:val="16"/>
        </w:rPr>
        <w:t xml:space="preserve"> </w:t>
      </w:r>
      <w:r w:rsidRPr="009B6969">
        <w:rPr>
          <w:color w:val="232323"/>
          <w:szCs w:val="16"/>
        </w:rPr>
        <w:t xml:space="preserve">QPHS survey result can be visualised in </w:t>
      </w:r>
      <w:hyperlink r:id="rId8">
        <w:r w:rsidRPr="009B6969">
          <w:rPr>
            <w:color w:val="232323"/>
            <w:szCs w:val="16"/>
          </w:rPr>
          <w:t>Queensland survey analytic system (QSAS)</w:t>
        </w:r>
      </w:hyperlink>
    </w:p>
  </w:footnote>
  <w:footnote w:id="14">
    <w:p w14:paraId="11BC06D5" w14:textId="784B0DB8" w:rsidR="005D1392" w:rsidRDefault="005D1392">
      <w:pPr>
        <w:pStyle w:val="FootnoteText"/>
      </w:pPr>
      <w:r>
        <w:rPr>
          <w:rStyle w:val="FootnoteReference"/>
        </w:rPr>
        <w:footnoteRef/>
      </w:r>
      <w:r>
        <w:t xml:space="preserve"> </w:t>
      </w:r>
      <w:r w:rsidRPr="00D5670D">
        <w:rPr>
          <w:color w:val="333E47"/>
        </w:rPr>
        <w:t>‘Prevalence</w:t>
      </w:r>
      <w:r w:rsidRPr="00D5670D">
        <w:rPr>
          <w:color w:val="333E47"/>
          <w:spacing w:val="-6"/>
        </w:rPr>
        <w:t xml:space="preserve"> </w:t>
      </w:r>
      <w:r w:rsidRPr="00D5670D">
        <w:rPr>
          <w:color w:val="333E47"/>
        </w:rPr>
        <w:t>table’</w:t>
      </w:r>
      <w:r w:rsidRPr="00D5670D">
        <w:rPr>
          <w:color w:val="333E47"/>
          <w:spacing w:val="-5"/>
        </w:rPr>
        <w:t xml:space="preserve"> </w:t>
      </w:r>
      <w:r w:rsidRPr="00D5670D">
        <w:rPr>
          <w:color w:val="333E47"/>
        </w:rPr>
        <w:t>tab</w:t>
      </w:r>
      <w:r w:rsidRPr="00D5670D">
        <w:rPr>
          <w:color w:val="333E47"/>
          <w:spacing w:val="-4"/>
        </w:rPr>
        <w:t xml:space="preserve"> </w:t>
      </w:r>
      <w:r w:rsidRPr="00D5670D">
        <w:rPr>
          <w:color w:val="333E47"/>
        </w:rPr>
        <w:t>of</w:t>
      </w:r>
      <w:r w:rsidRPr="00D5670D">
        <w:rPr>
          <w:color w:val="333E47"/>
          <w:spacing w:val="-5"/>
        </w:rPr>
        <w:t xml:space="preserve"> </w:t>
      </w:r>
      <w:r w:rsidRPr="00D5670D">
        <w:rPr>
          <w:color w:val="333E47"/>
        </w:rPr>
        <w:t>Figure</w:t>
      </w:r>
      <w:r w:rsidRPr="00D5670D">
        <w:rPr>
          <w:color w:val="333E47"/>
          <w:spacing w:val="-3"/>
        </w:rPr>
        <w:t xml:space="preserve"> </w:t>
      </w:r>
      <w:r w:rsidRPr="00D5670D">
        <w:rPr>
          <w:color w:val="333E47"/>
        </w:rPr>
        <w:t>3:</w:t>
      </w:r>
      <w:r w:rsidRPr="00D5670D">
        <w:rPr>
          <w:color w:val="333E47"/>
          <w:spacing w:val="-5"/>
        </w:rPr>
        <w:t xml:space="preserve"> </w:t>
      </w:r>
      <w:r w:rsidRPr="00D5670D">
        <w:rPr>
          <w:color w:val="333E47"/>
        </w:rPr>
        <w:t>Characteristics</w:t>
      </w:r>
      <w:r w:rsidRPr="00D5670D">
        <w:rPr>
          <w:color w:val="333E47"/>
          <w:spacing w:val="-2"/>
        </w:rPr>
        <w:t xml:space="preserve"> </w:t>
      </w:r>
      <w:r w:rsidRPr="00D5670D">
        <w:rPr>
          <w:color w:val="333E47"/>
        </w:rPr>
        <w:t>of</w:t>
      </w:r>
      <w:r w:rsidRPr="00D5670D">
        <w:rPr>
          <w:color w:val="333E47"/>
          <w:spacing w:val="-7"/>
        </w:rPr>
        <w:t xml:space="preserve"> </w:t>
      </w:r>
      <w:r w:rsidRPr="00D5670D">
        <w:rPr>
          <w:color w:val="333E47"/>
        </w:rPr>
        <w:t>sunburn</w:t>
      </w:r>
      <w:r w:rsidRPr="00D5670D">
        <w:rPr>
          <w:color w:val="333E47"/>
          <w:spacing w:val="-4"/>
        </w:rPr>
        <w:t xml:space="preserve"> </w:t>
      </w:r>
      <w:r w:rsidRPr="00D5670D">
        <w:rPr>
          <w:color w:val="333E47"/>
        </w:rPr>
        <w:t>and</w:t>
      </w:r>
      <w:r w:rsidRPr="00D5670D">
        <w:rPr>
          <w:color w:val="333E47"/>
          <w:spacing w:val="-4"/>
        </w:rPr>
        <w:t xml:space="preserve"> </w:t>
      </w:r>
      <w:r w:rsidRPr="00D5670D">
        <w:rPr>
          <w:color w:val="333E47"/>
        </w:rPr>
        <w:t>sun</w:t>
      </w:r>
      <w:r w:rsidRPr="00D5670D">
        <w:rPr>
          <w:color w:val="333E47"/>
          <w:spacing w:val="-4"/>
        </w:rPr>
        <w:t xml:space="preserve"> </w:t>
      </w:r>
      <w:r w:rsidRPr="00D5670D">
        <w:rPr>
          <w:color w:val="333E47"/>
        </w:rPr>
        <w:t>safety</w:t>
      </w:r>
      <w:r w:rsidRPr="00D5670D">
        <w:rPr>
          <w:color w:val="333E47"/>
          <w:spacing w:val="-2"/>
        </w:rPr>
        <w:t xml:space="preserve"> </w:t>
      </w:r>
      <w:r w:rsidRPr="00D5670D">
        <w:rPr>
          <w:color w:val="333E47"/>
        </w:rPr>
        <w:t>of</w:t>
      </w:r>
      <w:r w:rsidRPr="00D5670D">
        <w:rPr>
          <w:color w:val="333E47"/>
          <w:spacing w:val="-4"/>
        </w:rPr>
        <w:t xml:space="preserve"> </w:t>
      </w:r>
      <w:r w:rsidRPr="00D5670D">
        <w:rPr>
          <w:color w:val="333E47"/>
        </w:rPr>
        <w:t>Queensland</w:t>
      </w:r>
      <w:r w:rsidRPr="00D5670D">
        <w:rPr>
          <w:color w:val="333E47"/>
          <w:spacing w:val="-4"/>
        </w:rPr>
        <w:t xml:space="preserve"> </w:t>
      </w:r>
      <w:r w:rsidRPr="00D5670D">
        <w:rPr>
          <w:color w:val="333E47"/>
          <w:spacing w:val="-2"/>
        </w:rPr>
        <w:t>children</w:t>
      </w:r>
    </w:p>
  </w:footnote>
  <w:footnote w:id="15">
    <w:p w14:paraId="440E80FB" w14:textId="77777777" w:rsidR="00261C5D" w:rsidRPr="009B6969" w:rsidRDefault="00261C5D" w:rsidP="00261C5D">
      <w:pPr>
        <w:pStyle w:val="BodyText"/>
        <w:spacing w:line="259" w:lineRule="auto"/>
        <w:ind w:right="315"/>
        <w:rPr>
          <w:color w:val="232323"/>
          <w:sz w:val="16"/>
          <w:szCs w:val="16"/>
        </w:rPr>
      </w:pPr>
      <w:r w:rsidRPr="009B6969">
        <w:rPr>
          <w:rStyle w:val="FootnoteReference"/>
          <w:sz w:val="16"/>
          <w:szCs w:val="16"/>
        </w:rPr>
        <w:footnoteRef/>
      </w:r>
      <w:r w:rsidRPr="009B6969">
        <w:rPr>
          <w:sz w:val="16"/>
          <w:szCs w:val="16"/>
        </w:rPr>
        <w:t xml:space="preserve"> </w:t>
      </w:r>
      <w:r w:rsidRPr="009B6969">
        <w:rPr>
          <w:color w:val="333E47"/>
          <w:sz w:val="16"/>
          <w:szCs w:val="16"/>
        </w:rPr>
        <w:t>‘</w:t>
      </w:r>
      <w:r w:rsidRPr="009B6969">
        <w:rPr>
          <w:color w:val="232323"/>
          <w:sz w:val="16"/>
          <w:szCs w:val="16"/>
        </w:rPr>
        <w:t>Introduction’ tab of Figure 3: Characteristics of sunburn and sun safety of Queensland children</w:t>
      </w:r>
    </w:p>
  </w:footnote>
  <w:footnote w:id="16">
    <w:p w14:paraId="1F336131" w14:textId="663BF3BE" w:rsidR="005D1392" w:rsidRPr="009B6969" w:rsidRDefault="005D1392" w:rsidP="009B6969">
      <w:pPr>
        <w:pStyle w:val="BodyText"/>
        <w:spacing w:line="256" w:lineRule="auto"/>
        <w:ind w:right="161"/>
        <w:rPr>
          <w:color w:val="232323"/>
          <w:sz w:val="16"/>
          <w:szCs w:val="16"/>
        </w:rPr>
      </w:pPr>
      <w:r w:rsidRPr="009B6969">
        <w:rPr>
          <w:rStyle w:val="FootnoteReference"/>
          <w:sz w:val="16"/>
          <w:szCs w:val="16"/>
        </w:rPr>
        <w:footnoteRef/>
      </w:r>
      <w:r w:rsidRPr="009B6969">
        <w:rPr>
          <w:sz w:val="16"/>
          <w:szCs w:val="16"/>
        </w:rPr>
        <w:t xml:space="preserve"> </w:t>
      </w:r>
      <w:r w:rsidRPr="009B6969">
        <w:rPr>
          <w:color w:val="232323"/>
          <w:sz w:val="16"/>
          <w:szCs w:val="16"/>
        </w:rPr>
        <w:t>Report provided to the TGA by Safe Work Australia</w:t>
      </w:r>
    </w:p>
  </w:footnote>
  <w:footnote w:id="17">
    <w:p w14:paraId="2001881E" w14:textId="38BA5674" w:rsidR="005D1392" w:rsidRPr="00775332" w:rsidRDefault="005D1392" w:rsidP="00775332">
      <w:pPr>
        <w:pStyle w:val="BodyText"/>
        <w:spacing w:line="259" w:lineRule="auto"/>
        <w:ind w:right="150"/>
        <w:rPr>
          <w:color w:val="232323"/>
          <w:sz w:val="16"/>
          <w:szCs w:val="16"/>
        </w:rPr>
      </w:pPr>
      <w:r w:rsidRPr="00775332">
        <w:rPr>
          <w:rStyle w:val="FootnoteReference"/>
          <w:sz w:val="16"/>
          <w:szCs w:val="16"/>
        </w:rPr>
        <w:footnoteRef/>
      </w:r>
      <w:r w:rsidRPr="00775332">
        <w:rPr>
          <w:sz w:val="16"/>
          <w:szCs w:val="16"/>
        </w:rPr>
        <w:t xml:space="preserve"> </w:t>
      </w:r>
      <w:r w:rsidRPr="00775332">
        <w:rPr>
          <w:color w:val="333E47"/>
          <w:sz w:val="16"/>
          <w:szCs w:val="16"/>
        </w:rPr>
        <w:t>The</w:t>
      </w:r>
      <w:r w:rsidRPr="00775332">
        <w:rPr>
          <w:color w:val="333E47"/>
          <w:spacing w:val="-2"/>
          <w:sz w:val="16"/>
          <w:szCs w:val="16"/>
        </w:rPr>
        <w:t xml:space="preserve"> </w:t>
      </w:r>
      <w:r w:rsidRPr="00775332">
        <w:rPr>
          <w:color w:val="333E47"/>
          <w:sz w:val="16"/>
          <w:szCs w:val="16"/>
        </w:rPr>
        <w:t>SPF</w:t>
      </w:r>
      <w:r w:rsidRPr="00775332">
        <w:rPr>
          <w:color w:val="333E47"/>
          <w:spacing w:val="-1"/>
          <w:sz w:val="16"/>
          <w:szCs w:val="16"/>
        </w:rPr>
        <w:t xml:space="preserve"> </w:t>
      </w:r>
      <w:r w:rsidRPr="00775332">
        <w:rPr>
          <w:color w:val="333E47"/>
          <w:sz w:val="16"/>
          <w:szCs w:val="16"/>
        </w:rPr>
        <w:t>rating</w:t>
      </w:r>
      <w:r w:rsidRPr="00775332">
        <w:rPr>
          <w:color w:val="333E47"/>
          <w:spacing w:val="-4"/>
          <w:sz w:val="16"/>
          <w:szCs w:val="16"/>
        </w:rPr>
        <w:t xml:space="preserve"> </w:t>
      </w:r>
      <w:r w:rsidRPr="00775332">
        <w:rPr>
          <w:color w:val="333E47"/>
          <w:sz w:val="16"/>
          <w:szCs w:val="16"/>
        </w:rPr>
        <w:t>serves as a</w:t>
      </w:r>
      <w:r w:rsidRPr="00775332">
        <w:rPr>
          <w:color w:val="333E47"/>
          <w:spacing w:val="-4"/>
          <w:sz w:val="16"/>
          <w:szCs w:val="16"/>
        </w:rPr>
        <w:t xml:space="preserve"> </w:t>
      </w:r>
      <w:r w:rsidRPr="00775332">
        <w:rPr>
          <w:color w:val="333E47"/>
          <w:sz w:val="16"/>
          <w:szCs w:val="16"/>
        </w:rPr>
        <w:t>guide</w:t>
      </w:r>
      <w:r w:rsidRPr="00775332">
        <w:rPr>
          <w:color w:val="333E47"/>
          <w:spacing w:val="-2"/>
          <w:sz w:val="16"/>
          <w:szCs w:val="16"/>
        </w:rPr>
        <w:t xml:space="preserve"> </w:t>
      </w:r>
      <w:r w:rsidRPr="00775332">
        <w:rPr>
          <w:color w:val="333E47"/>
          <w:sz w:val="16"/>
          <w:szCs w:val="16"/>
        </w:rPr>
        <w:t>for</w:t>
      </w:r>
      <w:r w:rsidRPr="00775332">
        <w:rPr>
          <w:color w:val="333E47"/>
          <w:spacing w:val="-4"/>
          <w:sz w:val="16"/>
          <w:szCs w:val="16"/>
        </w:rPr>
        <w:t xml:space="preserve"> </w:t>
      </w:r>
      <w:r w:rsidRPr="00775332">
        <w:rPr>
          <w:color w:val="333E47"/>
          <w:sz w:val="16"/>
          <w:szCs w:val="16"/>
        </w:rPr>
        <w:t>consumers, indicating</w:t>
      </w:r>
      <w:r w:rsidRPr="00775332">
        <w:rPr>
          <w:color w:val="333E47"/>
          <w:spacing w:val="-4"/>
          <w:sz w:val="16"/>
          <w:szCs w:val="16"/>
        </w:rPr>
        <w:t xml:space="preserve"> </w:t>
      </w:r>
      <w:r w:rsidRPr="00775332">
        <w:rPr>
          <w:color w:val="333E47"/>
          <w:sz w:val="16"/>
          <w:szCs w:val="16"/>
        </w:rPr>
        <w:t>the</w:t>
      </w:r>
      <w:r w:rsidRPr="00775332">
        <w:rPr>
          <w:color w:val="333E47"/>
          <w:spacing w:val="-4"/>
          <w:sz w:val="16"/>
          <w:szCs w:val="16"/>
        </w:rPr>
        <w:t xml:space="preserve"> </w:t>
      </w:r>
      <w:r w:rsidRPr="00775332">
        <w:rPr>
          <w:color w:val="333E47"/>
          <w:sz w:val="16"/>
          <w:szCs w:val="16"/>
        </w:rPr>
        <w:t>level</w:t>
      </w:r>
      <w:r w:rsidRPr="00775332">
        <w:rPr>
          <w:color w:val="333E47"/>
          <w:spacing w:val="-1"/>
          <w:sz w:val="16"/>
          <w:szCs w:val="16"/>
        </w:rPr>
        <w:t xml:space="preserve"> </w:t>
      </w:r>
      <w:r w:rsidRPr="00775332">
        <w:rPr>
          <w:color w:val="333E47"/>
          <w:sz w:val="16"/>
          <w:szCs w:val="16"/>
        </w:rPr>
        <w:t>of</w:t>
      </w:r>
      <w:r w:rsidRPr="00775332">
        <w:rPr>
          <w:color w:val="333E47"/>
          <w:spacing w:val="-3"/>
          <w:sz w:val="16"/>
          <w:szCs w:val="16"/>
        </w:rPr>
        <w:t xml:space="preserve"> </w:t>
      </w:r>
      <w:r w:rsidRPr="00775332">
        <w:rPr>
          <w:color w:val="333E47"/>
          <w:sz w:val="16"/>
          <w:szCs w:val="16"/>
        </w:rPr>
        <w:t>protection</w:t>
      </w:r>
      <w:r w:rsidRPr="00775332">
        <w:rPr>
          <w:color w:val="333E47"/>
          <w:spacing w:val="-2"/>
          <w:sz w:val="16"/>
          <w:szCs w:val="16"/>
        </w:rPr>
        <w:t xml:space="preserve"> </w:t>
      </w:r>
      <w:r w:rsidRPr="00775332">
        <w:rPr>
          <w:color w:val="333E47"/>
          <w:sz w:val="16"/>
          <w:szCs w:val="16"/>
        </w:rPr>
        <w:t>a</w:t>
      </w:r>
      <w:r w:rsidRPr="00775332">
        <w:rPr>
          <w:color w:val="333E47"/>
          <w:spacing w:val="-4"/>
          <w:sz w:val="16"/>
          <w:szCs w:val="16"/>
        </w:rPr>
        <w:t xml:space="preserve"> </w:t>
      </w:r>
      <w:r w:rsidRPr="00775332">
        <w:rPr>
          <w:color w:val="333E47"/>
          <w:sz w:val="16"/>
          <w:szCs w:val="16"/>
        </w:rPr>
        <w:t>sunscreen</w:t>
      </w:r>
      <w:r w:rsidRPr="00775332">
        <w:rPr>
          <w:color w:val="333E47"/>
          <w:spacing w:val="-2"/>
          <w:sz w:val="16"/>
          <w:szCs w:val="16"/>
        </w:rPr>
        <w:t xml:space="preserve"> </w:t>
      </w:r>
      <w:r w:rsidRPr="00775332">
        <w:rPr>
          <w:color w:val="333E47"/>
          <w:sz w:val="16"/>
          <w:szCs w:val="16"/>
        </w:rPr>
        <w:t>offers against</w:t>
      </w:r>
      <w:r w:rsidRPr="00775332">
        <w:rPr>
          <w:color w:val="333E47"/>
          <w:spacing w:val="-3"/>
          <w:sz w:val="16"/>
          <w:szCs w:val="16"/>
        </w:rPr>
        <w:t xml:space="preserve"> </w:t>
      </w:r>
      <w:r w:rsidRPr="00775332">
        <w:rPr>
          <w:color w:val="333E47"/>
          <w:sz w:val="16"/>
          <w:szCs w:val="16"/>
        </w:rPr>
        <w:t>sunburn.</w:t>
      </w:r>
      <w:r w:rsidRPr="00775332">
        <w:rPr>
          <w:color w:val="333E47"/>
          <w:spacing w:val="-3"/>
          <w:sz w:val="16"/>
          <w:szCs w:val="16"/>
        </w:rPr>
        <w:t xml:space="preserve"> </w:t>
      </w:r>
      <w:r w:rsidRPr="00775332">
        <w:rPr>
          <w:color w:val="333E47"/>
          <w:sz w:val="16"/>
          <w:szCs w:val="16"/>
        </w:rPr>
        <w:t xml:space="preserve">It </w:t>
      </w:r>
      <w:r w:rsidRPr="00775332">
        <w:rPr>
          <w:color w:val="232323"/>
          <w:sz w:val="16"/>
          <w:szCs w:val="16"/>
        </w:rPr>
        <w:t>assists individuals to choose a product that aligns with their skin's sensitivity and expected sun exposure.</w:t>
      </w:r>
    </w:p>
  </w:footnote>
  <w:footnote w:id="18">
    <w:p w14:paraId="07362B6F" w14:textId="0BD0D240" w:rsidR="00FE12C3" w:rsidRPr="00A574B0" w:rsidRDefault="00FE12C3" w:rsidP="00775332">
      <w:pPr>
        <w:pStyle w:val="BodyText"/>
        <w:spacing w:line="256" w:lineRule="auto"/>
        <w:ind w:right="1593"/>
        <w:rPr>
          <w:sz w:val="16"/>
          <w:szCs w:val="16"/>
        </w:rPr>
      </w:pPr>
      <w:r w:rsidRPr="00A574B0">
        <w:rPr>
          <w:rStyle w:val="FootnoteReference"/>
          <w:sz w:val="16"/>
          <w:szCs w:val="16"/>
        </w:rPr>
        <w:footnoteRef/>
      </w:r>
      <w:r w:rsidRPr="00A574B0">
        <w:rPr>
          <w:sz w:val="16"/>
          <w:szCs w:val="16"/>
        </w:rPr>
        <w:t xml:space="preserve"> </w:t>
      </w:r>
      <w:r w:rsidRPr="00A574B0">
        <w:rPr>
          <w:color w:val="232323"/>
          <w:sz w:val="16"/>
          <w:szCs w:val="16"/>
        </w:rPr>
        <w:t xml:space="preserve">SunSmart (2024). Protect your skin - SunSmart. [online] Available at: </w:t>
      </w:r>
      <w:hyperlink r:id="rId9" w:anchor="sunscreen">
        <w:r w:rsidRPr="00A574B0">
          <w:rPr>
            <w:color w:val="0000FF"/>
            <w:sz w:val="16"/>
            <w:szCs w:val="16"/>
            <w:u w:val="single" w:color="0000FF"/>
          </w:rPr>
          <w:t>https://www.sunsmart.com.au/protect-your-skin#sunscreen</w:t>
        </w:r>
        <w:r w:rsidRPr="00A574B0">
          <w:rPr>
            <w:color w:val="232323"/>
            <w:sz w:val="16"/>
            <w:szCs w:val="16"/>
          </w:rPr>
          <w:t>.</w:t>
        </w:r>
      </w:hyperlink>
      <w:r w:rsidRPr="00A574B0">
        <w:rPr>
          <w:color w:val="232323"/>
          <w:spacing w:val="-10"/>
          <w:sz w:val="16"/>
          <w:szCs w:val="16"/>
        </w:rPr>
        <w:t xml:space="preserve"> </w:t>
      </w:r>
      <w:r w:rsidRPr="00A574B0">
        <w:rPr>
          <w:color w:val="232323"/>
          <w:sz w:val="16"/>
          <w:szCs w:val="16"/>
        </w:rPr>
        <w:t>[Accessed</w:t>
      </w:r>
      <w:r w:rsidRPr="00A574B0">
        <w:rPr>
          <w:color w:val="232323"/>
          <w:spacing w:val="-10"/>
          <w:sz w:val="16"/>
          <w:szCs w:val="16"/>
        </w:rPr>
        <w:t xml:space="preserve"> </w:t>
      </w:r>
      <w:r w:rsidRPr="00A574B0">
        <w:rPr>
          <w:color w:val="232323"/>
          <w:sz w:val="16"/>
          <w:szCs w:val="16"/>
        </w:rPr>
        <w:t>20</w:t>
      </w:r>
      <w:r w:rsidRPr="00A574B0">
        <w:rPr>
          <w:color w:val="232323"/>
          <w:spacing w:val="-9"/>
          <w:sz w:val="16"/>
          <w:szCs w:val="16"/>
        </w:rPr>
        <w:t xml:space="preserve"> </w:t>
      </w:r>
      <w:r w:rsidRPr="00A574B0">
        <w:rPr>
          <w:color w:val="232323"/>
          <w:sz w:val="16"/>
          <w:szCs w:val="16"/>
        </w:rPr>
        <w:t>June</w:t>
      </w:r>
      <w:r w:rsidRPr="00A574B0">
        <w:rPr>
          <w:color w:val="232323"/>
          <w:spacing w:val="-9"/>
          <w:sz w:val="16"/>
          <w:szCs w:val="16"/>
        </w:rPr>
        <w:t xml:space="preserve"> </w:t>
      </w:r>
      <w:r w:rsidRPr="00A574B0">
        <w:rPr>
          <w:color w:val="232323"/>
          <w:sz w:val="16"/>
          <w:szCs w:val="16"/>
        </w:rPr>
        <w:t>2024].</w:t>
      </w:r>
    </w:p>
  </w:footnote>
  <w:footnote w:id="19">
    <w:p w14:paraId="07EB58DE" w14:textId="77777777" w:rsidR="000D581D" w:rsidRPr="009B6969" w:rsidRDefault="000D581D" w:rsidP="000D581D">
      <w:pPr>
        <w:pStyle w:val="FootnoteText"/>
        <w:rPr>
          <w:szCs w:val="16"/>
        </w:rPr>
      </w:pPr>
      <w:r w:rsidRPr="009B6969">
        <w:rPr>
          <w:rStyle w:val="FootnoteReference"/>
          <w:szCs w:val="16"/>
        </w:rPr>
        <w:footnoteRef/>
      </w:r>
      <w:r w:rsidRPr="009B6969">
        <w:rPr>
          <w:szCs w:val="16"/>
        </w:rPr>
        <w:t xml:space="preserve"> The SPF is the level of protection a sunscreen offers against sunburn. It relates to the amount of time it takes for redness to appear on the skin compared to when no sunscreen is applied.</w:t>
      </w:r>
    </w:p>
  </w:footnote>
  <w:footnote w:id="20">
    <w:p w14:paraId="6B2D484F" w14:textId="77777777" w:rsidR="00C84875" w:rsidRDefault="00C84875" w:rsidP="00C84875">
      <w:pPr>
        <w:pStyle w:val="FootnoteText"/>
      </w:pPr>
      <w:r>
        <w:rPr>
          <w:rStyle w:val="FootnoteReference"/>
        </w:rPr>
        <w:footnoteRef/>
      </w:r>
      <w:r>
        <w:t xml:space="preserve"> </w:t>
      </w:r>
      <w:hyperlink r:id="rId10" w:history="1">
        <w:r w:rsidRPr="00DF180C">
          <w:rPr>
            <w:rStyle w:val="Hyperlink"/>
            <w:szCs w:val="16"/>
          </w:rPr>
          <w:t>https://ncci.canceraustralia.gov.au/prevention/sun-exposure/sunburn-and-sun-protection</w:t>
        </w:r>
      </w:hyperlink>
    </w:p>
  </w:footnote>
  <w:footnote w:id="21">
    <w:p w14:paraId="553588F5" w14:textId="25A4B709" w:rsidR="00476A59" w:rsidRPr="00476A59" w:rsidRDefault="007B4E17" w:rsidP="007B4E17">
      <w:pPr>
        <w:pStyle w:val="FootnoteText"/>
        <w:rPr>
          <w:color w:val="0000FF"/>
          <w:szCs w:val="16"/>
          <w:u w:val="single"/>
        </w:rPr>
      </w:pPr>
      <w:r>
        <w:rPr>
          <w:rStyle w:val="FootnoteReference"/>
        </w:rPr>
        <w:footnoteRef/>
      </w:r>
      <w:r>
        <w:t xml:space="preserve"> </w:t>
      </w:r>
      <w:hyperlink r:id="rId11" w:history="1">
        <w:r w:rsidR="00476A59" w:rsidRPr="00C578E3">
          <w:rPr>
            <w:rStyle w:val="Hyperlink"/>
            <w:szCs w:val="16"/>
          </w:rPr>
          <w:t>www.aihw.gov.au/reports/cancer/cancer-data-in-australia/contents/overview-of-cancer-in-australia-2023</w:t>
        </w:r>
      </w:hyperlink>
    </w:p>
  </w:footnote>
  <w:footnote w:id="22">
    <w:p w14:paraId="3B15F834" w14:textId="7C7A453A" w:rsidR="007B4E17" w:rsidRPr="00476A59" w:rsidRDefault="007B4E17" w:rsidP="00476A59">
      <w:pPr>
        <w:spacing w:after="0"/>
        <w:rPr>
          <w:color w:val="0000FF"/>
          <w:sz w:val="16"/>
          <w:szCs w:val="16"/>
          <w:u w:val="single"/>
        </w:rPr>
      </w:pPr>
      <w:r w:rsidRPr="00476A59">
        <w:rPr>
          <w:rStyle w:val="FootnoteReference"/>
          <w:sz w:val="16"/>
          <w:szCs w:val="16"/>
        </w:rPr>
        <w:footnoteRef/>
      </w:r>
      <w:r w:rsidRPr="00476A59">
        <w:rPr>
          <w:sz w:val="16"/>
          <w:szCs w:val="16"/>
        </w:rPr>
        <w:t xml:space="preserve"> </w:t>
      </w:r>
      <w:r w:rsidRPr="00476A59">
        <w:rPr>
          <w:rStyle w:val="Hyperlink"/>
          <w:rFonts w:eastAsia="Cambria" w:cs="Times New Roman"/>
          <w:sz w:val="16"/>
          <w:szCs w:val="16"/>
        </w:rPr>
        <w:t>https://www.dermcoll.edu.au/wp-content/uploads/2023/09/ACD-Statement-Impact-of-skin-cancer-in-Australia-August-2023.pdf</w:t>
      </w:r>
    </w:p>
  </w:footnote>
  <w:footnote w:id="23">
    <w:p w14:paraId="4797D744" w14:textId="77777777" w:rsidR="00401CCC" w:rsidRPr="009B6969" w:rsidRDefault="00401CCC" w:rsidP="00401CCC">
      <w:pPr>
        <w:pStyle w:val="FootnoteText"/>
        <w:rPr>
          <w:szCs w:val="16"/>
        </w:rPr>
      </w:pPr>
      <w:r w:rsidRPr="009B6969">
        <w:rPr>
          <w:rStyle w:val="FootnoteReference"/>
          <w:szCs w:val="16"/>
        </w:rPr>
        <w:footnoteRef/>
      </w:r>
      <w:r w:rsidRPr="009B6969">
        <w:rPr>
          <w:szCs w:val="16"/>
        </w:rPr>
        <w:t xml:space="preserve"> The SPF is the level of protection a sunscreen offers against sunburn. It relates to the amount of time it takes for redness to appear on the skin compared to when no sunscreen is applied.</w:t>
      </w:r>
    </w:p>
  </w:footnote>
  <w:footnote w:id="24">
    <w:p w14:paraId="4144772A" w14:textId="77777777" w:rsidR="00F9206F" w:rsidRDefault="00F9206F" w:rsidP="00F9206F">
      <w:pPr>
        <w:pStyle w:val="FootnoteText"/>
      </w:pPr>
      <w:r>
        <w:rPr>
          <w:rStyle w:val="FootnoteReference"/>
        </w:rPr>
        <w:footnoteRef/>
      </w:r>
      <w:r>
        <w:t xml:space="preserve"> </w:t>
      </w:r>
      <w:hyperlink r:id="rId12" w:history="1">
        <w:r w:rsidRPr="00C3011A">
          <w:rPr>
            <w:rStyle w:val="Hyperlink"/>
          </w:rPr>
          <w:t>https://oia.pmc.gov.au/sites/default/files/2023-08/competition-and-regulation.pdf</w:t>
        </w:r>
      </w:hyperlink>
    </w:p>
  </w:footnote>
  <w:footnote w:id="25">
    <w:p w14:paraId="5C4D9F83" w14:textId="2FBE8CE0" w:rsidR="00FE12C3" w:rsidRPr="008F7671" w:rsidRDefault="008F7671">
      <w:pPr>
        <w:pStyle w:val="FootnoteText"/>
        <w:rPr>
          <w:color w:val="333E47"/>
        </w:rPr>
      </w:pPr>
      <w:r>
        <w:rPr>
          <w:rStyle w:val="FootnoteReference"/>
        </w:rPr>
        <w:footnoteRef/>
      </w:r>
      <w:r>
        <w:t xml:space="preserve"> </w:t>
      </w:r>
      <w:r>
        <w:rPr>
          <w:color w:val="333E47"/>
        </w:rPr>
        <w:t>The</w:t>
      </w:r>
      <w:r>
        <w:rPr>
          <w:color w:val="333E47"/>
          <w:spacing w:val="-1"/>
        </w:rPr>
        <w:t xml:space="preserve"> </w:t>
      </w:r>
      <w:r>
        <w:rPr>
          <w:color w:val="333E47"/>
        </w:rPr>
        <w:t>age-standardised</w:t>
      </w:r>
      <w:r>
        <w:rPr>
          <w:color w:val="333E47"/>
          <w:spacing w:val="-3"/>
        </w:rPr>
        <w:t xml:space="preserve"> </w:t>
      </w:r>
      <w:r>
        <w:rPr>
          <w:color w:val="333E47"/>
        </w:rPr>
        <w:t>rate</w:t>
      </w:r>
      <w:r>
        <w:rPr>
          <w:color w:val="333E47"/>
          <w:spacing w:val="-1"/>
        </w:rPr>
        <w:t xml:space="preserve"> </w:t>
      </w:r>
      <w:r>
        <w:rPr>
          <w:color w:val="333E47"/>
        </w:rPr>
        <w:t>is</w:t>
      </w:r>
      <w:r>
        <w:rPr>
          <w:color w:val="333E47"/>
          <w:spacing w:val="-1"/>
        </w:rPr>
        <w:t xml:space="preserve"> </w:t>
      </w:r>
      <w:r>
        <w:rPr>
          <w:color w:val="333E47"/>
        </w:rPr>
        <w:t>a</w:t>
      </w:r>
      <w:r>
        <w:rPr>
          <w:color w:val="333E47"/>
          <w:spacing w:val="-3"/>
        </w:rPr>
        <w:t xml:space="preserve"> </w:t>
      </w:r>
      <w:r>
        <w:rPr>
          <w:color w:val="333E47"/>
        </w:rPr>
        <w:t>summary</w:t>
      </w:r>
      <w:r>
        <w:rPr>
          <w:color w:val="333E47"/>
          <w:spacing w:val="-1"/>
        </w:rPr>
        <w:t xml:space="preserve"> </w:t>
      </w:r>
      <w:r>
        <w:rPr>
          <w:color w:val="333E47"/>
        </w:rPr>
        <w:t>measure</w:t>
      </w:r>
      <w:r>
        <w:rPr>
          <w:color w:val="333E47"/>
          <w:spacing w:val="-1"/>
        </w:rPr>
        <w:t xml:space="preserve"> </w:t>
      </w:r>
      <w:r>
        <w:rPr>
          <w:color w:val="333E47"/>
        </w:rPr>
        <w:t>of</w:t>
      </w:r>
      <w:r>
        <w:rPr>
          <w:color w:val="333E47"/>
          <w:spacing w:val="-2"/>
        </w:rPr>
        <w:t xml:space="preserve"> </w:t>
      </w:r>
      <w:r>
        <w:rPr>
          <w:color w:val="333E47"/>
        </w:rPr>
        <w:t>the</w:t>
      </w:r>
      <w:r>
        <w:rPr>
          <w:color w:val="333E47"/>
          <w:spacing w:val="-3"/>
        </w:rPr>
        <w:t xml:space="preserve"> </w:t>
      </w:r>
      <w:r>
        <w:rPr>
          <w:color w:val="333E47"/>
        </w:rPr>
        <w:t>rate</w:t>
      </w:r>
      <w:r>
        <w:rPr>
          <w:color w:val="333E47"/>
          <w:spacing w:val="-3"/>
        </w:rPr>
        <w:t xml:space="preserve"> </w:t>
      </w:r>
      <w:r>
        <w:rPr>
          <w:color w:val="333E47"/>
        </w:rPr>
        <w:t>that would</w:t>
      </w:r>
      <w:r>
        <w:rPr>
          <w:color w:val="333E47"/>
          <w:spacing w:val="-1"/>
        </w:rPr>
        <w:t xml:space="preserve"> </w:t>
      </w:r>
      <w:r>
        <w:rPr>
          <w:color w:val="333E47"/>
        </w:rPr>
        <w:t>have</w:t>
      </w:r>
      <w:r>
        <w:rPr>
          <w:color w:val="333E47"/>
          <w:spacing w:val="-1"/>
        </w:rPr>
        <w:t xml:space="preserve"> </w:t>
      </w:r>
      <w:r>
        <w:rPr>
          <w:color w:val="333E47"/>
        </w:rPr>
        <w:t>been</w:t>
      </w:r>
      <w:r>
        <w:rPr>
          <w:color w:val="333E47"/>
          <w:spacing w:val="-1"/>
        </w:rPr>
        <w:t xml:space="preserve"> </w:t>
      </w:r>
      <w:r>
        <w:rPr>
          <w:color w:val="333E47"/>
        </w:rPr>
        <w:t>observed</w:t>
      </w:r>
      <w:r>
        <w:rPr>
          <w:color w:val="333E47"/>
          <w:spacing w:val="-3"/>
        </w:rPr>
        <w:t xml:space="preserve"> </w:t>
      </w:r>
      <w:r>
        <w:rPr>
          <w:color w:val="333E47"/>
        </w:rPr>
        <w:t>if</w:t>
      </w:r>
      <w:r>
        <w:rPr>
          <w:color w:val="333E47"/>
          <w:spacing w:val="-2"/>
        </w:rPr>
        <w:t xml:space="preserve"> </w:t>
      </w:r>
      <w:r>
        <w:rPr>
          <w:color w:val="333E47"/>
        </w:rPr>
        <w:t>the</w:t>
      </w:r>
      <w:r>
        <w:rPr>
          <w:color w:val="333E47"/>
          <w:spacing w:val="-3"/>
        </w:rPr>
        <w:t xml:space="preserve"> </w:t>
      </w:r>
      <w:r>
        <w:rPr>
          <w:color w:val="333E47"/>
        </w:rPr>
        <w:t>population</w:t>
      </w:r>
      <w:r>
        <w:rPr>
          <w:color w:val="333E47"/>
          <w:spacing w:val="-1"/>
        </w:rPr>
        <w:t xml:space="preserve"> </w:t>
      </w:r>
      <w:r>
        <w:rPr>
          <w:color w:val="333E47"/>
        </w:rPr>
        <w:t>had</w:t>
      </w:r>
      <w:r>
        <w:rPr>
          <w:color w:val="333E47"/>
          <w:spacing w:val="-1"/>
        </w:rPr>
        <w:t xml:space="preserve"> </w:t>
      </w:r>
      <w:r>
        <w:rPr>
          <w:color w:val="333E47"/>
        </w:rPr>
        <w:t>a</w:t>
      </w:r>
      <w:r>
        <w:rPr>
          <w:color w:val="333E47"/>
          <w:spacing w:val="-3"/>
        </w:rPr>
        <w:t xml:space="preserve"> </w:t>
      </w:r>
      <w:r>
        <w:rPr>
          <w:color w:val="333E47"/>
        </w:rPr>
        <w:t>standard age structure, as age has a strong influence on cancer risk. The World Standard Population is used to calculate the incidence rate per 100,000 person-years (IARC 2024a)</w:t>
      </w:r>
    </w:p>
  </w:footnote>
  <w:footnote w:id="26">
    <w:p w14:paraId="1DF5FCD9" w14:textId="50EC26F7" w:rsidR="00A64531" w:rsidRDefault="00A64531">
      <w:pPr>
        <w:pStyle w:val="FootnoteText"/>
      </w:pPr>
      <w:r>
        <w:rPr>
          <w:rStyle w:val="FootnoteReference"/>
        </w:rPr>
        <w:footnoteRef/>
      </w:r>
      <w:r>
        <w:t xml:space="preserve"> </w:t>
      </w:r>
      <w:hyperlink r:id="rId13" w:history="1">
        <w:r w:rsidRPr="00B26FB5">
          <w:rPr>
            <w:rStyle w:val="Hyperlink"/>
          </w:rPr>
          <w:t>www.tga.gov.au/how-we-regulate/fees-and-payments/summary-fees-and-charges/summary-fees-and-charges-applications-submitted-tga</w:t>
        </w:r>
      </w:hyperlink>
    </w:p>
  </w:footnote>
  <w:footnote w:id="27">
    <w:p w14:paraId="2D3866BE" w14:textId="77777777" w:rsidR="00732163" w:rsidRDefault="00732163" w:rsidP="00732163">
      <w:pPr>
        <w:pStyle w:val="FootnoteText"/>
      </w:pPr>
      <w:r>
        <w:rPr>
          <w:rStyle w:val="FootnoteReference"/>
        </w:rPr>
        <w:footnoteRef/>
      </w:r>
      <w:r>
        <w:t xml:space="preserve"> </w:t>
      </w:r>
      <w:hyperlink r:id="rId14" w:history="1">
        <w:r w:rsidRPr="005C03AE">
          <w:rPr>
            <w:rStyle w:val="Hyperlink"/>
          </w:rPr>
          <w:t>https://www.statista.com/outlook/cmo/beauty-personal-care/sun-protection/australia</w:t>
        </w:r>
      </w:hyperlink>
    </w:p>
  </w:footnote>
  <w:footnote w:id="28">
    <w:p w14:paraId="6A019A4E" w14:textId="3D0158E7" w:rsidR="00E45EF2" w:rsidRDefault="00E45EF2">
      <w:pPr>
        <w:pStyle w:val="FootnoteText"/>
      </w:pPr>
      <w:r>
        <w:rPr>
          <w:rStyle w:val="FootnoteReference"/>
        </w:rPr>
        <w:footnoteRef/>
      </w:r>
      <w:r>
        <w:t xml:space="preserve"> IBISWorld Sunscreen and Other Skincare Product Manufacturing in Australia, IBISWorld Pty Ltd December 2023</w:t>
      </w:r>
    </w:p>
  </w:footnote>
  <w:footnote w:id="29">
    <w:p w14:paraId="5F3CF2B1" w14:textId="2F5FC34B" w:rsidR="00E45EF2" w:rsidRDefault="00E45EF2">
      <w:pPr>
        <w:pStyle w:val="FootnoteText"/>
      </w:pPr>
      <w:r>
        <w:rPr>
          <w:rStyle w:val="FootnoteReference"/>
        </w:rPr>
        <w:footnoteRef/>
      </w:r>
      <w:r>
        <w:t xml:space="preserve"> IBISWorld Sunscreen and Other Skincare Product Manufacturing in Australia, IBISWorld Pty Ltd December 2023</w:t>
      </w:r>
    </w:p>
  </w:footnote>
  <w:footnote w:id="30">
    <w:p w14:paraId="7623E0BB" w14:textId="0E5AA26A" w:rsidR="00E45EF2" w:rsidRDefault="00E45EF2">
      <w:pPr>
        <w:pStyle w:val="FootnoteText"/>
      </w:pPr>
      <w:r>
        <w:rPr>
          <w:rStyle w:val="FootnoteReference"/>
        </w:rPr>
        <w:footnoteRef/>
      </w:r>
      <w:r>
        <w:t xml:space="preserve"> IBISWorld Sunscreen and Other Skincare Product Manufacturing in Australia, IBISWorld Pty Ltd December 2023</w:t>
      </w:r>
    </w:p>
  </w:footnote>
  <w:footnote w:id="31">
    <w:p w14:paraId="0C0AAA19" w14:textId="24F05F78" w:rsidR="00E45EF2" w:rsidRDefault="00E45EF2">
      <w:pPr>
        <w:pStyle w:val="FootnoteText"/>
      </w:pPr>
      <w:r>
        <w:rPr>
          <w:rStyle w:val="FootnoteReference"/>
        </w:rPr>
        <w:footnoteRef/>
      </w:r>
      <w:r>
        <w:t xml:space="preserve"> IBISWorld Sunscreen and Other Skincare Product Manufacturing in Australia, IBISWorld Pty Ltd December 2023</w:t>
      </w:r>
    </w:p>
  </w:footnote>
  <w:footnote w:id="32">
    <w:p w14:paraId="4C820EF9" w14:textId="77777777" w:rsidR="00562C8B" w:rsidRDefault="00562C8B" w:rsidP="00562C8B">
      <w:pPr>
        <w:pStyle w:val="FootnoteText"/>
      </w:pPr>
      <w:r>
        <w:rPr>
          <w:rStyle w:val="FootnoteReference"/>
        </w:rPr>
        <w:footnoteRef/>
      </w:r>
      <w:r>
        <w:t xml:space="preserve"> </w:t>
      </w:r>
      <w:r w:rsidRPr="00450047">
        <w:t>International Agency for Research on Cancer – IARC (1992). IARC Monographs on the Evaluation of Carcinogenic Risks to Humans. [online] Available at: https://www.ncbi.nlm.nih.gov/books/NBK401588/. [Accessed on 20 June 2024].</w:t>
      </w:r>
    </w:p>
  </w:footnote>
  <w:footnote w:id="33">
    <w:p w14:paraId="5EF91EAE" w14:textId="515257A9" w:rsidR="0018081C" w:rsidRDefault="0018081C">
      <w:pPr>
        <w:pStyle w:val="FootnoteText"/>
      </w:pPr>
      <w:r>
        <w:rPr>
          <w:rStyle w:val="FootnoteReference"/>
        </w:rPr>
        <w:footnoteRef/>
      </w:r>
      <w:r>
        <w:t xml:space="preserve"> </w:t>
      </w:r>
      <w:hyperlink r:id="rId15" w:history="1">
        <w:r w:rsidRPr="006F693E">
          <w:rPr>
            <w:rStyle w:val="Hyperlink"/>
          </w:rPr>
          <w:t>https://consultations.tga.gov.au/medicines-regulation-division/low-neg-risk-2023-2024/user_uploads/cmes---low-negligible-risk-annual-consultation---2023-2024---final-decisions-document.pdf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978D7" w14:textId="77777777" w:rsidR="00177D01" w:rsidRDefault="00177D01">
    <w:pPr>
      <w:pStyle w:val="Header"/>
    </w:pPr>
  </w:p>
  <w:p w14:paraId="02A800C4" w14:textId="77777777" w:rsidR="00DC6883" w:rsidRDefault="00DC6883"/>
  <w:p w14:paraId="424A88D4" w14:textId="77777777" w:rsidR="00DC6883" w:rsidRDefault="00DC6883"/>
  <w:p w14:paraId="34FD4954" w14:textId="77777777" w:rsidR="008570BE" w:rsidRDefault="008570BE"/>
  <w:p w14:paraId="2AB25329" w14:textId="77777777" w:rsidR="000013F6" w:rsidRDefault="000013F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8FFAB" w14:textId="0735141E" w:rsidR="00DC6883" w:rsidRDefault="00DD3815" w:rsidP="00ED4CF8">
    <w:pPr>
      <w:pStyle w:val="Header"/>
      <w:tabs>
        <w:tab w:val="left" w:pos="8115"/>
      </w:tabs>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CC858" w14:textId="7E897207" w:rsidR="00537B47" w:rsidRDefault="00B42B5A" w:rsidP="005F6958">
    <w:r>
      <w:rPr>
        <w:noProof/>
        <w:lang w:eastAsia="en-AU"/>
      </w:rPr>
      <w:drawing>
        <wp:anchor distT="0" distB="0" distL="114300" distR="114300" simplePos="0" relativeHeight="251657215" behindDoc="1" locked="0" layoutInCell="1" allowOverlap="1" wp14:anchorId="36F74C2C" wp14:editId="241C3120">
          <wp:simplePos x="0" y="0"/>
          <wp:positionH relativeFrom="column">
            <wp:posOffset>-920750</wp:posOffset>
          </wp:positionH>
          <wp:positionV relativeFrom="paragraph">
            <wp:posOffset>5185410</wp:posOffset>
          </wp:positionV>
          <wp:extent cx="7566660" cy="5044440"/>
          <wp:effectExtent l="0" t="0" r="0" b="3810"/>
          <wp:wrapNone/>
          <wp:docPr id="1185315934" name="Picture 11853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7566660" cy="504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958">
      <w:rPr>
        <w:noProof/>
        <w:lang w:eastAsia="en-AU"/>
      </w:rPr>
      <w:drawing>
        <wp:anchor distT="0" distB="0" distL="114300" distR="114300" simplePos="0" relativeHeight="251659264" behindDoc="1" locked="0" layoutInCell="1" allowOverlap="1" wp14:anchorId="2C2427B7" wp14:editId="02145AC5">
          <wp:simplePos x="0" y="0"/>
          <wp:positionH relativeFrom="column">
            <wp:posOffset>-228600</wp:posOffset>
          </wp:positionH>
          <wp:positionV relativeFrom="paragraph">
            <wp:posOffset>72390</wp:posOffset>
          </wp:positionV>
          <wp:extent cx="2245311" cy="521970"/>
          <wp:effectExtent l="0" t="0" r="3175" b="0"/>
          <wp:wrapNone/>
          <wp:docPr id="1080749" name="Picture 108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sidR="005F6958">
      <w:rPr>
        <w:noProof/>
        <w:lang w:eastAsia="en-AU"/>
      </w:rPr>
      <w:drawing>
        <wp:anchor distT="0" distB="0" distL="114300" distR="114300" simplePos="0" relativeHeight="251658240" behindDoc="1" locked="0" layoutInCell="1" allowOverlap="1" wp14:anchorId="61EAEF63" wp14:editId="0CEE8F2C">
          <wp:simplePos x="0" y="0"/>
          <wp:positionH relativeFrom="page">
            <wp:align>right</wp:align>
          </wp:positionH>
          <wp:positionV relativeFrom="paragraph">
            <wp:posOffset>3122930</wp:posOffset>
          </wp:positionV>
          <wp:extent cx="7553325" cy="4260356"/>
          <wp:effectExtent l="0" t="0" r="0" b="6985"/>
          <wp:wrapNone/>
          <wp:docPr id="848671279" name="Picture 848671279"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7EAF2"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010"/>
    <w:multiLevelType w:val="hybridMultilevel"/>
    <w:tmpl w:val="C0842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D08E0"/>
    <w:multiLevelType w:val="hybridMultilevel"/>
    <w:tmpl w:val="7D1E4CCA"/>
    <w:lvl w:ilvl="0" w:tplc="5A4A5536">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5F4BAC"/>
    <w:multiLevelType w:val="hybridMultilevel"/>
    <w:tmpl w:val="7A0A353A"/>
    <w:lvl w:ilvl="0" w:tplc="52784D7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68E09B6">
      <w:numFmt w:val="bullet"/>
      <w:lvlText w:val="•"/>
      <w:lvlJc w:val="left"/>
      <w:pPr>
        <w:ind w:left="1644" w:hanging="360"/>
      </w:pPr>
      <w:rPr>
        <w:rFonts w:hint="default"/>
        <w:lang w:val="en-US" w:eastAsia="en-US" w:bidi="ar-SA"/>
      </w:rPr>
    </w:lvl>
    <w:lvl w:ilvl="2" w:tplc="D70A1C0C">
      <w:numFmt w:val="bullet"/>
      <w:lvlText w:val="•"/>
      <w:lvlJc w:val="left"/>
      <w:pPr>
        <w:ind w:left="2468" w:hanging="360"/>
      </w:pPr>
      <w:rPr>
        <w:rFonts w:hint="default"/>
        <w:lang w:val="en-US" w:eastAsia="en-US" w:bidi="ar-SA"/>
      </w:rPr>
    </w:lvl>
    <w:lvl w:ilvl="3" w:tplc="653644AC">
      <w:numFmt w:val="bullet"/>
      <w:lvlText w:val="•"/>
      <w:lvlJc w:val="left"/>
      <w:pPr>
        <w:ind w:left="3292" w:hanging="360"/>
      </w:pPr>
      <w:rPr>
        <w:rFonts w:hint="default"/>
        <w:lang w:val="en-US" w:eastAsia="en-US" w:bidi="ar-SA"/>
      </w:rPr>
    </w:lvl>
    <w:lvl w:ilvl="4" w:tplc="118ED09C">
      <w:numFmt w:val="bullet"/>
      <w:lvlText w:val="•"/>
      <w:lvlJc w:val="left"/>
      <w:pPr>
        <w:ind w:left="4116" w:hanging="360"/>
      </w:pPr>
      <w:rPr>
        <w:rFonts w:hint="default"/>
        <w:lang w:val="en-US" w:eastAsia="en-US" w:bidi="ar-SA"/>
      </w:rPr>
    </w:lvl>
    <w:lvl w:ilvl="5" w:tplc="967488DE">
      <w:numFmt w:val="bullet"/>
      <w:lvlText w:val="•"/>
      <w:lvlJc w:val="left"/>
      <w:pPr>
        <w:ind w:left="4941" w:hanging="360"/>
      </w:pPr>
      <w:rPr>
        <w:rFonts w:hint="default"/>
        <w:lang w:val="en-US" w:eastAsia="en-US" w:bidi="ar-SA"/>
      </w:rPr>
    </w:lvl>
    <w:lvl w:ilvl="6" w:tplc="508C649A">
      <w:numFmt w:val="bullet"/>
      <w:lvlText w:val="•"/>
      <w:lvlJc w:val="left"/>
      <w:pPr>
        <w:ind w:left="5765" w:hanging="360"/>
      </w:pPr>
      <w:rPr>
        <w:rFonts w:hint="default"/>
        <w:lang w:val="en-US" w:eastAsia="en-US" w:bidi="ar-SA"/>
      </w:rPr>
    </w:lvl>
    <w:lvl w:ilvl="7" w:tplc="E4D8ADF6">
      <w:numFmt w:val="bullet"/>
      <w:lvlText w:val="•"/>
      <w:lvlJc w:val="left"/>
      <w:pPr>
        <w:ind w:left="6589" w:hanging="360"/>
      </w:pPr>
      <w:rPr>
        <w:rFonts w:hint="default"/>
        <w:lang w:val="en-US" w:eastAsia="en-US" w:bidi="ar-SA"/>
      </w:rPr>
    </w:lvl>
    <w:lvl w:ilvl="8" w:tplc="3F7E4DC0">
      <w:numFmt w:val="bullet"/>
      <w:lvlText w:val="•"/>
      <w:lvlJc w:val="left"/>
      <w:pPr>
        <w:ind w:left="7413" w:hanging="360"/>
      </w:pPr>
      <w:rPr>
        <w:rFonts w:hint="default"/>
        <w:lang w:val="en-US" w:eastAsia="en-US" w:bidi="ar-SA"/>
      </w:rPr>
    </w:lvl>
  </w:abstractNum>
  <w:abstractNum w:abstractNumId="3" w15:restartNumberingAfterBreak="0">
    <w:nsid w:val="024826E8"/>
    <w:multiLevelType w:val="multilevel"/>
    <w:tmpl w:val="8CBC7E4C"/>
    <w:lvl w:ilvl="0">
      <w:start w:val="1"/>
      <w:numFmt w:val="decimal"/>
      <w:lvlText w:val="%1."/>
      <w:lvlJc w:val="left"/>
      <w:pPr>
        <w:ind w:left="360" w:hanging="360"/>
      </w:pPr>
      <w:rPr>
        <w:rFonts w:ascii="Arial" w:hAnsi="Arial" w:hint="default"/>
      </w:rPr>
    </w:lvl>
    <w:lvl w:ilvl="1">
      <w:start w:val="1"/>
      <w:numFmt w:val="decimal"/>
      <w:lvlText w:val="%2."/>
      <w:lvlJc w:val="left"/>
      <w:pPr>
        <w:ind w:left="785" w:hanging="360"/>
      </w:p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347C08"/>
    <w:multiLevelType w:val="hybridMultilevel"/>
    <w:tmpl w:val="3E86F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193DB7"/>
    <w:multiLevelType w:val="hybridMultilevel"/>
    <w:tmpl w:val="C4A0A5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95A013E"/>
    <w:multiLevelType w:val="multilevel"/>
    <w:tmpl w:val="8CBC7E4C"/>
    <w:lvl w:ilvl="0">
      <w:start w:val="1"/>
      <w:numFmt w:val="decimal"/>
      <w:lvlText w:val="%1."/>
      <w:lvlJc w:val="left"/>
      <w:pPr>
        <w:ind w:left="360" w:hanging="360"/>
      </w:pPr>
      <w:rPr>
        <w:rFonts w:ascii="Arial" w:hAnsi="Arial" w:hint="default"/>
      </w:rPr>
    </w:lvl>
    <w:lvl w:ilvl="1">
      <w:start w:val="1"/>
      <w:numFmt w:val="decimal"/>
      <w:lvlText w:val="%2."/>
      <w:lvlJc w:val="left"/>
      <w:pPr>
        <w:ind w:left="785" w:hanging="360"/>
      </w:p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053F11"/>
    <w:multiLevelType w:val="multilevel"/>
    <w:tmpl w:val="61F68D70"/>
    <w:styleLink w:val="NumberBullet"/>
    <w:lvl w:ilvl="0">
      <w:start w:val="1"/>
      <w:numFmt w:val="decimal"/>
      <w:pStyle w:val="Numberbullet0"/>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34156A8"/>
    <w:multiLevelType w:val="hybridMultilevel"/>
    <w:tmpl w:val="D0469FA4"/>
    <w:lvl w:ilvl="0" w:tplc="D3A60C8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D27443"/>
    <w:multiLevelType w:val="multilevel"/>
    <w:tmpl w:val="E7D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F187C"/>
    <w:multiLevelType w:val="hybridMultilevel"/>
    <w:tmpl w:val="20409048"/>
    <w:lvl w:ilvl="0" w:tplc="669A989C">
      <w:start w:val="4"/>
      <w:numFmt w:val="bullet"/>
      <w:pStyle w:val="ListBullet3"/>
      <w:lvlText w:val="▪"/>
      <w:lvlJc w:val="left"/>
      <w:pPr>
        <w:ind w:left="473" w:hanging="360"/>
      </w:pPr>
      <w:rPr>
        <w:rFonts w:ascii="Arial" w:eastAsia="Cambria" w:hAnsi="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168F13E9"/>
    <w:multiLevelType w:val="multilevel"/>
    <w:tmpl w:val="42A4091E"/>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421DD2"/>
    <w:multiLevelType w:val="hybridMultilevel"/>
    <w:tmpl w:val="6BC4A47C"/>
    <w:lvl w:ilvl="0" w:tplc="F9327C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B4E39"/>
    <w:multiLevelType w:val="multilevel"/>
    <w:tmpl w:val="8CBC7E4C"/>
    <w:lvl w:ilvl="0">
      <w:start w:val="1"/>
      <w:numFmt w:val="decimal"/>
      <w:lvlText w:val="%1."/>
      <w:lvlJc w:val="left"/>
      <w:pPr>
        <w:ind w:left="360" w:hanging="360"/>
      </w:pPr>
      <w:rPr>
        <w:rFonts w:ascii="Arial" w:hAnsi="Arial" w:hint="default"/>
      </w:rPr>
    </w:lvl>
    <w:lvl w:ilvl="1">
      <w:start w:val="1"/>
      <w:numFmt w:val="decimal"/>
      <w:lvlText w:val="%2."/>
      <w:lvlJc w:val="left"/>
      <w:pPr>
        <w:ind w:left="785" w:hanging="360"/>
      </w:p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6" w15:restartNumberingAfterBreak="0">
    <w:nsid w:val="22D453DD"/>
    <w:multiLevelType w:val="hybridMultilevel"/>
    <w:tmpl w:val="3AECD6E8"/>
    <w:lvl w:ilvl="0" w:tplc="05CE2A90">
      <w:start w:val="1"/>
      <w:numFmt w:val="bullet"/>
      <w:lvlText w:val=""/>
      <w:lvlJc w:val="left"/>
      <w:pPr>
        <w:ind w:left="720" w:hanging="360"/>
      </w:pPr>
      <w:rPr>
        <w:rFonts w:ascii="Symbol" w:hAnsi="Symbol"/>
      </w:rPr>
    </w:lvl>
    <w:lvl w:ilvl="1" w:tplc="5F583DCC">
      <w:start w:val="1"/>
      <w:numFmt w:val="bullet"/>
      <w:lvlText w:val=""/>
      <w:lvlJc w:val="left"/>
      <w:pPr>
        <w:ind w:left="720" w:hanging="360"/>
      </w:pPr>
      <w:rPr>
        <w:rFonts w:ascii="Symbol" w:hAnsi="Symbol"/>
      </w:rPr>
    </w:lvl>
    <w:lvl w:ilvl="2" w:tplc="1626F822">
      <w:start w:val="1"/>
      <w:numFmt w:val="bullet"/>
      <w:lvlText w:val=""/>
      <w:lvlJc w:val="left"/>
      <w:pPr>
        <w:ind w:left="720" w:hanging="360"/>
      </w:pPr>
      <w:rPr>
        <w:rFonts w:ascii="Symbol" w:hAnsi="Symbol"/>
      </w:rPr>
    </w:lvl>
    <w:lvl w:ilvl="3" w:tplc="E8A0F016">
      <w:start w:val="1"/>
      <w:numFmt w:val="bullet"/>
      <w:lvlText w:val=""/>
      <w:lvlJc w:val="left"/>
      <w:pPr>
        <w:ind w:left="720" w:hanging="360"/>
      </w:pPr>
      <w:rPr>
        <w:rFonts w:ascii="Symbol" w:hAnsi="Symbol"/>
      </w:rPr>
    </w:lvl>
    <w:lvl w:ilvl="4" w:tplc="0900AFE0">
      <w:start w:val="1"/>
      <w:numFmt w:val="bullet"/>
      <w:lvlText w:val=""/>
      <w:lvlJc w:val="left"/>
      <w:pPr>
        <w:ind w:left="720" w:hanging="360"/>
      </w:pPr>
      <w:rPr>
        <w:rFonts w:ascii="Symbol" w:hAnsi="Symbol"/>
      </w:rPr>
    </w:lvl>
    <w:lvl w:ilvl="5" w:tplc="B6D6E73C">
      <w:start w:val="1"/>
      <w:numFmt w:val="bullet"/>
      <w:lvlText w:val=""/>
      <w:lvlJc w:val="left"/>
      <w:pPr>
        <w:ind w:left="720" w:hanging="360"/>
      </w:pPr>
      <w:rPr>
        <w:rFonts w:ascii="Symbol" w:hAnsi="Symbol"/>
      </w:rPr>
    </w:lvl>
    <w:lvl w:ilvl="6" w:tplc="AD9E2D1C">
      <w:start w:val="1"/>
      <w:numFmt w:val="bullet"/>
      <w:lvlText w:val=""/>
      <w:lvlJc w:val="left"/>
      <w:pPr>
        <w:ind w:left="720" w:hanging="360"/>
      </w:pPr>
      <w:rPr>
        <w:rFonts w:ascii="Symbol" w:hAnsi="Symbol"/>
      </w:rPr>
    </w:lvl>
    <w:lvl w:ilvl="7" w:tplc="D25CA808">
      <w:start w:val="1"/>
      <w:numFmt w:val="bullet"/>
      <w:lvlText w:val=""/>
      <w:lvlJc w:val="left"/>
      <w:pPr>
        <w:ind w:left="720" w:hanging="360"/>
      </w:pPr>
      <w:rPr>
        <w:rFonts w:ascii="Symbol" w:hAnsi="Symbol"/>
      </w:rPr>
    </w:lvl>
    <w:lvl w:ilvl="8" w:tplc="B2FCF160">
      <w:start w:val="1"/>
      <w:numFmt w:val="bullet"/>
      <w:lvlText w:val=""/>
      <w:lvlJc w:val="left"/>
      <w:pPr>
        <w:ind w:left="720" w:hanging="360"/>
      </w:pPr>
      <w:rPr>
        <w:rFonts w:ascii="Symbol" w:hAnsi="Symbol"/>
      </w:rPr>
    </w:lvl>
  </w:abstractNum>
  <w:abstractNum w:abstractNumId="17" w15:restartNumberingAfterBreak="0">
    <w:nsid w:val="272C7590"/>
    <w:multiLevelType w:val="hybridMultilevel"/>
    <w:tmpl w:val="225099D2"/>
    <w:lvl w:ilvl="0" w:tplc="A094EF9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CC6174"/>
    <w:multiLevelType w:val="hybridMultilevel"/>
    <w:tmpl w:val="F4EC89FA"/>
    <w:lvl w:ilvl="0" w:tplc="D8A4C324">
      <w:numFmt w:val="bullet"/>
      <w:lvlText w:val=""/>
      <w:lvlJc w:val="left"/>
      <w:pPr>
        <w:ind w:left="823" w:hanging="361"/>
      </w:pPr>
      <w:rPr>
        <w:rFonts w:ascii="Symbol" w:eastAsia="Symbol" w:hAnsi="Symbol" w:cs="Symbol" w:hint="default"/>
        <w:b w:val="0"/>
        <w:bCs w:val="0"/>
        <w:i w:val="0"/>
        <w:iCs w:val="0"/>
        <w:spacing w:val="0"/>
        <w:w w:val="100"/>
        <w:sz w:val="21"/>
        <w:szCs w:val="21"/>
        <w:lang w:val="en-US" w:eastAsia="en-US" w:bidi="ar-SA"/>
      </w:rPr>
    </w:lvl>
    <w:lvl w:ilvl="1" w:tplc="D6FC2AE6">
      <w:numFmt w:val="bullet"/>
      <w:lvlText w:val="•"/>
      <w:lvlJc w:val="left"/>
      <w:pPr>
        <w:ind w:left="1643" w:hanging="361"/>
      </w:pPr>
      <w:rPr>
        <w:rFonts w:hint="default"/>
        <w:lang w:val="en-US" w:eastAsia="en-US" w:bidi="ar-SA"/>
      </w:rPr>
    </w:lvl>
    <w:lvl w:ilvl="2" w:tplc="3C923978">
      <w:numFmt w:val="bullet"/>
      <w:lvlText w:val="•"/>
      <w:lvlJc w:val="left"/>
      <w:pPr>
        <w:ind w:left="2466" w:hanging="361"/>
      </w:pPr>
      <w:rPr>
        <w:rFonts w:hint="default"/>
        <w:lang w:val="en-US" w:eastAsia="en-US" w:bidi="ar-SA"/>
      </w:rPr>
    </w:lvl>
    <w:lvl w:ilvl="3" w:tplc="F9A269E6">
      <w:numFmt w:val="bullet"/>
      <w:lvlText w:val="•"/>
      <w:lvlJc w:val="left"/>
      <w:pPr>
        <w:ind w:left="3289" w:hanging="361"/>
      </w:pPr>
      <w:rPr>
        <w:rFonts w:hint="default"/>
        <w:lang w:val="en-US" w:eastAsia="en-US" w:bidi="ar-SA"/>
      </w:rPr>
    </w:lvl>
    <w:lvl w:ilvl="4" w:tplc="14042B72">
      <w:numFmt w:val="bullet"/>
      <w:lvlText w:val="•"/>
      <w:lvlJc w:val="left"/>
      <w:pPr>
        <w:ind w:left="4112" w:hanging="361"/>
      </w:pPr>
      <w:rPr>
        <w:rFonts w:hint="default"/>
        <w:lang w:val="en-US" w:eastAsia="en-US" w:bidi="ar-SA"/>
      </w:rPr>
    </w:lvl>
    <w:lvl w:ilvl="5" w:tplc="2F72B266">
      <w:numFmt w:val="bullet"/>
      <w:lvlText w:val="•"/>
      <w:lvlJc w:val="left"/>
      <w:pPr>
        <w:ind w:left="4935" w:hanging="361"/>
      </w:pPr>
      <w:rPr>
        <w:rFonts w:hint="default"/>
        <w:lang w:val="en-US" w:eastAsia="en-US" w:bidi="ar-SA"/>
      </w:rPr>
    </w:lvl>
    <w:lvl w:ilvl="6" w:tplc="9DB22D52">
      <w:numFmt w:val="bullet"/>
      <w:lvlText w:val="•"/>
      <w:lvlJc w:val="left"/>
      <w:pPr>
        <w:ind w:left="5758" w:hanging="361"/>
      </w:pPr>
      <w:rPr>
        <w:rFonts w:hint="default"/>
        <w:lang w:val="en-US" w:eastAsia="en-US" w:bidi="ar-SA"/>
      </w:rPr>
    </w:lvl>
    <w:lvl w:ilvl="7" w:tplc="FCA2843C">
      <w:numFmt w:val="bullet"/>
      <w:lvlText w:val="•"/>
      <w:lvlJc w:val="left"/>
      <w:pPr>
        <w:ind w:left="6581" w:hanging="361"/>
      </w:pPr>
      <w:rPr>
        <w:rFonts w:hint="default"/>
        <w:lang w:val="en-US" w:eastAsia="en-US" w:bidi="ar-SA"/>
      </w:rPr>
    </w:lvl>
    <w:lvl w:ilvl="8" w:tplc="80F6CF2A">
      <w:numFmt w:val="bullet"/>
      <w:lvlText w:val="•"/>
      <w:lvlJc w:val="left"/>
      <w:pPr>
        <w:ind w:left="7404" w:hanging="361"/>
      </w:pPr>
      <w:rPr>
        <w:rFonts w:hint="default"/>
        <w:lang w:val="en-US" w:eastAsia="en-US" w:bidi="ar-SA"/>
      </w:rPr>
    </w:lvl>
  </w:abstractNum>
  <w:abstractNum w:abstractNumId="19" w15:restartNumberingAfterBreak="0">
    <w:nsid w:val="2F5A4F91"/>
    <w:multiLevelType w:val="hybridMultilevel"/>
    <w:tmpl w:val="543A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B661D6"/>
    <w:multiLevelType w:val="hybridMultilevel"/>
    <w:tmpl w:val="2B32A510"/>
    <w:lvl w:ilvl="0" w:tplc="FC2E0204">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1B88B96A">
      <w:numFmt w:val="bullet"/>
      <w:lvlText w:val="•"/>
      <w:lvlJc w:val="left"/>
      <w:pPr>
        <w:ind w:left="1959" w:hanging="360"/>
      </w:pPr>
      <w:rPr>
        <w:rFonts w:hint="default"/>
        <w:lang w:val="en-US" w:eastAsia="en-US" w:bidi="ar-SA"/>
      </w:rPr>
    </w:lvl>
    <w:lvl w:ilvl="2" w:tplc="9126D4AA">
      <w:numFmt w:val="bullet"/>
      <w:lvlText w:val="•"/>
      <w:lvlJc w:val="left"/>
      <w:pPr>
        <w:ind w:left="2834" w:hanging="360"/>
      </w:pPr>
      <w:rPr>
        <w:rFonts w:hint="default"/>
        <w:lang w:val="en-US" w:eastAsia="en-US" w:bidi="ar-SA"/>
      </w:rPr>
    </w:lvl>
    <w:lvl w:ilvl="3" w:tplc="2C9CD00A">
      <w:numFmt w:val="bullet"/>
      <w:lvlText w:val="•"/>
      <w:lvlJc w:val="left"/>
      <w:pPr>
        <w:ind w:left="3708" w:hanging="360"/>
      </w:pPr>
      <w:rPr>
        <w:rFonts w:hint="default"/>
        <w:lang w:val="en-US" w:eastAsia="en-US" w:bidi="ar-SA"/>
      </w:rPr>
    </w:lvl>
    <w:lvl w:ilvl="4" w:tplc="C278FC5C">
      <w:numFmt w:val="bullet"/>
      <w:lvlText w:val="•"/>
      <w:lvlJc w:val="left"/>
      <w:pPr>
        <w:ind w:left="4583" w:hanging="360"/>
      </w:pPr>
      <w:rPr>
        <w:rFonts w:hint="default"/>
        <w:lang w:val="en-US" w:eastAsia="en-US" w:bidi="ar-SA"/>
      </w:rPr>
    </w:lvl>
    <w:lvl w:ilvl="5" w:tplc="0C902AE4">
      <w:numFmt w:val="bullet"/>
      <w:lvlText w:val="•"/>
      <w:lvlJc w:val="left"/>
      <w:pPr>
        <w:ind w:left="5458" w:hanging="360"/>
      </w:pPr>
      <w:rPr>
        <w:rFonts w:hint="default"/>
        <w:lang w:val="en-US" w:eastAsia="en-US" w:bidi="ar-SA"/>
      </w:rPr>
    </w:lvl>
    <w:lvl w:ilvl="6" w:tplc="F9085EEE">
      <w:numFmt w:val="bullet"/>
      <w:lvlText w:val="•"/>
      <w:lvlJc w:val="left"/>
      <w:pPr>
        <w:ind w:left="6332" w:hanging="360"/>
      </w:pPr>
      <w:rPr>
        <w:rFonts w:hint="default"/>
        <w:lang w:val="en-US" w:eastAsia="en-US" w:bidi="ar-SA"/>
      </w:rPr>
    </w:lvl>
    <w:lvl w:ilvl="7" w:tplc="5E44DAB4">
      <w:numFmt w:val="bullet"/>
      <w:lvlText w:val="•"/>
      <w:lvlJc w:val="left"/>
      <w:pPr>
        <w:ind w:left="7207" w:hanging="360"/>
      </w:pPr>
      <w:rPr>
        <w:rFonts w:hint="default"/>
        <w:lang w:val="en-US" w:eastAsia="en-US" w:bidi="ar-SA"/>
      </w:rPr>
    </w:lvl>
    <w:lvl w:ilvl="8" w:tplc="B4E2AEDE">
      <w:numFmt w:val="bullet"/>
      <w:lvlText w:val="•"/>
      <w:lvlJc w:val="left"/>
      <w:pPr>
        <w:ind w:left="8082" w:hanging="360"/>
      </w:pPr>
      <w:rPr>
        <w:rFonts w:hint="default"/>
        <w:lang w:val="en-US" w:eastAsia="en-US" w:bidi="ar-SA"/>
      </w:rPr>
    </w:lvl>
  </w:abstractNum>
  <w:abstractNum w:abstractNumId="21" w15:restartNumberingAfterBreak="0">
    <w:nsid w:val="326C03F0"/>
    <w:multiLevelType w:val="multilevel"/>
    <w:tmpl w:val="75DC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982FD5"/>
    <w:multiLevelType w:val="multilevel"/>
    <w:tmpl w:val="61F68D70"/>
    <w:numStyleLink w:val="NumberBullet"/>
  </w:abstractNum>
  <w:abstractNum w:abstractNumId="23" w15:restartNumberingAfterBreak="0">
    <w:nsid w:val="42B55127"/>
    <w:multiLevelType w:val="hybridMultilevel"/>
    <w:tmpl w:val="D2EAF082"/>
    <w:lvl w:ilvl="0" w:tplc="53EABD3A">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47CF1C8E"/>
    <w:multiLevelType w:val="multilevel"/>
    <w:tmpl w:val="8CBC7E4C"/>
    <w:lvl w:ilvl="0">
      <w:start w:val="1"/>
      <w:numFmt w:val="decimal"/>
      <w:lvlText w:val="%1."/>
      <w:lvlJc w:val="left"/>
      <w:pPr>
        <w:ind w:left="360" w:hanging="360"/>
      </w:pPr>
      <w:rPr>
        <w:rFonts w:ascii="Arial" w:hAnsi="Arial" w:hint="default"/>
      </w:rPr>
    </w:lvl>
    <w:lvl w:ilvl="1">
      <w:start w:val="1"/>
      <w:numFmt w:val="decimal"/>
      <w:lvlText w:val="%2."/>
      <w:lvlJc w:val="left"/>
      <w:pPr>
        <w:ind w:left="785" w:hanging="360"/>
      </w:p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0A0BA8"/>
    <w:multiLevelType w:val="hybridMultilevel"/>
    <w:tmpl w:val="D56E9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DD2B72"/>
    <w:multiLevelType w:val="hybridMultilevel"/>
    <w:tmpl w:val="C332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8A330E"/>
    <w:multiLevelType w:val="hybridMultilevel"/>
    <w:tmpl w:val="C9DA4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1D13B9"/>
    <w:multiLevelType w:val="hybridMultilevel"/>
    <w:tmpl w:val="A438A254"/>
    <w:lvl w:ilvl="0" w:tplc="0166163E">
      <w:start w:val="1"/>
      <w:numFmt w:val="lowerLetter"/>
      <w:lvlText w:val="(%1)"/>
      <w:lvlJc w:val="left"/>
      <w:pPr>
        <w:ind w:left="496" w:hanging="293"/>
      </w:pPr>
      <w:rPr>
        <w:rFonts w:ascii="Arial" w:eastAsia="Arial" w:hAnsi="Arial" w:cs="Arial" w:hint="default"/>
        <w:b w:val="0"/>
        <w:bCs w:val="0"/>
        <w:i w:val="0"/>
        <w:iCs w:val="0"/>
        <w:spacing w:val="-1"/>
        <w:w w:val="99"/>
        <w:sz w:val="20"/>
        <w:szCs w:val="20"/>
        <w:lang w:val="en-US" w:eastAsia="en-US" w:bidi="ar-SA"/>
      </w:rPr>
    </w:lvl>
    <w:lvl w:ilvl="1" w:tplc="911432BA">
      <w:numFmt w:val="bullet"/>
      <w:lvlText w:val="•"/>
      <w:lvlJc w:val="left"/>
      <w:pPr>
        <w:ind w:left="1225" w:hanging="293"/>
      </w:pPr>
      <w:rPr>
        <w:rFonts w:hint="default"/>
        <w:lang w:val="en-US" w:eastAsia="en-US" w:bidi="ar-SA"/>
      </w:rPr>
    </w:lvl>
    <w:lvl w:ilvl="2" w:tplc="7CF8D27C">
      <w:numFmt w:val="bullet"/>
      <w:lvlText w:val="•"/>
      <w:lvlJc w:val="left"/>
      <w:pPr>
        <w:ind w:left="1950" w:hanging="293"/>
      </w:pPr>
      <w:rPr>
        <w:rFonts w:hint="default"/>
        <w:lang w:val="en-US" w:eastAsia="en-US" w:bidi="ar-SA"/>
      </w:rPr>
    </w:lvl>
    <w:lvl w:ilvl="3" w:tplc="77267F16">
      <w:numFmt w:val="bullet"/>
      <w:lvlText w:val="•"/>
      <w:lvlJc w:val="left"/>
      <w:pPr>
        <w:ind w:left="2675" w:hanging="293"/>
      </w:pPr>
      <w:rPr>
        <w:rFonts w:hint="default"/>
        <w:lang w:val="en-US" w:eastAsia="en-US" w:bidi="ar-SA"/>
      </w:rPr>
    </w:lvl>
    <w:lvl w:ilvl="4" w:tplc="CDAAA9D8">
      <w:numFmt w:val="bullet"/>
      <w:lvlText w:val="•"/>
      <w:lvlJc w:val="left"/>
      <w:pPr>
        <w:ind w:left="3400" w:hanging="293"/>
      </w:pPr>
      <w:rPr>
        <w:rFonts w:hint="default"/>
        <w:lang w:val="en-US" w:eastAsia="en-US" w:bidi="ar-SA"/>
      </w:rPr>
    </w:lvl>
    <w:lvl w:ilvl="5" w:tplc="58E4A864">
      <w:numFmt w:val="bullet"/>
      <w:lvlText w:val="•"/>
      <w:lvlJc w:val="left"/>
      <w:pPr>
        <w:ind w:left="4126" w:hanging="293"/>
      </w:pPr>
      <w:rPr>
        <w:rFonts w:hint="default"/>
        <w:lang w:val="en-US" w:eastAsia="en-US" w:bidi="ar-SA"/>
      </w:rPr>
    </w:lvl>
    <w:lvl w:ilvl="6" w:tplc="A0926E20">
      <w:numFmt w:val="bullet"/>
      <w:lvlText w:val="•"/>
      <w:lvlJc w:val="left"/>
      <w:pPr>
        <w:ind w:left="4851" w:hanging="293"/>
      </w:pPr>
      <w:rPr>
        <w:rFonts w:hint="default"/>
        <w:lang w:val="en-US" w:eastAsia="en-US" w:bidi="ar-SA"/>
      </w:rPr>
    </w:lvl>
    <w:lvl w:ilvl="7" w:tplc="3806B65C">
      <w:numFmt w:val="bullet"/>
      <w:lvlText w:val="•"/>
      <w:lvlJc w:val="left"/>
      <w:pPr>
        <w:ind w:left="5576" w:hanging="293"/>
      </w:pPr>
      <w:rPr>
        <w:rFonts w:hint="default"/>
        <w:lang w:val="en-US" w:eastAsia="en-US" w:bidi="ar-SA"/>
      </w:rPr>
    </w:lvl>
    <w:lvl w:ilvl="8" w:tplc="6ED45608">
      <w:numFmt w:val="bullet"/>
      <w:lvlText w:val="•"/>
      <w:lvlJc w:val="left"/>
      <w:pPr>
        <w:ind w:left="6301" w:hanging="293"/>
      </w:pPr>
      <w:rPr>
        <w:rFonts w:hint="default"/>
        <w:lang w:val="en-US" w:eastAsia="en-US" w:bidi="ar-SA"/>
      </w:rPr>
    </w:lvl>
  </w:abstractNum>
  <w:abstractNum w:abstractNumId="30" w15:restartNumberingAfterBreak="0">
    <w:nsid w:val="68EE46C6"/>
    <w:multiLevelType w:val="hybridMultilevel"/>
    <w:tmpl w:val="CA62C0C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6BD06BBA"/>
    <w:multiLevelType w:val="multilevel"/>
    <w:tmpl w:val="04D85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EE05403"/>
    <w:multiLevelType w:val="hybridMultilevel"/>
    <w:tmpl w:val="BF104A5A"/>
    <w:lvl w:ilvl="0" w:tplc="B602F248">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BD918F5"/>
    <w:multiLevelType w:val="hybridMultilevel"/>
    <w:tmpl w:val="23E69DF0"/>
    <w:lvl w:ilvl="0" w:tplc="778491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EA33E8"/>
    <w:multiLevelType w:val="hybridMultilevel"/>
    <w:tmpl w:val="2C007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4"/>
  </w:num>
  <w:num w:numId="4">
    <w:abstractNumId w:val="11"/>
  </w:num>
  <w:num w:numId="5">
    <w:abstractNumId w:val="12"/>
    <w:lvlOverride w:ilvl="0">
      <w:lvl w:ilvl="0">
        <w:start w:val="4"/>
        <w:numFmt w:val="bullet"/>
        <w:lvlText w:val="•"/>
        <w:lvlJc w:val="left"/>
        <w:pPr>
          <w:ind w:left="360" w:hanging="360"/>
        </w:pPr>
        <w:rPr>
          <w:rFonts w:ascii="Cambria" w:eastAsia="Cambria" w:hAnsi="Cambria"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6">
    <w:abstractNumId w:val="25"/>
  </w:num>
  <w:num w:numId="7">
    <w:abstractNumId w:val="8"/>
  </w:num>
  <w:num w:numId="8">
    <w:abstractNumId w:val="6"/>
  </w:num>
  <w:num w:numId="9">
    <w:abstractNumId w:val="29"/>
  </w:num>
  <w:num w:numId="10">
    <w:abstractNumId w:val="20"/>
  </w:num>
  <w:num w:numId="11">
    <w:abstractNumId w:val="8"/>
    <w:lvlOverride w:ilvl="0">
      <w:lvl w:ilvl="0">
        <w:start w:val="1"/>
        <w:numFmt w:val="decimal"/>
        <w:pStyle w:val="Numberbullet0"/>
        <w:lvlText w:val="%1."/>
        <w:lvlJc w:val="left"/>
        <w:pPr>
          <w:ind w:left="360" w:hanging="360"/>
        </w:pPr>
        <w:rPr>
          <w:rFonts w:ascii="Arial" w:hAnsi="Arial"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2">
    <w:abstractNumId w:val="8"/>
    <w:lvlOverride w:ilvl="0">
      <w:lvl w:ilvl="0">
        <w:start w:val="1"/>
        <w:numFmt w:val="decimal"/>
        <w:pStyle w:val="Numberbullet0"/>
        <w:lvlText w:val="%1."/>
        <w:lvlJc w:val="left"/>
        <w:pPr>
          <w:ind w:left="360" w:hanging="360"/>
        </w:pPr>
        <w:rPr>
          <w:rFonts w:ascii="Arial" w:hAnsi="Arial" w:hint="default"/>
          <w:b w:val="0"/>
          <w:bCs w:val="0"/>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3">
    <w:abstractNumId w:val="2"/>
  </w:num>
  <w:num w:numId="14">
    <w:abstractNumId w:val="18"/>
  </w:num>
  <w:num w:numId="15">
    <w:abstractNumId w:val="8"/>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8"/>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8"/>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8"/>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6"/>
  </w:num>
  <w:num w:numId="20">
    <w:abstractNumId w:val="8"/>
    <w:lvlOverride w:ilvl="0">
      <w:startOverride w:val="1"/>
      <w:lvl w:ilvl="0">
        <w:start w:val="1"/>
        <w:numFmt w:val="decimal"/>
        <w:pStyle w:val="Numberbullet0"/>
        <w:lvlText w:val="%1."/>
        <w:lvlJc w:val="left"/>
        <w:pPr>
          <w:ind w:left="360" w:hanging="360"/>
        </w:pPr>
        <w:rPr>
          <w:rFonts w:ascii="Arial" w:hAnsi="Arial" w:hint="default"/>
          <w:b w:val="0"/>
          <w:bCs w:val="0"/>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8"/>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2"/>
  </w:num>
  <w:num w:numId="23">
    <w:abstractNumId w:val="3"/>
  </w:num>
  <w:num w:numId="24">
    <w:abstractNumId w:val="7"/>
  </w:num>
  <w:num w:numId="25">
    <w:abstractNumId w:val="15"/>
  </w:num>
  <w:num w:numId="26">
    <w:abstractNumId w:val="24"/>
  </w:num>
  <w:num w:numId="27">
    <w:abstractNumId w:val="13"/>
  </w:num>
  <w:num w:numId="28">
    <w:abstractNumId w:val="31"/>
  </w:num>
  <w:num w:numId="29">
    <w:abstractNumId w:val="23"/>
  </w:num>
  <w:num w:numId="30">
    <w:abstractNumId w:val="21"/>
  </w:num>
  <w:num w:numId="31">
    <w:abstractNumId w:val="10"/>
  </w:num>
  <w:num w:numId="32">
    <w:abstractNumId w:val="32"/>
  </w:num>
  <w:num w:numId="33">
    <w:abstractNumId w:val="1"/>
  </w:num>
  <w:num w:numId="34">
    <w:abstractNumId w:val="28"/>
  </w:num>
  <w:num w:numId="35">
    <w:abstractNumId w:val="17"/>
  </w:num>
  <w:num w:numId="36">
    <w:abstractNumId w:val="34"/>
  </w:num>
  <w:num w:numId="37">
    <w:abstractNumId w:val="5"/>
  </w:num>
  <w:num w:numId="38">
    <w:abstractNumId w:val="17"/>
  </w:num>
  <w:num w:numId="39">
    <w:abstractNumId w:val="33"/>
  </w:num>
  <w:num w:numId="40">
    <w:abstractNumId w:val="9"/>
  </w:num>
  <w:num w:numId="41">
    <w:abstractNumId w:val="27"/>
  </w:num>
  <w:num w:numId="42">
    <w:abstractNumId w:val="19"/>
  </w:num>
  <w:num w:numId="43">
    <w:abstractNumId w:val="30"/>
  </w:num>
  <w:num w:numId="44">
    <w:abstractNumId w:val="14"/>
  </w:num>
  <w:num w:numId="45">
    <w:abstractNumId w:val="12"/>
    <w:lvlOverride w:ilvl="0">
      <w:lvl w:ilvl="0">
        <w:start w:val="4"/>
        <w:numFmt w:val="bullet"/>
        <w:lvlText w:val="•"/>
        <w:lvlJc w:val="left"/>
        <w:pPr>
          <w:ind w:left="360" w:hanging="360"/>
        </w:pPr>
        <w:rPr>
          <w:rFonts w:ascii="Cambria" w:eastAsia="Cambria" w:hAnsi="Cambria"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46">
    <w:abstractNumId w:val="0"/>
  </w:num>
  <w:num w:numId="47">
    <w:abstractNumId w:val="26"/>
  </w:num>
  <w:num w:numId="48">
    <w:abstractNumId w:val="1"/>
  </w:num>
  <w:num w:numId="4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5A"/>
    <w:rsid w:val="000013F6"/>
    <w:rsid w:val="00001FC3"/>
    <w:rsid w:val="00002685"/>
    <w:rsid w:val="0000416D"/>
    <w:rsid w:val="00004A0C"/>
    <w:rsid w:val="000054B9"/>
    <w:rsid w:val="000055CA"/>
    <w:rsid w:val="0000584B"/>
    <w:rsid w:val="0000781E"/>
    <w:rsid w:val="000078AE"/>
    <w:rsid w:val="0001038F"/>
    <w:rsid w:val="00011096"/>
    <w:rsid w:val="00012B40"/>
    <w:rsid w:val="000133B8"/>
    <w:rsid w:val="000135E4"/>
    <w:rsid w:val="000141E8"/>
    <w:rsid w:val="00014D08"/>
    <w:rsid w:val="00015D04"/>
    <w:rsid w:val="00016629"/>
    <w:rsid w:val="0001794F"/>
    <w:rsid w:val="0002183D"/>
    <w:rsid w:val="00023E9A"/>
    <w:rsid w:val="000242F5"/>
    <w:rsid w:val="00024B0A"/>
    <w:rsid w:val="00027A38"/>
    <w:rsid w:val="000307F8"/>
    <w:rsid w:val="000311BB"/>
    <w:rsid w:val="00031B15"/>
    <w:rsid w:val="00033A5F"/>
    <w:rsid w:val="000370D9"/>
    <w:rsid w:val="00037CA7"/>
    <w:rsid w:val="000419DF"/>
    <w:rsid w:val="00043245"/>
    <w:rsid w:val="0004714A"/>
    <w:rsid w:val="00047273"/>
    <w:rsid w:val="00047A70"/>
    <w:rsid w:val="000510E5"/>
    <w:rsid w:val="000512FA"/>
    <w:rsid w:val="00051527"/>
    <w:rsid w:val="00051995"/>
    <w:rsid w:val="00051C84"/>
    <w:rsid w:val="00052B09"/>
    <w:rsid w:val="0005316C"/>
    <w:rsid w:val="00053C50"/>
    <w:rsid w:val="0005633B"/>
    <w:rsid w:val="00056C0C"/>
    <w:rsid w:val="0005701B"/>
    <w:rsid w:val="00062DD5"/>
    <w:rsid w:val="00063A34"/>
    <w:rsid w:val="000679E1"/>
    <w:rsid w:val="000706E3"/>
    <w:rsid w:val="00072406"/>
    <w:rsid w:val="00072D06"/>
    <w:rsid w:val="0007543E"/>
    <w:rsid w:val="000765CA"/>
    <w:rsid w:val="000801F7"/>
    <w:rsid w:val="00081479"/>
    <w:rsid w:val="00083710"/>
    <w:rsid w:val="0008530D"/>
    <w:rsid w:val="00086089"/>
    <w:rsid w:val="00087A5F"/>
    <w:rsid w:val="000902C5"/>
    <w:rsid w:val="000903A5"/>
    <w:rsid w:val="00091329"/>
    <w:rsid w:val="00091C17"/>
    <w:rsid w:val="00092FBB"/>
    <w:rsid w:val="000941A4"/>
    <w:rsid w:val="000A420A"/>
    <w:rsid w:val="000A5C7E"/>
    <w:rsid w:val="000A67B3"/>
    <w:rsid w:val="000B051C"/>
    <w:rsid w:val="000B055B"/>
    <w:rsid w:val="000B122E"/>
    <w:rsid w:val="000B12E3"/>
    <w:rsid w:val="000B1E22"/>
    <w:rsid w:val="000B21AE"/>
    <w:rsid w:val="000B3EB4"/>
    <w:rsid w:val="000B65C8"/>
    <w:rsid w:val="000B6F46"/>
    <w:rsid w:val="000B733F"/>
    <w:rsid w:val="000C0CC4"/>
    <w:rsid w:val="000C163D"/>
    <w:rsid w:val="000C169A"/>
    <w:rsid w:val="000C225E"/>
    <w:rsid w:val="000C2799"/>
    <w:rsid w:val="000C27B2"/>
    <w:rsid w:val="000C428E"/>
    <w:rsid w:val="000C50CE"/>
    <w:rsid w:val="000C5437"/>
    <w:rsid w:val="000C62CA"/>
    <w:rsid w:val="000C7332"/>
    <w:rsid w:val="000C752F"/>
    <w:rsid w:val="000C7591"/>
    <w:rsid w:val="000D20E0"/>
    <w:rsid w:val="000D38B0"/>
    <w:rsid w:val="000D4D20"/>
    <w:rsid w:val="000D581D"/>
    <w:rsid w:val="000D677C"/>
    <w:rsid w:val="000E1760"/>
    <w:rsid w:val="000E2780"/>
    <w:rsid w:val="000E4242"/>
    <w:rsid w:val="000E47C7"/>
    <w:rsid w:val="000E5108"/>
    <w:rsid w:val="000E6977"/>
    <w:rsid w:val="000E7E1B"/>
    <w:rsid w:val="000F05FD"/>
    <w:rsid w:val="000F190A"/>
    <w:rsid w:val="000F3F99"/>
    <w:rsid w:val="000F4368"/>
    <w:rsid w:val="000F44B8"/>
    <w:rsid w:val="000F4874"/>
    <w:rsid w:val="000F564C"/>
    <w:rsid w:val="000F76D1"/>
    <w:rsid w:val="000F78E9"/>
    <w:rsid w:val="0010058F"/>
    <w:rsid w:val="00100B1C"/>
    <w:rsid w:val="001034B0"/>
    <w:rsid w:val="00105620"/>
    <w:rsid w:val="00105CE0"/>
    <w:rsid w:val="00110127"/>
    <w:rsid w:val="00112329"/>
    <w:rsid w:val="00114DA3"/>
    <w:rsid w:val="00115218"/>
    <w:rsid w:val="00116CDE"/>
    <w:rsid w:val="00117541"/>
    <w:rsid w:val="00117E97"/>
    <w:rsid w:val="00127677"/>
    <w:rsid w:val="00130E29"/>
    <w:rsid w:val="00130E69"/>
    <w:rsid w:val="001319BB"/>
    <w:rsid w:val="00132439"/>
    <w:rsid w:val="00132D90"/>
    <w:rsid w:val="00133538"/>
    <w:rsid w:val="00133578"/>
    <w:rsid w:val="0013678A"/>
    <w:rsid w:val="001437E1"/>
    <w:rsid w:val="001443F4"/>
    <w:rsid w:val="00146211"/>
    <w:rsid w:val="00146A12"/>
    <w:rsid w:val="001518C9"/>
    <w:rsid w:val="00151B4C"/>
    <w:rsid w:val="001524C8"/>
    <w:rsid w:val="0015256A"/>
    <w:rsid w:val="00155812"/>
    <w:rsid w:val="00155941"/>
    <w:rsid w:val="00156C1D"/>
    <w:rsid w:val="00157C6C"/>
    <w:rsid w:val="00160D2B"/>
    <w:rsid w:val="0016606E"/>
    <w:rsid w:val="001676D0"/>
    <w:rsid w:val="0017100B"/>
    <w:rsid w:val="00171841"/>
    <w:rsid w:val="001721EA"/>
    <w:rsid w:val="0017572D"/>
    <w:rsid w:val="00175864"/>
    <w:rsid w:val="00177D01"/>
    <w:rsid w:val="00180108"/>
    <w:rsid w:val="0018081C"/>
    <w:rsid w:val="00183818"/>
    <w:rsid w:val="00184ACE"/>
    <w:rsid w:val="00185343"/>
    <w:rsid w:val="00185B3B"/>
    <w:rsid w:val="001864BC"/>
    <w:rsid w:val="00190032"/>
    <w:rsid w:val="00192B81"/>
    <w:rsid w:val="00192BAF"/>
    <w:rsid w:val="001932C3"/>
    <w:rsid w:val="00194487"/>
    <w:rsid w:val="00194C24"/>
    <w:rsid w:val="00196FC5"/>
    <w:rsid w:val="00197BDB"/>
    <w:rsid w:val="001A0D19"/>
    <w:rsid w:val="001A120D"/>
    <w:rsid w:val="001A1952"/>
    <w:rsid w:val="001A227F"/>
    <w:rsid w:val="001A259B"/>
    <w:rsid w:val="001A2C15"/>
    <w:rsid w:val="001A3AE0"/>
    <w:rsid w:val="001A426B"/>
    <w:rsid w:val="001A69B8"/>
    <w:rsid w:val="001A6E57"/>
    <w:rsid w:val="001B0C20"/>
    <w:rsid w:val="001B0E75"/>
    <w:rsid w:val="001B44CB"/>
    <w:rsid w:val="001B599A"/>
    <w:rsid w:val="001B78FC"/>
    <w:rsid w:val="001B7B35"/>
    <w:rsid w:val="001C1CE3"/>
    <w:rsid w:val="001C27BF"/>
    <w:rsid w:val="001C4E4D"/>
    <w:rsid w:val="001C5DBE"/>
    <w:rsid w:val="001C5E8B"/>
    <w:rsid w:val="001D0875"/>
    <w:rsid w:val="001D105D"/>
    <w:rsid w:val="001D1344"/>
    <w:rsid w:val="001D15EE"/>
    <w:rsid w:val="001D1DE9"/>
    <w:rsid w:val="001D2139"/>
    <w:rsid w:val="001D3950"/>
    <w:rsid w:val="001D46EB"/>
    <w:rsid w:val="001D4B8D"/>
    <w:rsid w:val="001D5C3D"/>
    <w:rsid w:val="001D6884"/>
    <w:rsid w:val="001D6FF9"/>
    <w:rsid w:val="001D7786"/>
    <w:rsid w:val="001E20C0"/>
    <w:rsid w:val="001E28EC"/>
    <w:rsid w:val="001E5C49"/>
    <w:rsid w:val="001E5CFD"/>
    <w:rsid w:val="001E6282"/>
    <w:rsid w:val="001E65BE"/>
    <w:rsid w:val="001F0A6D"/>
    <w:rsid w:val="001F20E6"/>
    <w:rsid w:val="001F3587"/>
    <w:rsid w:val="001F4060"/>
    <w:rsid w:val="001F638E"/>
    <w:rsid w:val="001F76D0"/>
    <w:rsid w:val="001F7C22"/>
    <w:rsid w:val="00201C75"/>
    <w:rsid w:val="0020324F"/>
    <w:rsid w:val="002036A5"/>
    <w:rsid w:val="002041A3"/>
    <w:rsid w:val="00204C46"/>
    <w:rsid w:val="00205457"/>
    <w:rsid w:val="002101D0"/>
    <w:rsid w:val="00211498"/>
    <w:rsid w:val="002137DA"/>
    <w:rsid w:val="00213A3C"/>
    <w:rsid w:val="0021615E"/>
    <w:rsid w:val="002164C1"/>
    <w:rsid w:val="0021703A"/>
    <w:rsid w:val="002170F1"/>
    <w:rsid w:val="00220A89"/>
    <w:rsid w:val="002217DF"/>
    <w:rsid w:val="0022354F"/>
    <w:rsid w:val="00223FBD"/>
    <w:rsid w:val="0022485B"/>
    <w:rsid w:val="00225D27"/>
    <w:rsid w:val="0022621A"/>
    <w:rsid w:val="00226C3C"/>
    <w:rsid w:val="00226FC5"/>
    <w:rsid w:val="00227E9A"/>
    <w:rsid w:val="00227EED"/>
    <w:rsid w:val="002309C1"/>
    <w:rsid w:val="00230B5B"/>
    <w:rsid w:val="00230E16"/>
    <w:rsid w:val="0023253B"/>
    <w:rsid w:val="00236E9C"/>
    <w:rsid w:val="00237A63"/>
    <w:rsid w:val="002427D8"/>
    <w:rsid w:val="002437AC"/>
    <w:rsid w:val="00244C91"/>
    <w:rsid w:val="00245C80"/>
    <w:rsid w:val="00245D29"/>
    <w:rsid w:val="00246A1A"/>
    <w:rsid w:val="002475BC"/>
    <w:rsid w:val="00247CEC"/>
    <w:rsid w:val="002543B9"/>
    <w:rsid w:val="00256852"/>
    <w:rsid w:val="00256F7E"/>
    <w:rsid w:val="00257615"/>
    <w:rsid w:val="00260FEA"/>
    <w:rsid w:val="00261A39"/>
    <w:rsid w:val="00261C5D"/>
    <w:rsid w:val="00261C85"/>
    <w:rsid w:val="00261FC5"/>
    <w:rsid w:val="00262A85"/>
    <w:rsid w:val="00262F20"/>
    <w:rsid w:val="0026311D"/>
    <w:rsid w:val="00263FC2"/>
    <w:rsid w:val="002665B0"/>
    <w:rsid w:val="0027058A"/>
    <w:rsid w:val="00272CE6"/>
    <w:rsid w:val="00273E18"/>
    <w:rsid w:val="002744F8"/>
    <w:rsid w:val="0027451D"/>
    <w:rsid w:val="00274D16"/>
    <w:rsid w:val="00275847"/>
    <w:rsid w:val="002771FF"/>
    <w:rsid w:val="00280428"/>
    <w:rsid w:val="002868E4"/>
    <w:rsid w:val="0028739E"/>
    <w:rsid w:val="00287AAB"/>
    <w:rsid w:val="00287B51"/>
    <w:rsid w:val="00290E87"/>
    <w:rsid w:val="00292645"/>
    <w:rsid w:val="002929CD"/>
    <w:rsid w:val="00293865"/>
    <w:rsid w:val="00293D1D"/>
    <w:rsid w:val="00294926"/>
    <w:rsid w:val="00294EAE"/>
    <w:rsid w:val="00296D39"/>
    <w:rsid w:val="002A0D54"/>
    <w:rsid w:val="002A3768"/>
    <w:rsid w:val="002A4099"/>
    <w:rsid w:val="002A4AD0"/>
    <w:rsid w:val="002B2B83"/>
    <w:rsid w:val="002B3771"/>
    <w:rsid w:val="002B3D38"/>
    <w:rsid w:val="002B66E2"/>
    <w:rsid w:val="002B6757"/>
    <w:rsid w:val="002C0445"/>
    <w:rsid w:val="002C0E6A"/>
    <w:rsid w:val="002C11ED"/>
    <w:rsid w:val="002C24E2"/>
    <w:rsid w:val="002C5FC3"/>
    <w:rsid w:val="002D6437"/>
    <w:rsid w:val="002D7056"/>
    <w:rsid w:val="002D790E"/>
    <w:rsid w:val="002D7967"/>
    <w:rsid w:val="002D7AEE"/>
    <w:rsid w:val="002D7E9A"/>
    <w:rsid w:val="002E2592"/>
    <w:rsid w:val="002E3D2A"/>
    <w:rsid w:val="002E5850"/>
    <w:rsid w:val="002E5DC7"/>
    <w:rsid w:val="002E64B5"/>
    <w:rsid w:val="002E66C5"/>
    <w:rsid w:val="002F01B6"/>
    <w:rsid w:val="002F0B95"/>
    <w:rsid w:val="002F0FA8"/>
    <w:rsid w:val="002F2375"/>
    <w:rsid w:val="002F4417"/>
    <w:rsid w:val="002F4A2E"/>
    <w:rsid w:val="002F6FAC"/>
    <w:rsid w:val="002F718B"/>
    <w:rsid w:val="00300500"/>
    <w:rsid w:val="003005AC"/>
    <w:rsid w:val="00303245"/>
    <w:rsid w:val="00303A0F"/>
    <w:rsid w:val="00304DEB"/>
    <w:rsid w:val="00311A57"/>
    <w:rsid w:val="003121D9"/>
    <w:rsid w:val="00313B2B"/>
    <w:rsid w:val="00313C7E"/>
    <w:rsid w:val="00313C8F"/>
    <w:rsid w:val="00314492"/>
    <w:rsid w:val="00314BAC"/>
    <w:rsid w:val="00315067"/>
    <w:rsid w:val="0031575F"/>
    <w:rsid w:val="00320CD7"/>
    <w:rsid w:val="00322449"/>
    <w:rsid w:val="00322471"/>
    <w:rsid w:val="00322538"/>
    <w:rsid w:val="00322916"/>
    <w:rsid w:val="0032674F"/>
    <w:rsid w:val="0033209E"/>
    <w:rsid w:val="0033271D"/>
    <w:rsid w:val="00332C48"/>
    <w:rsid w:val="00332D78"/>
    <w:rsid w:val="00334F84"/>
    <w:rsid w:val="003351D6"/>
    <w:rsid w:val="00335252"/>
    <w:rsid w:val="0033525F"/>
    <w:rsid w:val="003373CC"/>
    <w:rsid w:val="003413F6"/>
    <w:rsid w:val="003413FF"/>
    <w:rsid w:val="00342F7E"/>
    <w:rsid w:val="00343E4E"/>
    <w:rsid w:val="00344E1F"/>
    <w:rsid w:val="003458BD"/>
    <w:rsid w:val="00346A9D"/>
    <w:rsid w:val="003472FD"/>
    <w:rsid w:val="003477E5"/>
    <w:rsid w:val="00350A7B"/>
    <w:rsid w:val="003510C4"/>
    <w:rsid w:val="003523EA"/>
    <w:rsid w:val="00352F9F"/>
    <w:rsid w:val="00353064"/>
    <w:rsid w:val="00353AEE"/>
    <w:rsid w:val="0035479D"/>
    <w:rsid w:val="00356537"/>
    <w:rsid w:val="00357EFD"/>
    <w:rsid w:val="00361083"/>
    <w:rsid w:val="003622B1"/>
    <w:rsid w:val="00362DD6"/>
    <w:rsid w:val="00362F87"/>
    <w:rsid w:val="00363166"/>
    <w:rsid w:val="00364E96"/>
    <w:rsid w:val="0036579B"/>
    <w:rsid w:val="00365A76"/>
    <w:rsid w:val="00366937"/>
    <w:rsid w:val="00371BE1"/>
    <w:rsid w:val="00372FC1"/>
    <w:rsid w:val="00374990"/>
    <w:rsid w:val="00374EC0"/>
    <w:rsid w:val="00375112"/>
    <w:rsid w:val="00380927"/>
    <w:rsid w:val="00380E41"/>
    <w:rsid w:val="00382838"/>
    <w:rsid w:val="00382CEA"/>
    <w:rsid w:val="00382FD9"/>
    <w:rsid w:val="0039077D"/>
    <w:rsid w:val="00393FA6"/>
    <w:rsid w:val="003944D0"/>
    <w:rsid w:val="003947C9"/>
    <w:rsid w:val="003A0382"/>
    <w:rsid w:val="003A22B4"/>
    <w:rsid w:val="003A51D7"/>
    <w:rsid w:val="003A54C3"/>
    <w:rsid w:val="003A58BC"/>
    <w:rsid w:val="003A63DD"/>
    <w:rsid w:val="003A6600"/>
    <w:rsid w:val="003B1D44"/>
    <w:rsid w:val="003B22FD"/>
    <w:rsid w:val="003B53D0"/>
    <w:rsid w:val="003B67B2"/>
    <w:rsid w:val="003B6B69"/>
    <w:rsid w:val="003C2258"/>
    <w:rsid w:val="003C55CF"/>
    <w:rsid w:val="003C6F0C"/>
    <w:rsid w:val="003D4682"/>
    <w:rsid w:val="003D4974"/>
    <w:rsid w:val="003D4E7A"/>
    <w:rsid w:val="003D701B"/>
    <w:rsid w:val="003E0984"/>
    <w:rsid w:val="003E0AB3"/>
    <w:rsid w:val="003E368B"/>
    <w:rsid w:val="003F03CB"/>
    <w:rsid w:val="003F0B6D"/>
    <w:rsid w:val="003F1065"/>
    <w:rsid w:val="003F141E"/>
    <w:rsid w:val="003F2740"/>
    <w:rsid w:val="003F3228"/>
    <w:rsid w:val="003F340C"/>
    <w:rsid w:val="003F3A3A"/>
    <w:rsid w:val="003F4B2F"/>
    <w:rsid w:val="003F6085"/>
    <w:rsid w:val="003F652D"/>
    <w:rsid w:val="004000F3"/>
    <w:rsid w:val="004002B2"/>
    <w:rsid w:val="0040149E"/>
    <w:rsid w:val="00401CCC"/>
    <w:rsid w:val="004024A7"/>
    <w:rsid w:val="00403861"/>
    <w:rsid w:val="0040587F"/>
    <w:rsid w:val="00406CF7"/>
    <w:rsid w:val="0040748F"/>
    <w:rsid w:val="00412D65"/>
    <w:rsid w:val="00416094"/>
    <w:rsid w:val="00416388"/>
    <w:rsid w:val="00423253"/>
    <w:rsid w:val="004247E1"/>
    <w:rsid w:val="00424B3E"/>
    <w:rsid w:val="00424D76"/>
    <w:rsid w:val="004307FF"/>
    <w:rsid w:val="00430D0C"/>
    <w:rsid w:val="00430D87"/>
    <w:rsid w:val="0043164C"/>
    <w:rsid w:val="00432555"/>
    <w:rsid w:val="0043296F"/>
    <w:rsid w:val="0043526D"/>
    <w:rsid w:val="004365D2"/>
    <w:rsid w:val="00436769"/>
    <w:rsid w:val="00436CB1"/>
    <w:rsid w:val="004378A5"/>
    <w:rsid w:val="00440C3D"/>
    <w:rsid w:val="00440E5F"/>
    <w:rsid w:val="00443EA2"/>
    <w:rsid w:val="00444A55"/>
    <w:rsid w:val="00444E0E"/>
    <w:rsid w:val="004453C4"/>
    <w:rsid w:val="00446652"/>
    <w:rsid w:val="00447775"/>
    <w:rsid w:val="00451FEE"/>
    <w:rsid w:val="004537A8"/>
    <w:rsid w:val="004543BE"/>
    <w:rsid w:val="00454668"/>
    <w:rsid w:val="00457EFF"/>
    <w:rsid w:val="0046073B"/>
    <w:rsid w:val="00461E23"/>
    <w:rsid w:val="004637D2"/>
    <w:rsid w:val="00464CDD"/>
    <w:rsid w:val="00467372"/>
    <w:rsid w:val="00467DE7"/>
    <w:rsid w:val="00470480"/>
    <w:rsid w:val="0047155F"/>
    <w:rsid w:val="00473D72"/>
    <w:rsid w:val="004759B3"/>
    <w:rsid w:val="00476A59"/>
    <w:rsid w:val="0047714E"/>
    <w:rsid w:val="00480464"/>
    <w:rsid w:val="004813EC"/>
    <w:rsid w:val="00482814"/>
    <w:rsid w:val="004863A5"/>
    <w:rsid w:val="00487544"/>
    <w:rsid w:val="004901E0"/>
    <w:rsid w:val="00491A33"/>
    <w:rsid w:val="0049295B"/>
    <w:rsid w:val="00492C8C"/>
    <w:rsid w:val="0049319A"/>
    <w:rsid w:val="004946A1"/>
    <w:rsid w:val="00494EAF"/>
    <w:rsid w:val="00495089"/>
    <w:rsid w:val="00495226"/>
    <w:rsid w:val="00495F45"/>
    <w:rsid w:val="004965AD"/>
    <w:rsid w:val="00497DEE"/>
    <w:rsid w:val="004A144A"/>
    <w:rsid w:val="004A476E"/>
    <w:rsid w:val="004B2435"/>
    <w:rsid w:val="004B30EA"/>
    <w:rsid w:val="004B4697"/>
    <w:rsid w:val="004B5DD7"/>
    <w:rsid w:val="004B6E0D"/>
    <w:rsid w:val="004C17FD"/>
    <w:rsid w:val="004C2391"/>
    <w:rsid w:val="004C2B0A"/>
    <w:rsid w:val="004C2E09"/>
    <w:rsid w:val="004C435D"/>
    <w:rsid w:val="004C5F98"/>
    <w:rsid w:val="004C76FC"/>
    <w:rsid w:val="004D0873"/>
    <w:rsid w:val="004D616E"/>
    <w:rsid w:val="004D6C9F"/>
    <w:rsid w:val="004D6D82"/>
    <w:rsid w:val="004D6F1A"/>
    <w:rsid w:val="004D7480"/>
    <w:rsid w:val="004D7525"/>
    <w:rsid w:val="004E11C2"/>
    <w:rsid w:val="004E19B9"/>
    <w:rsid w:val="004E2C0F"/>
    <w:rsid w:val="004E2F19"/>
    <w:rsid w:val="004E3687"/>
    <w:rsid w:val="004E36B5"/>
    <w:rsid w:val="004E4125"/>
    <w:rsid w:val="004E6DA5"/>
    <w:rsid w:val="004F0100"/>
    <w:rsid w:val="004F0C05"/>
    <w:rsid w:val="004F1333"/>
    <w:rsid w:val="004F2A8A"/>
    <w:rsid w:val="004F2EDC"/>
    <w:rsid w:val="004F4C73"/>
    <w:rsid w:val="00501958"/>
    <w:rsid w:val="00502A85"/>
    <w:rsid w:val="00503AC7"/>
    <w:rsid w:val="00503E6E"/>
    <w:rsid w:val="005048D3"/>
    <w:rsid w:val="0050681A"/>
    <w:rsid w:val="00510371"/>
    <w:rsid w:val="0051298B"/>
    <w:rsid w:val="00513099"/>
    <w:rsid w:val="0051330E"/>
    <w:rsid w:val="0051633E"/>
    <w:rsid w:val="00522112"/>
    <w:rsid w:val="005224D6"/>
    <w:rsid w:val="00523044"/>
    <w:rsid w:val="005258A8"/>
    <w:rsid w:val="005275E3"/>
    <w:rsid w:val="0053161F"/>
    <w:rsid w:val="00537B47"/>
    <w:rsid w:val="00543DAD"/>
    <w:rsid w:val="00545FD7"/>
    <w:rsid w:val="005473F0"/>
    <w:rsid w:val="005475EF"/>
    <w:rsid w:val="0055278D"/>
    <w:rsid w:val="00552C7C"/>
    <w:rsid w:val="00552D4C"/>
    <w:rsid w:val="0055486A"/>
    <w:rsid w:val="00557B21"/>
    <w:rsid w:val="00557F84"/>
    <w:rsid w:val="00562C8B"/>
    <w:rsid w:val="00563F24"/>
    <w:rsid w:val="005713BA"/>
    <w:rsid w:val="005724DE"/>
    <w:rsid w:val="00574AB1"/>
    <w:rsid w:val="00574CE8"/>
    <w:rsid w:val="00576433"/>
    <w:rsid w:val="005776AD"/>
    <w:rsid w:val="00582B98"/>
    <w:rsid w:val="00584706"/>
    <w:rsid w:val="0058575E"/>
    <w:rsid w:val="0058625F"/>
    <w:rsid w:val="005916D1"/>
    <w:rsid w:val="0059196C"/>
    <w:rsid w:val="00594622"/>
    <w:rsid w:val="0059508A"/>
    <w:rsid w:val="005975FC"/>
    <w:rsid w:val="005A0ABA"/>
    <w:rsid w:val="005A2EFB"/>
    <w:rsid w:val="005A34C6"/>
    <w:rsid w:val="005B2738"/>
    <w:rsid w:val="005B30E9"/>
    <w:rsid w:val="005B3499"/>
    <w:rsid w:val="005B3861"/>
    <w:rsid w:val="005B576A"/>
    <w:rsid w:val="005B77F6"/>
    <w:rsid w:val="005C06ED"/>
    <w:rsid w:val="005C2905"/>
    <w:rsid w:val="005C3D72"/>
    <w:rsid w:val="005C5991"/>
    <w:rsid w:val="005C5A0A"/>
    <w:rsid w:val="005C6797"/>
    <w:rsid w:val="005C69D9"/>
    <w:rsid w:val="005C6DA6"/>
    <w:rsid w:val="005C7F8B"/>
    <w:rsid w:val="005D1392"/>
    <w:rsid w:val="005D13D9"/>
    <w:rsid w:val="005D1425"/>
    <w:rsid w:val="005D1A75"/>
    <w:rsid w:val="005D2B65"/>
    <w:rsid w:val="005D2F5C"/>
    <w:rsid w:val="005D5F65"/>
    <w:rsid w:val="005D5FCE"/>
    <w:rsid w:val="005D66A7"/>
    <w:rsid w:val="005D6804"/>
    <w:rsid w:val="005E04DE"/>
    <w:rsid w:val="005E2301"/>
    <w:rsid w:val="005E3E24"/>
    <w:rsid w:val="005E6877"/>
    <w:rsid w:val="005E6F98"/>
    <w:rsid w:val="005F1541"/>
    <w:rsid w:val="005F1B76"/>
    <w:rsid w:val="005F24E7"/>
    <w:rsid w:val="005F3E56"/>
    <w:rsid w:val="005F4D20"/>
    <w:rsid w:val="005F6958"/>
    <w:rsid w:val="005F7F6E"/>
    <w:rsid w:val="006005B1"/>
    <w:rsid w:val="00604354"/>
    <w:rsid w:val="006053E3"/>
    <w:rsid w:val="00606BA0"/>
    <w:rsid w:val="00611101"/>
    <w:rsid w:val="00613D5C"/>
    <w:rsid w:val="006140FB"/>
    <w:rsid w:val="00614C2F"/>
    <w:rsid w:val="00616572"/>
    <w:rsid w:val="0061750D"/>
    <w:rsid w:val="006203F8"/>
    <w:rsid w:val="0062082C"/>
    <w:rsid w:val="00620A95"/>
    <w:rsid w:val="006228E4"/>
    <w:rsid w:val="00627928"/>
    <w:rsid w:val="00632D9B"/>
    <w:rsid w:val="00633774"/>
    <w:rsid w:val="006347CF"/>
    <w:rsid w:val="006355B7"/>
    <w:rsid w:val="0063758D"/>
    <w:rsid w:val="00637F03"/>
    <w:rsid w:val="00640305"/>
    <w:rsid w:val="00640406"/>
    <w:rsid w:val="00640756"/>
    <w:rsid w:val="00641493"/>
    <w:rsid w:val="006442D0"/>
    <w:rsid w:val="00644369"/>
    <w:rsid w:val="0064526E"/>
    <w:rsid w:val="006452FF"/>
    <w:rsid w:val="006457B0"/>
    <w:rsid w:val="00646E4B"/>
    <w:rsid w:val="00650BE5"/>
    <w:rsid w:val="00650E19"/>
    <w:rsid w:val="00652613"/>
    <w:rsid w:val="00654B2B"/>
    <w:rsid w:val="00656420"/>
    <w:rsid w:val="00657EEC"/>
    <w:rsid w:val="006618A9"/>
    <w:rsid w:val="00662F1C"/>
    <w:rsid w:val="00663C88"/>
    <w:rsid w:val="00663EB7"/>
    <w:rsid w:val="00664340"/>
    <w:rsid w:val="0066543C"/>
    <w:rsid w:val="00665EB3"/>
    <w:rsid w:val="00667891"/>
    <w:rsid w:val="006713FA"/>
    <w:rsid w:val="00673006"/>
    <w:rsid w:val="006757F2"/>
    <w:rsid w:val="00675DBB"/>
    <w:rsid w:val="00682398"/>
    <w:rsid w:val="00685414"/>
    <w:rsid w:val="00687EB1"/>
    <w:rsid w:val="006904E5"/>
    <w:rsid w:val="00691F86"/>
    <w:rsid w:val="00692F50"/>
    <w:rsid w:val="00697917"/>
    <w:rsid w:val="006A0126"/>
    <w:rsid w:val="006A0E0B"/>
    <w:rsid w:val="006A19FD"/>
    <w:rsid w:val="006A2B1A"/>
    <w:rsid w:val="006A3270"/>
    <w:rsid w:val="006A5750"/>
    <w:rsid w:val="006A67CC"/>
    <w:rsid w:val="006A7301"/>
    <w:rsid w:val="006A7841"/>
    <w:rsid w:val="006B19D8"/>
    <w:rsid w:val="006B37FE"/>
    <w:rsid w:val="006B3868"/>
    <w:rsid w:val="006B702C"/>
    <w:rsid w:val="006C0BB1"/>
    <w:rsid w:val="006C0F41"/>
    <w:rsid w:val="006C2A2F"/>
    <w:rsid w:val="006C4EF3"/>
    <w:rsid w:val="006C5D39"/>
    <w:rsid w:val="006C633B"/>
    <w:rsid w:val="006C768A"/>
    <w:rsid w:val="006C7E56"/>
    <w:rsid w:val="006D197C"/>
    <w:rsid w:val="006D28D0"/>
    <w:rsid w:val="006D2B17"/>
    <w:rsid w:val="006D4CE9"/>
    <w:rsid w:val="006E3540"/>
    <w:rsid w:val="006E3DC5"/>
    <w:rsid w:val="006E4F94"/>
    <w:rsid w:val="006E6C02"/>
    <w:rsid w:val="006F047B"/>
    <w:rsid w:val="006F1022"/>
    <w:rsid w:val="006F13C2"/>
    <w:rsid w:val="006F1A6B"/>
    <w:rsid w:val="006F2599"/>
    <w:rsid w:val="006F2C20"/>
    <w:rsid w:val="006F6B53"/>
    <w:rsid w:val="00700860"/>
    <w:rsid w:val="00700C9C"/>
    <w:rsid w:val="00701C83"/>
    <w:rsid w:val="007031FE"/>
    <w:rsid w:val="00703B6A"/>
    <w:rsid w:val="00710C27"/>
    <w:rsid w:val="007134F8"/>
    <w:rsid w:val="00715033"/>
    <w:rsid w:val="00715FE4"/>
    <w:rsid w:val="00717536"/>
    <w:rsid w:val="0072049D"/>
    <w:rsid w:val="00720FAB"/>
    <w:rsid w:val="00721988"/>
    <w:rsid w:val="0072731D"/>
    <w:rsid w:val="007307CC"/>
    <w:rsid w:val="00730A2A"/>
    <w:rsid w:val="00732163"/>
    <w:rsid w:val="0073370F"/>
    <w:rsid w:val="007339F7"/>
    <w:rsid w:val="00734875"/>
    <w:rsid w:val="007366F7"/>
    <w:rsid w:val="00736ED1"/>
    <w:rsid w:val="00736FFC"/>
    <w:rsid w:val="00737D6D"/>
    <w:rsid w:val="00741F62"/>
    <w:rsid w:val="00744DFC"/>
    <w:rsid w:val="00747882"/>
    <w:rsid w:val="00747A98"/>
    <w:rsid w:val="00750E10"/>
    <w:rsid w:val="00751B5F"/>
    <w:rsid w:val="007520B7"/>
    <w:rsid w:val="007529B1"/>
    <w:rsid w:val="0075466E"/>
    <w:rsid w:val="007550EC"/>
    <w:rsid w:val="007559FB"/>
    <w:rsid w:val="00755D70"/>
    <w:rsid w:val="007566C0"/>
    <w:rsid w:val="00757238"/>
    <w:rsid w:val="00761B12"/>
    <w:rsid w:val="00762005"/>
    <w:rsid w:val="007633D1"/>
    <w:rsid w:val="007633FE"/>
    <w:rsid w:val="00765AB1"/>
    <w:rsid w:val="00765B34"/>
    <w:rsid w:val="0076679C"/>
    <w:rsid w:val="0076753A"/>
    <w:rsid w:val="0076762B"/>
    <w:rsid w:val="00770509"/>
    <w:rsid w:val="00771D58"/>
    <w:rsid w:val="00772258"/>
    <w:rsid w:val="00773C7D"/>
    <w:rsid w:val="00773EA7"/>
    <w:rsid w:val="00775332"/>
    <w:rsid w:val="00777D1A"/>
    <w:rsid w:val="007816BA"/>
    <w:rsid w:val="007825C6"/>
    <w:rsid w:val="00785E18"/>
    <w:rsid w:val="0078772C"/>
    <w:rsid w:val="0079073C"/>
    <w:rsid w:val="00790BAE"/>
    <w:rsid w:val="00791F1E"/>
    <w:rsid w:val="00795550"/>
    <w:rsid w:val="00797D4F"/>
    <w:rsid w:val="007A004D"/>
    <w:rsid w:val="007A1366"/>
    <w:rsid w:val="007A3C5E"/>
    <w:rsid w:val="007A43E5"/>
    <w:rsid w:val="007A5C41"/>
    <w:rsid w:val="007B1893"/>
    <w:rsid w:val="007B3A8D"/>
    <w:rsid w:val="007B3DF7"/>
    <w:rsid w:val="007B4710"/>
    <w:rsid w:val="007B4A2F"/>
    <w:rsid w:val="007B4E17"/>
    <w:rsid w:val="007B5731"/>
    <w:rsid w:val="007B59B9"/>
    <w:rsid w:val="007B5DC9"/>
    <w:rsid w:val="007C2167"/>
    <w:rsid w:val="007C2273"/>
    <w:rsid w:val="007C6653"/>
    <w:rsid w:val="007C69DB"/>
    <w:rsid w:val="007D0205"/>
    <w:rsid w:val="007D17F6"/>
    <w:rsid w:val="007D288B"/>
    <w:rsid w:val="007D2DE6"/>
    <w:rsid w:val="007D3D92"/>
    <w:rsid w:val="007D4173"/>
    <w:rsid w:val="007D6559"/>
    <w:rsid w:val="007E06F2"/>
    <w:rsid w:val="007E09C4"/>
    <w:rsid w:val="007E268B"/>
    <w:rsid w:val="007E3EF5"/>
    <w:rsid w:val="007E64BA"/>
    <w:rsid w:val="007E7802"/>
    <w:rsid w:val="007F065F"/>
    <w:rsid w:val="007F0A77"/>
    <w:rsid w:val="007F4EFD"/>
    <w:rsid w:val="007F579B"/>
    <w:rsid w:val="007F5F27"/>
    <w:rsid w:val="007F733D"/>
    <w:rsid w:val="00803BFE"/>
    <w:rsid w:val="00803DF9"/>
    <w:rsid w:val="0080536D"/>
    <w:rsid w:val="0080647A"/>
    <w:rsid w:val="00807870"/>
    <w:rsid w:val="00811937"/>
    <w:rsid w:val="00812AE0"/>
    <w:rsid w:val="00813848"/>
    <w:rsid w:val="00813865"/>
    <w:rsid w:val="008146E1"/>
    <w:rsid w:val="00814CE4"/>
    <w:rsid w:val="008174EA"/>
    <w:rsid w:val="00820CF4"/>
    <w:rsid w:val="00821165"/>
    <w:rsid w:val="008218E6"/>
    <w:rsid w:val="0082336B"/>
    <w:rsid w:val="00824288"/>
    <w:rsid w:val="0082582B"/>
    <w:rsid w:val="0082673D"/>
    <w:rsid w:val="00826A82"/>
    <w:rsid w:val="0082704C"/>
    <w:rsid w:val="00830282"/>
    <w:rsid w:val="00830B5C"/>
    <w:rsid w:val="00830C91"/>
    <w:rsid w:val="00831273"/>
    <w:rsid w:val="00836183"/>
    <w:rsid w:val="0084207A"/>
    <w:rsid w:val="00843A59"/>
    <w:rsid w:val="008449E0"/>
    <w:rsid w:val="00845114"/>
    <w:rsid w:val="00846004"/>
    <w:rsid w:val="0084693B"/>
    <w:rsid w:val="00847E31"/>
    <w:rsid w:val="008501B3"/>
    <w:rsid w:val="00851C9C"/>
    <w:rsid w:val="008521FA"/>
    <w:rsid w:val="00852E25"/>
    <w:rsid w:val="00853A1F"/>
    <w:rsid w:val="00856154"/>
    <w:rsid w:val="008570BE"/>
    <w:rsid w:val="00860D7A"/>
    <w:rsid w:val="0086256D"/>
    <w:rsid w:val="00862AB3"/>
    <w:rsid w:val="00863FF5"/>
    <w:rsid w:val="00866388"/>
    <w:rsid w:val="00867290"/>
    <w:rsid w:val="008719ED"/>
    <w:rsid w:val="00874524"/>
    <w:rsid w:val="0087759F"/>
    <w:rsid w:val="0088021B"/>
    <w:rsid w:val="00880E23"/>
    <w:rsid w:val="00881B79"/>
    <w:rsid w:val="00886438"/>
    <w:rsid w:val="008867B7"/>
    <w:rsid w:val="0088751D"/>
    <w:rsid w:val="00887723"/>
    <w:rsid w:val="0089151C"/>
    <w:rsid w:val="0089154A"/>
    <w:rsid w:val="00893A91"/>
    <w:rsid w:val="0089410A"/>
    <w:rsid w:val="00894D5E"/>
    <w:rsid w:val="0089539E"/>
    <w:rsid w:val="00895E47"/>
    <w:rsid w:val="008962D0"/>
    <w:rsid w:val="008A0FC3"/>
    <w:rsid w:val="008A12C9"/>
    <w:rsid w:val="008A3503"/>
    <w:rsid w:val="008A4350"/>
    <w:rsid w:val="008A573D"/>
    <w:rsid w:val="008A6247"/>
    <w:rsid w:val="008A62ED"/>
    <w:rsid w:val="008A62FB"/>
    <w:rsid w:val="008B078A"/>
    <w:rsid w:val="008B1696"/>
    <w:rsid w:val="008B371B"/>
    <w:rsid w:val="008B3B5F"/>
    <w:rsid w:val="008B4834"/>
    <w:rsid w:val="008C0BE6"/>
    <w:rsid w:val="008C1750"/>
    <w:rsid w:val="008C266E"/>
    <w:rsid w:val="008C2BE4"/>
    <w:rsid w:val="008C2D17"/>
    <w:rsid w:val="008C3E31"/>
    <w:rsid w:val="008C61E1"/>
    <w:rsid w:val="008C7304"/>
    <w:rsid w:val="008C7621"/>
    <w:rsid w:val="008C7764"/>
    <w:rsid w:val="008D320A"/>
    <w:rsid w:val="008D327D"/>
    <w:rsid w:val="008D37E0"/>
    <w:rsid w:val="008D72A0"/>
    <w:rsid w:val="008E2272"/>
    <w:rsid w:val="008E4C87"/>
    <w:rsid w:val="008E4F5A"/>
    <w:rsid w:val="008E6696"/>
    <w:rsid w:val="008E686E"/>
    <w:rsid w:val="008E728F"/>
    <w:rsid w:val="008E72BB"/>
    <w:rsid w:val="008F0D02"/>
    <w:rsid w:val="008F1896"/>
    <w:rsid w:val="008F1A1C"/>
    <w:rsid w:val="008F24A9"/>
    <w:rsid w:val="008F2C2B"/>
    <w:rsid w:val="008F3F2C"/>
    <w:rsid w:val="008F44CB"/>
    <w:rsid w:val="008F7332"/>
    <w:rsid w:val="008F7671"/>
    <w:rsid w:val="009006BC"/>
    <w:rsid w:val="009007A3"/>
    <w:rsid w:val="00904992"/>
    <w:rsid w:val="0090650E"/>
    <w:rsid w:val="009077BD"/>
    <w:rsid w:val="00907846"/>
    <w:rsid w:val="009102F8"/>
    <w:rsid w:val="00914915"/>
    <w:rsid w:val="00916B28"/>
    <w:rsid w:val="0092301D"/>
    <w:rsid w:val="009233F1"/>
    <w:rsid w:val="009237C0"/>
    <w:rsid w:val="00924ADA"/>
    <w:rsid w:val="00924E4C"/>
    <w:rsid w:val="00925E3F"/>
    <w:rsid w:val="00926657"/>
    <w:rsid w:val="00940406"/>
    <w:rsid w:val="00940AED"/>
    <w:rsid w:val="00941545"/>
    <w:rsid w:val="009429F5"/>
    <w:rsid w:val="00944053"/>
    <w:rsid w:val="00945DDC"/>
    <w:rsid w:val="00946DE0"/>
    <w:rsid w:val="009506B0"/>
    <w:rsid w:val="009529B9"/>
    <w:rsid w:val="0095346F"/>
    <w:rsid w:val="00957234"/>
    <w:rsid w:val="009577DA"/>
    <w:rsid w:val="00960D57"/>
    <w:rsid w:val="00960F88"/>
    <w:rsid w:val="00963366"/>
    <w:rsid w:val="009649FC"/>
    <w:rsid w:val="00965633"/>
    <w:rsid w:val="00967B11"/>
    <w:rsid w:val="00971BBB"/>
    <w:rsid w:val="009729DD"/>
    <w:rsid w:val="00972C88"/>
    <w:rsid w:val="00972E85"/>
    <w:rsid w:val="00973746"/>
    <w:rsid w:val="009744D7"/>
    <w:rsid w:val="00975645"/>
    <w:rsid w:val="00977B76"/>
    <w:rsid w:val="00977F26"/>
    <w:rsid w:val="00982F73"/>
    <w:rsid w:val="009840CF"/>
    <w:rsid w:val="00987F9E"/>
    <w:rsid w:val="00991A13"/>
    <w:rsid w:val="009932EC"/>
    <w:rsid w:val="00994752"/>
    <w:rsid w:val="00996BAD"/>
    <w:rsid w:val="009A147E"/>
    <w:rsid w:val="009A264F"/>
    <w:rsid w:val="009A44F2"/>
    <w:rsid w:val="009A4C15"/>
    <w:rsid w:val="009A607A"/>
    <w:rsid w:val="009A7AEF"/>
    <w:rsid w:val="009B2B09"/>
    <w:rsid w:val="009B3EE2"/>
    <w:rsid w:val="009B4F42"/>
    <w:rsid w:val="009B6969"/>
    <w:rsid w:val="009B6B21"/>
    <w:rsid w:val="009C1B12"/>
    <w:rsid w:val="009C306E"/>
    <w:rsid w:val="009C46B6"/>
    <w:rsid w:val="009C4A09"/>
    <w:rsid w:val="009C4B72"/>
    <w:rsid w:val="009C5231"/>
    <w:rsid w:val="009C57E1"/>
    <w:rsid w:val="009C595E"/>
    <w:rsid w:val="009C5F5B"/>
    <w:rsid w:val="009C7848"/>
    <w:rsid w:val="009D0E09"/>
    <w:rsid w:val="009D1103"/>
    <w:rsid w:val="009D24E6"/>
    <w:rsid w:val="009D4794"/>
    <w:rsid w:val="009D532D"/>
    <w:rsid w:val="009E021A"/>
    <w:rsid w:val="009E059E"/>
    <w:rsid w:val="009E26C7"/>
    <w:rsid w:val="009E4955"/>
    <w:rsid w:val="009E4C20"/>
    <w:rsid w:val="009E6C53"/>
    <w:rsid w:val="009F0FBA"/>
    <w:rsid w:val="009F31FA"/>
    <w:rsid w:val="009F3358"/>
    <w:rsid w:val="009F3DDB"/>
    <w:rsid w:val="009F7CEC"/>
    <w:rsid w:val="00A01BB1"/>
    <w:rsid w:val="00A01C6F"/>
    <w:rsid w:val="00A06B8A"/>
    <w:rsid w:val="00A070BC"/>
    <w:rsid w:val="00A10BAD"/>
    <w:rsid w:val="00A12520"/>
    <w:rsid w:val="00A13F3E"/>
    <w:rsid w:val="00A14696"/>
    <w:rsid w:val="00A17356"/>
    <w:rsid w:val="00A173BC"/>
    <w:rsid w:val="00A2004A"/>
    <w:rsid w:val="00A211BA"/>
    <w:rsid w:val="00A21E2C"/>
    <w:rsid w:val="00A2483E"/>
    <w:rsid w:val="00A25B6A"/>
    <w:rsid w:val="00A25B91"/>
    <w:rsid w:val="00A3460E"/>
    <w:rsid w:val="00A35A4E"/>
    <w:rsid w:val="00A35FBA"/>
    <w:rsid w:val="00A36825"/>
    <w:rsid w:val="00A37044"/>
    <w:rsid w:val="00A40B60"/>
    <w:rsid w:val="00A427D8"/>
    <w:rsid w:val="00A433BE"/>
    <w:rsid w:val="00A45737"/>
    <w:rsid w:val="00A46A31"/>
    <w:rsid w:val="00A51A6C"/>
    <w:rsid w:val="00A529F1"/>
    <w:rsid w:val="00A53518"/>
    <w:rsid w:val="00A54A3F"/>
    <w:rsid w:val="00A56552"/>
    <w:rsid w:val="00A574B0"/>
    <w:rsid w:val="00A6204D"/>
    <w:rsid w:val="00A635E8"/>
    <w:rsid w:val="00A63943"/>
    <w:rsid w:val="00A63B0D"/>
    <w:rsid w:val="00A64531"/>
    <w:rsid w:val="00A648A3"/>
    <w:rsid w:val="00A64E1A"/>
    <w:rsid w:val="00A65975"/>
    <w:rsid w:val="00A65C19"/>
    <w:rsid w:val="00A65D89"/>
    <w:rsid w:val="00A67B68"/>
    <w:rsid w:val="00A70F30"/>
    <w:rsid w:val="00A72B6A"/>
    <w:rsid w:val="00A769C9"/>
    <w:rsid w:val="00A83C15"/>
    <w:rsid w:val="00A83EF5"/>
    <w:rsid w:val="00A846CD"/>
    <w:rsid w:val="00A8489C"/>
    <w:rsid w:val="00A851A4"/>
    <w:rsid w:val="00A852E3"/>
    <w:rsid w:val="00A85ABE"/>
    <w:rsid w:val="00A87B1D"/>
    <w:rsid w:val="00A93A2A"/>
    <w:rsid w:val="00A94EC8"/>
    <w:rsid w:val="00A95350"/>
    <w:rsid w:val="00A96D24"/>
    <w:rsid w:val="00A96F30"/>
    <w:rsid w:val="00A97C55"/>
    <w:rsid w:val="00AA463D"/>
    <w:rsid w:val="00AA4B05"/>
    <w:rsid w:val="00AA4C32"/>
    <w:rsid w:val="00AA6F27"/>
    <w:rsid w:val="00AA7989"/>
    <w:rsid w:val="00AB0048"/>
    <w:rsid w:val="00AB06ED"/>
    <w:rsid w:val="00AB2A51"/>
    <w:rsid w:val="00AB4071"/>
    <w:rsid w:val="00AB7B1A"/>
    <w:rsid w:val="00AC066F"/>
    <w:rsid w:val="00AC0C56"/>
    <w:rsid w:val="00AC0C7B"/>
    <w:rsid w:val="00AC463D"/>
    <w:rsid w:val="00AC5524"/>
    <w:rsid w:val="00AC5A63"/>
    <w:rsid w:val="00AC5C5C"/>
    <w:rsid w:val="00AC6075"/>
    <w:rsid w:val="00AC68E0"/>
    <w:rsid w:val="00AD008C"/>
    <w:rsid w:val="00AD071C"/>
    <w:rsid w:val="00AD31CD"/>
    <w:rsid w:val="00AD35FB"/>
    <w:rsid w:val="00AD3A84"/>
    <w:rsid w:val="00AD4586"/>
    <w:rsid w:val="00AD4F91"/>
    <w:rsid w:val="00AD5467"/>
    <w:rsid w:val="00AD55B0"/>
    <w:rsid w:val="00AD7A5A"/>
    <w:rsid w:val="00AE0288"/>
    <w:rsid w:val="00AE31A9"/>
    <w:rsid w:val="00AE4BFC"/>
    <w:rsid w:val="00AF087C"/>
    <w:rsid w:val="00AF2710"/>
    <w:rsid w:val="00AF37C2"/>
    <w:rsid w:val="00AF421C"/>
    <w:rsid w:val="00AF4691"/>
    <w:rsid w:val="00AF5A2A"/>
    <w:rsid w:val="00AF5B2A"/>
    <w:rsid w:val="00B0012A"/>
    <w:rsid w:val="00B01A17"/>
    <w:rsid w:val="00B022D6"/>
    <w:rsid w:val="00B034D8"/>
    <w:rsid w:val="00B05E0E"/>
    <w:rsid w:val="00B06D69"/>
    <w:rsid w:val="00B13B64"/>
    <w:rsid w:val="00B13C31"/>
    <w:rsid w:val="00B14505"/>
    <w:rsid w:val="00B16191"/>
    <w:rsid w:val="00B17ACC"/>
    <w:rsid w:val="00B2145D"/>
    <w:rsid w:val="00B24FC6"/>
    <w:rsid w:val="00B25A37"/>
    <w:rsid w:val="00B25F0D"/>
    <w:rsid w:val="00B27841"/>
    <w:rsid w:val="00B30583"/>
    <w:rsid w:val="00B30886"/>
    <w:rsid w:val="00B32A0C"/>
    <w:rsid w:val="00B32F39"/>
    <w:rsid w:val="00B33197"/>
    <w:rsid w:val="00B33847"/>
    <w:rsid w:val="00B33A60"/>
    <w:rsid w:val="00B34E58"/>
    <w:rsid w:val="00B367E5"/>
    <w:rsid w:val="00B42B5A"/>
    <w:rsid w:val="00B437A4"/>
    <w:rsid w:val="00B438BE"/>
    <w:rsid w:val="00B45823"/>
    <w:rsid w:val="00B474FB"/>
    <w:rsid w:val="00B478EB"/>
    <w:rsid w:val="00B5198B"/>
    <w:rsid w:val="00B528AB"/>
    <w:rsid w:val="00B52F1B"/>
    <w:rsid w:val="00B530F1"/>
    <w:rsid w:val="00B53461"/>
    <w:rsid w:val="00B54DA8"/>
    <w:rsid w:val="00B55641"/>
    <w:rsid w:val="00B55ED2"/>
    <w:rsid w:val="00B57293"/>
    <w:rsid w:val="00B600FC"/>
    <w:rsid w:val="00B65C3D"/>
    <w:rsid w:val="00B71F89"/>
    <w:rsid w:val="00B733EB"/>
    <w:rsid w:val="00B736EC"/>
    <w:rsid w:val="00B737E5"/>
    <w:rsid w:val="00B75FD1"/>
    <w:rsid w:val="00B76225"/>
    <w:rsid w:val="00B768C3"/>
    <w:rsid w:val="00B81399"/>
    <w:rsid w:val="00B8304D"/>
    <w:rsid w:val="00B831A0"/>
    <w:rsid w:val="00B86284"/>
    <w:rsid w:val="00B91233"/>
    <w:rsid w:val="00B91D09"/>
    <w:rsid w:val="00B92BAF"/>
    <w:rsid w:val="00B932AA"/>
    <w:rsid w:val="00B94352"/>
    <w:rsid w:val="00B94C02"/>
    <w:rsid w:val="00B94FE2"/>
    <w:rsid w:val="00B95DC3"/>
    <w:rsid w:val="00B96ACF"/>
    <w:rsid w:val="00BA117E"/>
    <w:rsid w:val="00BA2E21"/>
    <w:rsid w:val="00BA389C"/>
    <w:rsid w:val="00BA3975"/>
    <w:rsid w:val="00BA407D"/>
    <w:rsid w:val="00BA5447"/>
    <w:rsid w:val="00BA5A2E"/>
    <w:rsid w:val="00BA6190"/>
    <w:rsid w:val="00BA7A32"/>
    <w:rsid w:val="00BB04BC"/>
    <w:rsid w:val="00BB3279"/>
    <w:rsid w:val="00BB356B"/>
    <w:rsid w:val="00BB398C"/>
    <w:rsid w:val="00BB3BFA"/>
    <w:rsid w:val="00BB556A"/>
    <w:rsid w:val="00BB6133"/>
    <w:rsid w:val="00BC1B81"/>
    <w:rsid w:val="00BC4008"/>
    <w:rsid w:val="00BC4165"/>
    <w:rsid w:val="00BC5FE6"/>
    <w:rsid w:val="00BC6A32"/>
    <w:rsid w:val="00BC736B"/>
    <w:rsid w:val="00BD00A7"/>
    <w:rsid w:val="00BD221E"/>
    <w:rsid w:val="00BD4AA7"/>
    <w:rsid w:val="00BD7A87"/>
    <w:rsid w:val="00BE3A70"/>
    <w:rsid w:val="00BE5A16"/>
    <w:rsid w:val="00BE6A2C"/>
    <w:rsid w:val="00BE77C8"/>
    <w:rsid w:val="00BF1E99"/>
    <w:rsid w:val="00BF3D36"/>
    <w:rsid w:val="00BF6278"/>
    <w:rsid w:val="00C006C2"/>
    <w:rsid w:val="00C02CCD"/>
    <w:rsid w:val="00C057F0"/>
    <w:rsid w:val="00C05D75"/>
    <w:rsid w:val="00C070A9"/>
    <w:rsid w:val="00C114BE"/>
    <w:rsid w:val="00C12A2D"/>
    <w:rsid w:val="00C1443C"/>
    <w:rsid w:val="00C144E3"/>
    <w:rsid w:val="00C15362"/>
    <w:rsid w:val="00C176AD"/>
    <w:rsid w:val="00C178FD"/>
    <w:rsid w:val="00C20B82"/>
    <w:rsid w:val="00C21741"/>
    <w:rsid w:val="00C21907"/>
    <w:rsid w:val="00C22D84"/>
    <w:rsid w:val="00C23134"/>
    <w:rsid w:val="00C23966"/>
    <w:rsid w:val="00C26EA5"/>
    <w:rsid w:val="00C3006C"/>
    <w:rsid w:val="00C30E71"/>
    <w:rsid w:val="00C32421"/>
    <w:rsid w:val="00C347AA"/>
    <w:rsid w:val="00C3563A"/>
    <w:rsid w:val="00C40741"/>
    <w:rsid w:val="00C40CEC"/>
    <w:rsid w:val="00C415E5"/>
    <w:rsid w:val="00C434FE"/>
    <w:rsid w:val="00C43B8D"/>
    <w:rsid w:val="00C4405A"/>
    <w:rsid w:val="00C458E9"/>
    <w:rsid w:val="00C47A49"/>
    <w:rsid w:val="00C5066C"/>
    <w:rsid w:val="00C519FE"/>
    <w:rsid w:val="00C5231F"/>
    <w:rsid w:val="00C55B31"/>
    <w:rsid w:val="00C564D3"/>
    <w:rsid w:val="00C60CBC"/>
    <w:rsid w:val="00C6253C"/>
    <w:rsid w:val="00C62BE4"/>
    <w:rsid w:val="00C62DE5"/>
    <w:rsid w:val="00C658AE"/>
    <w:rsid w:val="00C70CC6"/>
    <w:rsid w:val="00C71B90"/>
    <w:rsid w:val="00C72B6E"/>
    <w:rsid w:val="00C73764"/>
    <w:rsid w:val="00C73D34"/>
    <w:rsid w:val="00C74324"/>
    <w:rsid w:val="00C75D47"/>
    <w:rsid w:val="00C77DB6"/>
    <w:rsid w:val="00C8001B"/>
    <w:rsid w:val="00C80EFE"/>
    <w:rsid w:val="00C81DB2"/>
    <w:rsid w:val="00C84875"/>
    <w:rsid w:val="00C84A74"/>
    <w:rsid w:val="00C866D1"/>
    <w:rsid w:val="00C87949"/>
    <w:rsid w:val="00C9174A"/>
    <w:rsid w:val="00C92077"/>
    <w:rsid w:val="00C9282D"/>
    <w:rsid w:val="00C93A55"/>
    <w:rsid w:val="00C94E3B"/>
    <w:rsid w:val="00CA0938"/>
    <w:rsid w:val="00CA3DFC"/>
    <w:rsid w:val="00CA438F"/>
    <w:rsid w:val="00CA4DCB"/>
    <w:rsid w:val="00CA4DD7"/>
    <w:rsid w:val="00CA52F2"/>
    <w:rsid w:val="00CA693C"/>
    <w:rsid w:val="00CB1108"/>
    <w:rsid w:val="00CB2620"/>
    <w:rsid w:val="00CB328E"/>
    <w:rsid w:val="00CC1225"/>
    <w:rsid w:val="00CC1C6E"/>
    <w:rsid w:val="00CC2928"/>
    <w:rsid w:val="00CC3276"/>
    <w:rsid w:val="00CC4C33"/>
    <w:rsid w:val="00CC55A0"/>
    <w:rsid w:val="00CC68CE"/>
    <w:rsid w:val="00CC69BD"/>
    <w:rsid w:val="00CD1612"/>
    <w:rsid w:val="00CD223B"/>
    <w:rsid w:val="00CD2466"/>
    <w:rsid w:val="00CD2711"/>
    <w:rsid w:val="00CD7349"/>
    <w:rsid w:val="00CD73B2"/>
    <w:rsid w:val="00CE0174"/>
    <w:rsid w:val="00CE3F33"/>
    <w:rsid w:val="00CE59B0"/>
    <w:rsid w:val="00CE6E6E"/>
    <w:rsid w:val="00CE70CB"/>
    <w:rsid w:val="00CE7656"/>
    <w:rsid w:val="00CE7BFB"/>
    <w:rsid w:val="00CF25DF"/>
    <w:rsid w:val="00CF537F"/>
    <w:rsid w:val="00D01416"/>
    <w:rsid w:val="00D05B4F"/>
    <w:rsid w:val="00D06CD2"/>
    <w:rsid w:val="00D1211F"/>
    <w:rsid w:val="00D12507"/>
    <w:rsid w:val="00D13F8A"/>
    <w:rsid w:val="00D166A8"/>
    <w:rsid w:val="00D17A95"/>
    <w:rsid w:val="00D17C6E"/>
    <w:rsid w:val="00D208DA"/>
    <w:rsid w:val="00D20E48"/>
    <w:rsid w:val="00D25292"/>
    <w:rsid w:val="00D25506"/>
    <w:rsid w:val="00D30375"/>
    <w:rsid w:val="00D3511F"/>
    <w:rsid w:val="00D43039"/>
    <w:rsid w:val="00D4508D"/>
    <w:rsid w:val="00D46B80"/>
    <w:rsid w:val="00D47773"/>
    <w:rsid w:val="00D50B63"/>
    <w:rsid w:val="00D51D25"/>
    <w:rsid w:val="00D521AD"/>
    <w:rsid w:val="00D52F30"/>
    <w:rsid w:val="00D55E56"/>
    <w:rsid w:val="00D578E2"/>
    <w:rsid w:val="00D753D2"/>
    <w:rsid w:val="00D7707E"/>
    <w:rsid w:val="00D771EF"/>
    <w:rsid w:val="00D7784A"/>
    <w:rsid w:val="00D82083"/>
    <w:rsid w:val="00D829B3"/>
    <w:rsid w:val="00D85608"/>
    <w:rsid w:val="00D869E9"/>
    <w:rsid w:val="00D878BD"/>
    <w:rsid w:val="00D902E0"/>
    <w:rsid w:val="00D90876"/>
    <w:rsid w:val="00D90C70"/>
    <w:rsid w:val="00D918D5"/>
    <w:rsid w:val="00D95097"/>
    <w:rsid w:val="00D956C2"/>
    <w:rsid w:val="00D96165"/>
    <w:rsid w:val="00D96B41"/>
    <w:rsid w:val="00D97276"/>
    <w:rsid w:val="00DA0AEC"/>
    <w:rsid w:val="00DA1F68"/>
    <w:rsid w:val="00DA210B"/>
    <w:rsid w:val="00DA2110"/>
    <w:rsid w:val="00DA31D5"/>
    <w:rsid w:val="00DA40FC"/>
    <w:rsid w:val="00DA44C4"/>
    <w:rsid w:val="00DA4FD8"/>
    <w:rsid w:val="00DA7A14"/>
    <w:rsid w:val="00DB0E76"/>
    <w:rsid w:val="00DB0FC3"/>
    <w:rsid w:val="00DB2798"/>
    <w:rsid w:val="00DB2BE8"/>
    <w:rsid w:val="00DB42D9"/>
    <w:rsid w:val="00DB49C7"/>
    <w:rsid w:val="00DB4FE0"/>
    <w:rsid w:val="00DB5454"/>
    <w:rsid w:val="00DB5FA8"/>
    <w:rsid w:val="00DB78BA"/>
    <w:rsid w:val="00DC0C41"/>
    <w:rsid w:val="00DC0FF8"/>
    <w:rsid w:val="00DC420D"/>
    <w:rsid w:val="00DC4C21"/>
    <w:rsid w:val="00DC5D01"/>
    <w:rsid w:val="00DC6883"/>
    <w:rsid w:val="00DC6D70"/>
    <w:rsid w:val="00DC7215"/>
    <w:rsid w:val="00DC73F8"/>
    <w:rsid w:val="00DC77EE"/>
    <w:rsid w:val="00DD1CC3"/>
    <w:rsid w:val="00DD2D83"/>
    <w:rsid w:val="00DD3279"/>
    <w:rsid w:val="00DD3815"/>
    <w:rsid w:val="00DD7484"/>
    <w:rsid w:val="00DE0653"/>
    <w:rsid w:val="00DE29CC"/>
    <w:rsid w:val="00DE5F03"/>
    <w:rsid w:val="00DE6FC9"/>
    <w:rsid w:val="00DE7A6E"/>
    <w:rsid w:val="00DF0085"/>
    <w:rsid w:val="00DF0669"/>
    <w:rsid w:val="00DF0A70"/>
    <w:rsid w:val="00DF0E1E"/>
    <w:rsid w:val="00DF2875"/>
    <w:rsid w:val="00DF3F30"/>
    <w:rsid w:val="00DF4F4D"/>
    <w:rsid w:val="00DF5597"/>
    <w:rsid w:val="00E00F26"/>
    <w:rsid w:val="00E01AA1"/>
    <w:rsid w:val="00E024CB"/>
    <w:rsid w:val="00E02F9C"/>
    <w:rsid w:val="00E03CD8"/>
    <w:rsid w:val="00E040FA"/>
    <w:rsid w:val="00E05181"/>
    <w:rsid w:val="00E130A5"/>
    <w:rsid w:val="00E14F11"/>
    <w:rsid w:val="00E15CAB"/>
    <w:rsid w:val="00E16D9D"/>
    <w:rsid w:val="00E17560"/>
    <w:rsid w:val="00E17F93"/>
    <w:rsid w:val="00E20478"/>
    <w:rsid w:val="00E209C9"/>
    <w:rsid w:val="00E22176"/>
    <w:rsid w:val="00E23A20"/>
    <w:rsid w:val="00E241EC"/>
    <w:rsid w:val="00E25164"/>
    <w:rsid w:val="00E319C5"/>
    <w:rsid w:val="00E31A8F"/>
    <w:rsid w:val="00E33CEE"/>
    <w:rsid w:val="00E33FA9"/>
    <w:rsid w:val="00E3537A"/>
    <w:rsid w:val="00E36A85"/>
    <w:rsid w:val="00E37B52"/>
    <w:rsid w:val="00E37D50"/>
    <w:rsid w:val="00E41899"/>
    <w:rsid w:val="00E42B7D"/>
    <w:rsid w:val="00E42FE3"/>
    <w:rsid w:val="00E43517"/>
    <w:rsid w:val="00E45EF2"/>
    <w:rsid w:val="00E47448"/>
    <w:rsid w:val="00E50518"/>
    <w:rsid w:val="00E5108B"/>
    <w:rsid w:val="00E52E1C"/>
    <w:rsid w:val="00E54CF3"/>
    <w:rsid w:val="00E55E8F"/>
    <w:rsid w:val="00E56C0A"/>
    <w:rsid w:val="00E57D07"/>
    <w:rsid w:val="00E6072D"/>
    <w:rsid w:val="00E62BD4"/>
    <w:rsid w:val="00E62C6A"/>
    <w:rsid w:val="00E637EF"/>
    <w:rsid w:val="00E6489B"/>
    <w:rsid w:val="00E64D15"/>
    <w:rsid w:val="00E65B81"/>
    <w:rsid w:val="00E66AFF"/>
    <w:rsid w:val="00E66B08"/>
    <w:rsid w:val="00E67A0F"/>
    <w:rsid w:val="00E71AF0"/>
    <w:rsid w:val="00E8122C"/>
    <w:rsid w:val="00E823C6"/>
    <w:rsid w:val="00E84DDE"/>
    <w:rsid w:val="00E84E5E"/>
    <w:rsid w:val="00E851D4"/>
    <w:rsid w:val="00E87BAE"/>
    <w:rsid w:val="00E905BC"/>
    <w:rsid w:val="00E92A53"/>
    <w:rsid w:val="00E92FD4"/>
    <w:rsid w:val="00E9393F"/>
    <w:rsid w:val="00E95C15"/>
    <w:rsid w:val="00EA3D27"/>
    <w:rsid w:val="00EA5BE8"/>
    <w:rsid w:val="00EA6847"/>
    <w:rsid w:val="00EA6B46"/>
    <w:rsid w:val="00EA7654"/>
    <w:rsid w:val="00EB04ED"/>
    <w:rsid w:val="00EB1567"/>
    <w:rsid w:val="00EB3829"/>
    <w:rsid w:val="00EB3F9A"/>
    <w:rsid w:val="00EB5968"/>
    <w:rsid w:val="00EB5B8C"/>
    <w:rsid w:val="00EB60AB"/>
    <w:rsid w:val="00EB60E3"/>
    <w:rsid w:val="00EB7227"/>
    <w:rsid w:val="00EB7A03"/>
    <w:rsid w:val="00EC09AC"/>
    <w:rsid w:val="00EC1CB0"/>
    <w:rsid w:val="00EC2D0B"/>
    <w:rsid w:val="00EC3A42"/>
    <w:rsid w:val="00ED0810"/>
    <w:rsid w:val="00ED18EC"/>
    <w:rsid w:val="00ED32F1"/>
    <w:rsid w:val="00ED404D"/>
    <w:rsid w:val="00ED4C52"/>
    <w:rsid w:val="00ED4CF8"/>
    <w:rsid w:val="00ED78A5"/>
    <w:rsid w:val="00EE047B"/>
    <w:rsid w:val="00EE1D3C"/>
    <w:rsid w:val="00EE3098"/>
    <w:rsid w:val="00EE5110"/>
    <w:rsid w:val="00EE52BF"/>
    <w:rsid w:val="00EE7404"/>
    <w:rsid w:val="00EE7D34"/>
    <w:rsid w:val="00EF18D7"/>
    <w:rsid w:val="00EF1D3D"/>
    <w:rsid w:val="00EF2EC7"/>
    <w:rsid w:val="00EF2F32"/>
    <w:rsid w:val="00EF37D2"/>
    <w:rsid w:val="00EF3967"/>
    <w:rsid w:val="00EF4A6E"/>
    <w:rsid w:val="00EF5316"/>
    <w:rsid w:val="00EF6675"/>
    <w:rsid w:val="00EF7035"/>
    <w:rsid w:val="00F00CC0"/>
    <w:rsid w:val="00F03175"/>
    <w:rsid w:val="00F035EF"/>
    <w:rsid w:val="00F056E9"/>
    <w:rsid w:val="00F06359"/>
    <w:rsid w:val="00F0718D"/>
    <w:rsid w:val="00F1015A"/>
    <w:rsid w:val="00F10EA8"/>
    <w:rsid w:val="00F13218"/>
    <w:rsid w:val="00F13D76"/>
    <w:rsid w:val="00F157CE"/>
    <w:rsid w:val="00F1621F"/>
    <w:rsid w:val="00F20014"/>
    <w:rsid w:val="00F20954"/>
    <w:rsid w:val="00F20B32"/>
    <w:rsid w:val="00F2192E"/>
    <w:rsid w:val="00F2193B"/>
    <w:rsid w:val="00F23243"/>
    <w:rsid w:val="00F2493D"/>
    <w:rsid w:val="00F27CE9"/>
    <w:rsid w:val="00F32012"/>
    <w:rsid w:val="00F327CB"/>
    <w:rsid w:val="00F33D3D"/>
    <w:rsid w:val="00F3404C"/>
    <w:rsid w:val="00F35094"/>
    <w:rsid w:val="00F353D9"/>
    <w:rsid w:val="00F372EC"/>
    <w:rsid w:val="00F37F94"/>
    <w:rsid w:val="00F40D69"/>
    <w:rsid w:val="00F427AA"/>
    <w:rsid w:val="00F4335B"/>
    <w:rsid w:val="00F4414B"/>
    <w:rsid w:val="00F44DF6"/>
    <w:rsid w:val="00F4607F"/>
    <w:rsid w:val="00F47305"/>
    <w:rsid w:val="00F50779"/>
    <w:rsid w:val="00F509CE"/>
    <w:rsid w:val="00F5182B"/>
    <w:rsid w:val="00F53950"/>
    <w:rsid w:val="00F53E4A"/>
    <w:rsid w:val="00F545D7"/>
    <w:rsid w:val="00F55B19"/>
    <w:rsid w:val="00F61869"/>
    <w:rsid w:val="00F62CAA"/>
    <w:rsid w:val="00F64D56"/>
    <w:rsid w:val="00F64E2D"/>
    <w:rsid w:val="00F654DD"/>
    <w:rsid w:val="00F655B1"/>
    <w:rsid w:val="00F710F6"/>
    <w:rsid w:val="00F72C74"/>
    <w:rsid w:val="00F7327E"/>
    <w:rsid w:val="00F74BBD"/>
    <w:rsid w:val="00F75A8C"/>
    <w:rsid w:val="00F76A95"/>
    <w:rsid w:val="00F81933"/>
    <w:rsid w:val="00F82834"/>
    <w:rsid w:val="00F82892"/>
    <w:rsid w:val="00F83BA8"/>
    <w:rsid w:val="00F86364"/>
    <w:rsid w:val="00F87FC4"/>
    <w:rsid w:val="00F90AD9"/>
    <w:rsid w:val="00F91684"/>
    <w:rsid w:val="00F9206F"/>
    <w:rsid w:val="00F920A7"/>
    <w:rsid w:val="00F93166"/>
    <w:rsid w:val="00F940AA"/>
    <w:rsid w:val="00F97067"/>
    <w:rsid w:val="00F9712D"/>
    <w:rsid w:val="00F9734D"/>
    <w:rsid w:val="00FA1EDB"/>
    <w:rsid w:val="00FA289C"/>
    <w:rsid w:val="00FA4726"/>
    <w:rsid w:val="00FB00BE"/>
    <w:rsid w:val="00FB0709"/>
    <w:rsid w:val="00FB0809"/>
    <w:rsid w:val="00FB33CD"/>
    <w:rsid w:val="00FB5309"/>
    <w:rsid w:val="00FC20CD"/>
    <w:rsid w:val="00FC375C"/>
    <w:rsid w:val="00FC3BA5"/>
    <w:rsid w:val="00FC40B4"/>
    <w:rsid w:val="00FC693C"/>
    <w:rsid w:val="00FD1DA8"/>
    <w:rsid w:val="00FD2445"/>
    <w:rsid w:val="00FD2462"/>
    <w:rsid w:val="00FD2AC9"/>
    <w:rsid w:val="00FD4848"/>
    <w:rsid w:val="00FD56F8"/>
    <w:rsid w:val="00FD6CF6"/>
    <w:rsid w:val="00FD6F7B"/>
    <w:rsid w:val="00FD7113"/>
    <w:rsid w:val="00FE0B92"/>
    <w:rsid w:val="00FE12C3"/>
    <w:rsid w:val="00FE145A"/>
    <w:rsid w:val="00FE29B4"/>
    <w:rsid w:val="00FF18B9"/>
    <w:rsid w:val="00FF1C9F"/>
    <w:rsid w:val="00FF45D7"/>
    <w:rsid w:val="00FF5564"/>
    <w:rsid w:val="00FF7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44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8B0"/>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7B4E17"/>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F47305"/>
    <w:pPr>
      <w:keepNext/>
      <w:keepLines/>
      <w:spacing w:before="240" w:line="240" w:lineRule="atLeast"/>
      <w:outlineLvl w:val="3"/>
    </w:pPr>
    <w:rPr>
      <w:rFonts w:eastAsia="Cambria" w:cs="Times New Roman"/>
      <w:bCs/>
      <w:color w:val="001871"/>
      <w:sz w:val="28"/>
      <w:szCs w:val="26"/>
      <w:shd w:val="clear" w:color="auto" w:fill="FFFFFF"/>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563F24"/>
    <w:pPr>
      <w:keepNext/>
      <w:keepLines/>
      <w:spacing w:before="122" w:line="240" w:lineRule="atLeast"/>
      <w:ind w:left="1"/>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unhideWhenUsed/>
    <w:rsid w:val="005F6958"/>
    <w:rPr>
      <w:vertAlign w:val="superscript"/>
    </w:rPr>
  </w:style>
  <w:style w:type="paragraph" w:styleId="FootnoteText">
    <w:name w:val="footnote text"/>
    <w:basedOn w:val="Normal"/>
    <w:link w:val="FootnoteTextChar"/>
    <w:qFormat/>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7B4E17"/>
    <w:rPr>
      <w:rFonts w:eastAsia="Times New Roman" w:cs="Times New Roman"/>
      <w:b/>
      <w:bCs/>
      <w:color w:val="001871"/>
      <w:sz w:val="32"/>
      <w:szCs w:val="32"/>
    </w:rPr>
  </w:style>
  <w:style w:type="character" w:customStyle="1" w:styleId="Heading4Char">
    <w:name w:val="Heading 4 Char"/>
    <w:basedOn w:val="DefaultParagraphFont"/>
    <w:link w:val="Heading4"/>
    <w:rsid w:val="00F47305"/>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563F24"/>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6D28D0"/>
    <w:pPr>
      <w:numPr>
        <w:numId w:val="33"/>
      </w:numPr>
      <w:spacing w:before="120" w:after="180" w:line="240" w:lineRule="atLeast"/>
    </w:pPr>
    <w:rPr>
      <w:rFonts w:eastAsia="Cambria" w:cs="Times New Roman"/>
      <w:szCs w:val="22"/>
      <w:lang w:eastAsia="en-AU"/>
    </w:rPr>
  </w:style>
  <w:style w:type="paragraph" w:customStyle="1" w:styleId="Numberbullet0">
    <w:name w:val="Number bullet"/>
    <w:basedOn w:val="ListBullet"/>
    <w:uiPriority w:val="3"/>
    <w:qFormat/>
    <w:rsid w:val="005F6958"/>
    <w:pPr>
      <w:numPr>
        <w:numId w:val="22"/>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17572D"/>
    <w:pPr>
      <w:tabs>
        <w:tab w:val="left" w:pos="425"/>
      </w:tabs>
      <w:ind w:left="113"/>
    </w:pPr>
  </w:style>
  <w:style w:type="paragraph" w:customStyle="1" w:styleId="ListBullet-donotcross">
    <w:name w:val="List Bullet - do not (cross)"/>
    <w:basedOn w:val="ListBullet"/>
    <w:autoRedefine/>
    <w:uiPriority w:val="1"/>
    <w:qFormat/>
    <w:rsid w:val="006228E4"/>
    <w:pPr>
      <w:ind w:left="720"/>
    </w:pPr>
    <w:rPr>
      <w:rFonts w:eastAsiaTheme="minorHAnsi" w:cstheme="minorBidi"/>
    </w:rPr>
  </w:style>
  <w:style w:type="paragraph" w:styleId="ListBullet2">
    <w:name w:val="List Bullet 2"/>
    <w:basedOn w:val="Normal"/>
    <w:uiPriority w:val="2"/>
    <w:qFormat/>
    <w:rsid w:val="005F6958"/>
    <w:pPr>
      <w:numPr>
        <w:ilvl w:val="1"/>
        <w:numId w:val="5"/>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ilvl w:val="0"/>
        <w:numId w:val="0"/>
      </w:numPr>
    </w:pPr>
  </w:style>
  <w:style w:type="paragraph" w:customStyle="1" w:styleId="Numberbullet3">
    <w:name w:val="Number bullet 3"/>
    <w:basedOn w:val="Normal"/>
    <w:uiPriority w:val="3"/>
    <w:qFormat/>
    <w:rsid w:val="00001FC3"/>
    <w:pPr>
      <w:numPr>
        <w:numId w:val="6"/>
      </w:numPr>
      <w:spacing w:before="120" w:after="180" w:line="240" w:lineRule="atLeast"/>
      <w:ind w:left="1151" w:hanging="357"/>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link w:val="ListParagraphChar"/>
    <w:autoRedefine/>
    <w:uiPriority w:val="34"/>
    <w:qFormat/>
    <w:rsid w:val="00975645"/>
    <w:pPr>
      <w:widowControl w:val="0"/>
      <w:numPr>
        <w:numId w:val="35"/>
      </w:numPr>
      <w:tabs>
        <w:tab w:val="left" w:pos="1495"/>
      </w:tabs>
      <w:autoSpaceDE w:val="0"/>
      <w:autoSpaceDN w:val="0"/>
      <w:spacing w:before="139" w:after="240" w:line="256" w:lineRule="auto"/>
      <w:ind w:right="980"/>
    </w:pPr>
  </w:style>
  <w:style w:type="paragraph" w:styleId="BodyText">
    <w:name w:val="Body Text"/>
    <w:basedOn w:val="Normal"/>
    <w:link w:val="BodyTextChar"/>
    <w:uiPriority w:val="1"/>
    <w:qFormat/>
    <w:rsid w:val="00836183"/>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836183"/>
    <w:rPr>
      <w:rFonts w:eastAsia="Arial" w:cs="Arial"/>
      <w:lang w:val="en-US"/>
    </w:rPr>
  </w:style>
  <w:style w:type="paragraph" w:customStyle="1" w:styleId="TableParagraph">
    <w:name w:val="Table Paragraph"/>
    <w:basedOn w:val="Normal"/>
    <w:uiPriority w:val="1"/>
    <w:qFormat/>
    <w:rsid w:val="00A51A6C"/>
    <w:pPr>
      <w:widowControl w:val="0"/>
      <w:autoSpaceDE w:val="0"/>
      <w:autoSpaceDN w:val="0"/>
      <w:spacing w:after="0" w:line="240" w:lineRule="auto"/>
    </w:pPr>
    <w:rPr>
      <w:rFonts w:eastAsia="Arial" w:cs="Arial"/>
      <w:sz w:val="22"/>
      <w:szCs w:val="22"/>
      <w:lang w:val="en-US"/>
    </w:rPr>
  </w:style>
  <w:style w:type="paragraph" w:styleId="Revision">
    <w:name w:val="Revision"/>
    <w:hidden/>
    <w:uiPriority w:val="99"/>
    <w:semiHidden/>
    <w:rsid w:val="00315067"/>
    <w:pPr>
      <w:spacing w:after="0" w:line="240" w:lineRule="auto"/>
    </w:pPr>
  </w:style>
  <w:style w:type="character" w:styleId="CommentReference">
    <w:name w:val="annotation reference"/>
    <w:basedOn w:val="DefaultParagraphFont"/>
    <w:uiPriority w:val="99"/>
    <w:semiHidden/>
    <w:unhideWhenUsed/>
    <w:rsid w:val="000D20E0"/>
    <w:rPr>
      <w:sz w:val="16"/>
      <w:szCs w:val="16"/>
    </w:rPr>
  </w:style>
  <w:style w:type="paragraph" w:styleId="CommentText">
    <w:name w:val="annotation text"/>
    <w:basedOn w:val="Normal"/>
    <w:link w:val="CommentTextChar"/>
    <w:uiPriority w:val="99"/>
    <w:unhideWhenUsed/>
    <w:rsid w:val="000D20E0"/>
    <w:pPr>
      <w:spacing w:line="240" w:lineRule="auto"/>
    </w:pPr>
  </w:style>
  <w:style w:type="character" w:customStyle="1" w:styleId="CommentTextChar">
    <w:name w:val="Comment Text Char"/>
    <w:basedOn w:val="DefaultParagraphFont"/>
    <w:link w:val="CommentText"/>
    <w:uiPriority w:val="99"/>
    <w:rsid w:val="000D20E0"/>
  </w:style>
  <w:style w:type="paragraph" w:styleId="CommentSubject">
    <w:name w:val="annotation subject"/>
    <w:basedOn w:val="CommentText"/>
    <w:next w:val="CommentText"/>
    <w:link w:val="CommentSubjectChar"/>
    <w:uiPriority w:val="99"/>
    <w:semiHidden/>
    <w:unhideWhenUsed/>
    <w:rsid w:val="000D20E0"/>
    <w:rPr>
      <w:b/>
      <w:bCs/>
    </w:rPr>
  </w:style>
  <w:style w:type="character" w:customStyle="1" w:styleId="CommentSubjectChar">
    <w:name w:val="Comment Subject Char"/>
    <w:basedOn w:val="CommentTextChar"/>
    <w:link w:val="CommentSubject"/>
    <w:uiPriority w:val="99"/>
    <w:semiHidden/>
    <w:rsid w:val="000D20E0"/>
    <w:rPr>
      <w:b/>
      <w:bCs/>
    </w:rPr>
  </w:style>
  <w:style w:type="character" w:customStyle="1" w:styleId="UnresolvedMention">
    <w:name w:val="Unresolved Mention"/>
    <w:basedOn w:val="DefaultParagraphFont"/>
    <w:uiPriority w:val="99"/>
    <w:semiHidden/>
    <w:unhideWhenUsed/>
    <w:rsid w:val="00CC68CE"/>
    <w:rPr>
      <w:color w:val="605E5C"/>
      <w:shd w:val="clear" w:color="auto" w:fill="E1DFDD"/>
    </w:rPr>
  </w:style>
  <w:style w:type="paragraph" w:customStyle="1" w:styleId="TBLText">
    <w:name w:val="TBL Text"/>
    <w:basedOn w:val="Normal"/>
    <w:uiPriority w:val="9"/>
    <w:qFormat/>
    <w:rsid w:val="00703B6A"/>
    <w:pPr>
      <w:spacing w:after="0" w:line="240" w:lineRule="auto"/>
    </w:pPr>
    <w:rPr>
      <w:rFonts w:asciiTheme="minorHAnsi" w:eastAsiaTheme="minorEastAsia" w:hAnsiTheme="minorHAnsi"/>
      <w:sz w:val="18"/>
      <w:szCs w:val="18"/>
    </w:rPr>
  </w:style>
  <w:style w:type="character" w:styleId="Strong">
    <w:name w:val="Strong"/>
    <w:basedOn w:val="DefaultParagraphFont"/>
    <w:uiPriority w:val="22"/>
    <w:unhideWhenUsed/>
    <w:qFormat/>
    <w:rsid w:val="001D7786"/>
    <w:rPr>
      <w:b/>
      <w:bCs/>
    </w:rPr>
  </w:style>
  <w:style w:type="table" w:customStyle="1" w:styleId="Custom1">
    <w:name w:val="Custom 1"/>
    <w:basedOn w:val="TableNormal"/>
    <w:uiPriority w:val="99"/>
    <w:rsid w:val="001D7786"/>
    <w:pPr>
      <w:spacing w:after="0" w:line="240" w:lineRule="auto"/>
    </w:pPr>
    <w:rPr>
      <w:rFonts w:asciiTheme="minorHAnsi" w:eastAsiaTheme="minorEastAsia" w:hAnsiTheme="minorHAnsi"/>
      <w:sz w:val="18"/>
      <w:szCs w:val="21"/>
    </w:rPr>
    <w:tblPr>
      <w:tblStyleRowBandSize w:val="1"/>
      <w:tblBorders>
        <w:top w:val="single" w:sz="4" w:space="0" w:color="0047BB" w:themeColor="accent1"/>
        <w:bottom w:val="single" w:sz="12" w:space="0" w:color="0047BB" w:themeColor="accent1"/>
        <w:insideH w:val="single" w:sz="4" w:space="0" w:color="0047BB" w:themeColor="accent1"/>
      </w:tblBorders>
      <w:tblCellMar>
        <w:top w:w="57" w:type="dxa"/>
        <w:bottom w:w="57" w:type="dxa"/>
      </w:tblCellMar>
    </w:tblPr>
    <w:tblStylePr w:type="firstRow">
      <w:rPr>
        <w:rFonts w:asciiTheme="minorHAnsi" w:hAnsiTheme="minorHAnsi"/>
        <w:b/>
        <w:sz w:val="18"/>
      </w:rPr>
      <w:tblPr/>
      <w:tcPr>
        <w:shd w:val="clear" w:color="auto" w:fill="0047BB" w:themeFill="accent1"/>
      </w:tcPr>
    </w:tblStylePr>
    <w:tblStylePr w:type="band1Horz">
      <w:tblPr/>
      <w:tcPr>
        <w:shd w:val="clear" w:color="auto" w:fill="F2F2F2" w:themeFill="background2"/>
      </w:tcPr>
    </w:tblStylePr>
  </w:style>
  <w:style w:type="paragraph" w:customStyle="1" w:styleId="Heading66">
    <w:name w:val="Heading 66"/>
    <w:basedOn w:val="BodyText"/>
    <w:qFormat/>
    <w:rsid w:val="00824288"/>
    <w:pPr>
      <w:spacing w:before="127"/>
      <w:ind w:right="256"/>
    </w:pPr>
  </w:style>
  <w:style w:type="paragraph" w:customStyle="1" w:styleId="pf0">
    <w:name w:val="pf0"/>
    <w:basedOn w:val="Normal"/>
    <w:rsid w:val="00E57D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57D07"/>
    <w:rPr>
      <w:rFonts w:ascii="Segoe UI" w:hAnsi="Segoe UI" w:cs="Segoe UI" w:hint="default"/>
      <w:sz w:val="18"/>
      <w:szCs w:val="18"/>
    </w:rPr>
  </w:style>
  <w:style w:type="table" w:customStyle="1" w:styleId="TGABlack20231">
    <w:name w:val="TGA Black 20231"/>
    <w:basedOn w:val="TableTGAblue2023"/>
    <w:uiPriority w:val="99"/>
    <w:rsid w:val="00E37D50"/>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ListBullets1">
    <w:name w:val="ListBullets1"/>
    <w:uiPriority w:val="99"/>
    <w:locked/>
    <w:rsid w:val="00E37D50"/>
  </w:style>
  <w:style w:type="numbering" w:customStyle="1" w:styleId="NumberBullet1">
    <w:name w:val="NumberBullet1"/>
    <w:uiPriority w:val="99"/>
    <w:locked/>
    <w:rsid w:val="00E37D50"/>
  </w:style>
  <w:style w:type="table" w:customStyle="1" w:styleId="TGABlack20232">
    <w:name w:val="TGA Black 20232"/>
    <w:basedOn w:val="TableTGAblue2023"/>
    <w:uiPriority w:val="99"/>
    <w:rsid w:val="00151B4C"/>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ListBullets2">
    <w:name w:val="ListBullets2"/>
    <w:uiPriority w:val="99"/>
    <w:locked/>
    <w:rsid w:val="00151B4C"/>
  </w:style>
  <w:style w:type="numbering" w:customStyle="1" w:styleId="NumberBullet20">
    <w:name w:val="NumberBullet2"/>
    <w:uiPriority w:val="99"/>
    <w:locked/>
    <w:rsid w:val="00151B4C"/>
  </w:style>
  <w:style w:type="table" w:customStyle="1" w:styleId="TGABlack202311">
    <w:name w:val="TGA Black 202311"/>
    <w:basedOn w:val="TableTGAblue2023"/>
    <w:uiPriority w:val="99"/>
    <w:rsid w:val="00151B4C"/>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NumberBullet30">
    <w:name w:val="NumberBullet3"/>
    <w:uiPriority w:val="99"/>
    <w:locked/>
    <w:rsid w:val="000706E3"/>
  </w:style>
  <w:style w:type="character" w:styleId="FollowedHyperlink">
    <w:name w:val="FollowedHyperlink"/>
    <w:basedOn w:val="DefaultParagraphFont"/>
    <w:uiPriority w:val="99"/>
    <w:semiHidden/>
    <w:unhideWhenUsed/>
    <w:rsid w:val="00290E87"/>
    <w:rPr>
      <w:color w:val="6E2B62" w:themeColor="followedHyperlink"/>
      <w:u w:val="single"/>
    </w:rPr>
  </w:style>
  <w:style w:type="table" w:customStyle="1" w:styleId="TableTGAblue20231">
    <w:name w:val="Table TGA blue 20231"/>
    <w:basedOn w:val="TableNormal"/>
    <w:uiPriority w:val="99"/>
    <w:qFormat/>
    <w:rsid w:val="00762005"/>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cPr>
    <w:tblStylePr w:type="firstRow">
      <w:pPr>
        <w:keepNext/>
        <w:wordWrap/>
      </w:pPr>
      <w:rPr>
        <w:rFonts w:ascii="Arial" w:hAnsi="Arial"/>
        <w:b/>
        <w:color w:val="263287"/>
        <w:sz w:val="22"/>
      </w:rPr>
      <w:tblPr/>
      <w:trPr>
        <w:tblHeader/>
      </w:trPr>
      <w:tcPr>
        <w:shd w:val="clear" w:color="auto" w:fill="DEEAF6"/>
      </w:tcPr>
    </w:tblStylePr>
    <w:tblStylePr w:type="firstCol">
      <w:pPr>
        <w:keepNext w:val="0"/>
        <w:wordWrap/>
      </w:pPr>
    </w:tblStylePr>
  </w:style>
  <w:style w:type="character" w:customStyle="1" w:styleId="ListParagraphChar">
    <w:name w:val="List Paragraph Char"/>
    <w:link w:val="ListParagraph"/>
    <w:uiPriority w:val="34"/>
    <w:locked/>
    <w:rsid w:val="00975645"/>
    <w:rPr>
      <w:rFonts w:eastAsia="Cambria" w:cs="Times New Roman"/>
      <w:szCs w:val="22"/>
      <w:lang w:eastAsia="en-AU"/>
    </w:rPr>
  </w:style>
  <w:style w:type="character" w:customStyle="1" w:styleId="ui-provider">
    <w:name w:val="ui-provider"/>
    <w:basedOn w:val="DefaultParagraphFont"/>
    <w:rsid w:val="00185B3B"/>
  </w:style>
  <w:style w:type="paragraph" w:styleId="Caption">
    <w:name w:val="caption"/>
    <w:basedOn w:val="Normal"/>
    <w:next w:val="Normal"/>
    <w:uiPriority w:val="35"/>
    <w:unhideWhenUsed/>
    <w:qFormat/>
    <w:rsid w:val="00DB5FA8"/>
    <w:pPr>
      <w:spacing w:after="200" w:line="240" w:lineRule="auto"/>
    </w:pPr>
    <w:rPr>
      <w:i/>
      <w:iCs/>
      <w:color w:val="002C47" w:themeColor="text2"/>
      <w:sz w:val="18"/>
      <w:szCs w:val="18"/>
    </w:rPr>
  </w:style>
  <w:style w:type="paragraph" w:styleId="EndnoteText">
    <w:name w:val="endnote text"/>
    <w:basedOn w:val="Normal"/>
    <w:link w:val="EndnoteTextChar"/>
    <w:uiPriority w:val="99"/>
    <w:semiHidden/>
    <w:unhideWhenUsed/>
    <w:rsid w:val="008E2272"/>
    <w:pPr>
      <w:spacing w:after="0" w:line="240" w:lineRule="auto"/>
    </w:pPr>
  </w:style>
  <w:style w:type="character" w:customStyle="1" w:styleId="EndnoteTextChar">
    <w:name w:val="Endnote Text Char"/>
    <w:basedOn w:val="DefaultParagraphFont"/>
    <w:link w:val="EndnoteText"/>
    <w:uiPriority w:val="99"/>
    <w:semiHidden/>
    <w:rsid w:val="008E2272"/>
  </w:style>
  <w:style w:type="character" w:styleId="EndnoteReference">
    <w:name w:val="endnote reference"/>
    <w:basedOn w:val="DefaultParagraphFont"/>
    <w:uiPriority w:val="99"/>
    <w:semiHidden/>
    <w:unhideWhenUsed/>
    <w:rsid w:val="008E2272"/>
    <w:rPr>
      <w:vertAlign w:val="superscript"/>
    </w:rPr>
  </w:style>
  <w:style w:type="paragraph" w:styleId="BalloonText">
    <w:name w:val="Balloon Text"/>
    <w:basedOn w:val="Normal"/>
    <w:link w:val="BalloonTextChar"/>
    <w:uiPriority w:val="99"/>
    <w:semiHidden/>
    <w:unhideWhenUsed/>
    <w:rsid w:val="0032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538"/>
    <w:rPr>
      <w:rFonts w:ascii="Segoe UI" w:hAnsi="Segoe UI" w:cs="Segoe UI"/>
      <w:sz w:val="18"/>
      <w:szCs w:val="18"/>
    </w:rPr>
  </w:style>
  <w:style w:type="paragraph" w:customStyle="1" w:styleId="tablet">
    <w:name w:val="table t"/>
    <w:basedOn w:val="Heading3"/>
    <w:link w:val="tabletChar"/>
    <w:qFormat/>
    <w:rsid w:val="001D4B8D"/>
  </w:style>
  <w:style w:type="character" w:customStyle="1" w:styleId="tabletChar">
    <w:name w:val="table t Char"/>
    <w:basedOn w:val="Heading3Char"/>
    <w:link w:val="tablet"/>
    <w:rsid w:val="001D4B8D"/>
    <w:rPr>
      <w:rFonts w:eastAsia="Times New Roman" w:cs="Times New Roman"/>
      <w:b/>
      <w:bCs/>
      <w:color w:val="001871"/>
      <w:sz w:val="32"/>
      <w:szCs w:val="32"/>
    </w:rPr>
  </w:style>
  <w:style w:type="character" w:styleId="Emphasis">
    <w:name w:val="Emphasis"/>
    <w:basedOn w:val="DefaultParagraphFont"/>
    <w:uiPriority w:val="20"/>
    <w:qFormat/>
    <w:rsid w:val="007E64BA"/>
    <w:rPr>
      <w:i/>
      <w:iCs/>
    </w:rPr>
  </w:style>
  <w:style w:type="paragraph" w:customStyle="1" w:styleId="Default">
    <w:name w:val="Default"/>
    <w:rsid w:val="000078AE"/>
    <w:pPr>
      <w:autoSpaceDE w:val="0"/>
      <w:autoSpaceDN w:val="0"/>
      <w:adjustRightInd w:val="0"/>
      <w:spacing w:after="0" w:line="240" w:lineRule="auto"/>
    </w:pPr>
    <w:rPr>
      <w:rFonts w:cs="Arial"/>
      <w:color w:val="000000"/>
      <w:sz w:val="24"/>
      <w:szCs w:val="24"/>
    </w:rPr>
  </w:style>
  <w:style w:type="paragraph" w:customStyle="1" w:styleId="Figure">
    <w:name w:val="Figure"/>
    <w:basedOn w:val="Normal"/>
    <w:uiPriority w:val="2"/>
    <w:qFormat/>
    <w:rsid w:val="004B6E0D"/>
    <w:pPr>
      <w:numPr>
        <w:numId w:val="27"/>
      </w:numPr>
      <w:spacing w:before="240" w:after="160" w:line="264" w:lineRule="auto"/>
    </w:pPr>
    <w:rPr>
      <w:rFonts w:asciiTheme="majorHAnsi" w:eastAsiaTheme="minorEastAsia" w:hAnsiTheme="majorHAnsi" w:cs="Segoe UI"/>
      <w:color w:val="002C47" w:themeColor="text2"/>
      <w:sz w:val="22"/>
      <w:szCs w:val="21"/>
    </w:rPr>
  </w:style>
  <w:style w:type="paragraph" w:customStyle="1" w:styleId="BOXHeading3">
    <w:name w:val="BOX Heading 3"/>
    <w:basedOn w:val="Normal"/>
    <w:next w:val="Normal"/>
    <w:uiPriority w:val="6"/>
    <w:qFormat/>
    <w:rsid w:val="004B6E0D"/>
    <w:pPr>
      <w:keepNext/>
      <w:keepLines/>
      <w:pBdr>
        <w:top w:val="single" w:sz="48" w:space="1" w:color="E0E8F2"/>
        <w:left w:val="single" w:sz="48" w:space="4" w:color="E0E8F2"/>
        <w:bottom w:val="single" w:sz="48" w:space="1" w:color="E0E8F2"/>
        <w:right w:val="single" w:sz="48" w:space="4" w:color="E0E8F2"/>
      </w:pBdr>
      <w:shd w:val="clear" w:color="auto" w:fill="E0E8F2"/>
      <w:spacing w:before="240" w:after="160" w:line="240" w:lineRule="auto"/>
      <w:ind w:left="227" w:right="227"/>
      <w:outlineLvl w:val="2"/>
    </w:pPr>
    <w:rPr>
      <w:rFonts w:asciiTheme="majorHAnsi" w:eastAsiaTheme="majorEastAsia" w:hAnsiTheme="majorHAnsi" w:cstheme="minorHAnsi"/>
      <w:color w:val="0047BB" w:themeColor="accent1"/>
      <w:sz w:val="24"/>
      <w:szCs w:val="26"/>
    </w:rPr>
  </w:style>
  <w:style w:type="character" w:customStyle="1" w:styleId="cf11">
    <w:name w:val="cf11"/>
    <w:basedOn w:val="DefaultParagraphFont"/>
    <w:rsid w:val="00F47305"/>
    <w:rPr>
      <w:rFonts w:ascii="Segoe UI" w:hAnsi="Segoe UI" w:cs="Segoe UI" w:hint="default"/>
      <w:sz w:val="18"/>
      <w:szCs w:val="18"/>
    </w:rPr>
  </w:style>
  <w:style w:type="paragraph" w:styleId="NormalWeb">
    <w:name w:val="Normal (Web)"/>
    <w:basedOn w:val="Normal"/>
    <w:uiPriority w:val="99"/>
    <w:semiHidden/>
    <w:unhideWhenUsed/>
    <w:rsid w:val="0073216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29509">
      <w:bodyDiv w:val="1"/>
      <w:marLeft w:val="0"/>
      <w:marRight w:val="0"/>
      <w:marTop w:val="0"/>
      <w:marBottom w:val="0"/>
      <w:divBdr>
        <w:top w:val="none" w:sz="0" w:space="0" w:color="auto"/>
        <w:left w:val="none" w:sz="0" w:space="0" w:color="auto"/>
        <w:bottom w:val="none" w:sz="0" w:space="0" w:color="auto"/>
        <w:right w:val="none" w:sz="0" w:space="0" w:color="auto"/>
      </w:divBdr>
    </w:div>
    <w:div w:id="178861011">
      <w:bodyDiv w:val="1"/>
      <w:marLeft w:val="0"/>
      <w:marRight w:val="0"/>
      <w:marTop w:val="0"/>
      <w:marBottom w:val="0"/>
      <w:divBdr>
        <w:top w:val="none" w:sz="0" w:space="0" w:color="auto"/>
        <w:left w:val="none" w:sz="0" w:space="0" w:color="auto"/>
        <w:bottom w:val="none" w:sz="0" w:space="0" w:color="auto"/>
        <w:right w:val="none" w:sz="0" w:space="0" w:color="auto"/>
      </w:divBdr>
    </w:div>
    <w:div w:id="201092552">
      <w:bodyDiv w:val="1"/>
      <w:marLeft w:val="0"/>
      <w:marRight w:val="0"/>
      <w:marTop w:val="0"/>
      <w:marBottom w:val="0"/>
      <w:divBdr>
        <w:top w:val="none" w:sz="0" w:space="0" w:color="auto"/>
        <w:left w:val="none" w:sz="0" w:space="0" w:color="auto"/>
        <w:bottom w:val="none" w:sz="0" w:space="0" w:color="auto"/>
        <w:right w:val="none" w:sz="0" w:space="0" w:color="auto"/>
      </w:divBdr>
    </w:div>
    <w:div w:id="225528183">
      <w:bodyDiv w:val="1"/>
      <w:marLeft w:val="0"/>
      <w:marRight w:val="0"/>
      <w:marTop w:val="0"/>
      <w:marBottom w:val="0"/>
      <w:divBdr>
        <w:top w:val="none" w:sz="0" w:space="0" w:color="auto"/>
        <w:left w:val="none" w:sz="0" w:space="0" w:color="auto"/>
        <w:bottom w:val="none" w:sz="0" w:space="0" w:color="auto"/>
        <w:right w:val="none" w:sz="0" w:space="0" w:color="auto"/>
      </w:divBdr>
    </w:div>
    <w:div w:id="253978059">
      <w:bodyDiv w:val="1"/>
      <w:marLeft w:val="0"/>
      <w:marRight w:val="0"/>
      <w:marTop w:val="0"/>
      <w:marBottom w:val="0"/>
      <w:divBdr>
        <w:top w:val="none" w:sz="0" w:space="0" w:color="auto"/>
        <w:left w:val="none" w:sz="0" w:space="0" w:color="auto"/>
        <w:bottom w:val="none" w:sz="0" w:space="0" w:color="auto"/>
        <w:right w:val="none" w:sz="0" w:space="0" w:color="auto"/>
      </w:divBdr>
    </w:div>
    <w:div w:id="266043374">
      <w:bodyDiv w:val="1"/>
      <w:marLeft w:val="0"/>
      <w:marRight w:val="0"/>
      <w:marTop w:val="0"/>
      <w:marBottom w:val="0"/>
      <w:divBdr>
        <w:top w:val="none" w:sz="0" w:space="0" w:color="auto"/>
        <w:left w:val="none" w:sz="0" w:space="0" w:color="auto"/>
        <w:bottom w:val="none" w:sz="0" w:space="0" w:color="auto"/>
        <w:right w:val="none" w:sz="0" w:space="0" w:color="auto"/>
      </w:divBdr>
    </w:div>
    <w:div w:id="290477895">
      <w:bodyDiv w:val="1"/>
      <w:marLeft w:val="0"/>
      <w:marRight w:val="0"/>
      <w:marTop w:val="0"/>
      <w:marBottom w:val="0"/>
      <w:divBdr>
        <w:top w:val="none" w:sz="0" w:space="0" w:color="auto"/>
        <w:left w:val="none" w:sz="0" w:space="0" w:color="auto"/>
        <w:bottom w:val="none" w:sz="0" w:space="0" w:color="auto"/>
        <w:right w:val="none" w:sz="0" w:space="0" w:color="auto"/>
      </w:divBdr>
    </w:div>
    <w:div w:id="569191558">
      <w:bodyDiv w:val="1"/>
      <w:marLeft w:val="0"/>
      <w:marRight w:val="0"/>
      <w:marTop w:val="0"/>
      <w:marBottom w:val="0"/>
      <w:divBdr>
        <w:top w:val="none" w:sz="0" w:space="0" w:color="auto"/>
        <w:left w:val="none" w:sz="0" w:space="0" w:color="auto"/>
        <w:bottom w:val="none" w:sz="0" w:space="0" w:color="auto"/>
        <w:right w:val="none" w:sz="0" w:space="0" w:color="auto"/>
      </w:divBdr>
    </w:div>
    <w:div w:id="612130199">
      <w:bodyDiv w:val="1"/>
      <w:marLeft w:val="0"/>
      <w:marRight w:val="0"/>
      <w:marTop w:val="0"/>
      <w:marBottom w:val="0"/>
      <w:divBdr>
        <w:top w:val="none" w:sz="0" w:space="0" w:color="auto"/>
        <w:left w:val="none" w:sz="0" w:space="0" w:color="auto"/>
        <w:bottom w:val="none" w:sz="0" w:space="0" w:color="auto"/>
        <w:right w:val="none" w:sz="0" w:space="0" w:color="auto"/>
      </w:divBdr>
    </w:div>
    <w:div w:id="790242985">
      <w:bodyDiv w:val="1"/>
      <w:marLeft w:val="0"/>
      <w:marRight w:val="0"/>
      <w:marTop w:val="0"/>
      <w:marBottom w:val="0"/>
      <w:divBdr>
        <w:top w:val="none" w:sz="0" w:space="0" w:color="auto"/>
        <w:left w:val="none" w:sz="0" w:space="0" w:color="auto"/>
        <w:bottom w:val="none" w:sz="0" w:space="0" w:color="auto"/>
        <w:right w:val="none" w:sz="0" w:space="0" w:color="auto"/>
      </w:divBdr>
    </w:div>
    <w:div w:id="1105879770">
      <w:bodyDiv w:val="1"/>
      <w:marLeft w:val="0"/>
      <w:marRight w:val="0"/>
      <w:marTop w:val="0"/>
      <w:marBottom w:val="0"/>
      <w:divBdr>
        <w:top w:val="none" w:sz="0" w:space="0" w:color="auto"/>
        <w:left w:val="none" w:sz="0" w:space="0" w:color="auto"/>
        <w:bottom w:val="none" w:sz="0" w:space="0" w:color="auto"/>
        <w:right w:val="none" w:sz="0" w:space="0" w:color="auto"/>
      </w:divBdr>
    </w:div>
    <w:div w:id="1222711775">
      <w:bodyDiv w:val="1"/>
      <w:marLeft w:val="0"/>
      <w:marRight w:val="0"/>
      <w:marTop w:val="0"/>
      <w:marBottom w:val="0"/>
      <w:divBdr>
        <w:top w:val="none" w:sz="0" w:space="0" w:color="auto"/>
        <w:left w:val="none" w:sz="0" w:space="0" w:color="auto"/>
        <w:bottom w:val="none" w:sz="0" w:space="0" w:color="auto"/>
        <w:right w:val="none" w:sz="0" w:space="0" w:color="auto"/>
      </w:divBdr>
    </w:div>
    <w:div w:id="1339503166">
      <w:bodyDiv w:val="1"/>
      <w:marLeft w:val="0"/>
      <w:marRight w:val="0"/>
      <w:marTop w:val="0"/>
      <w:marBottom w:val="0"/>
      <w:divBdr>
        <w:top w:val="none" w:sz="0" w:space="0" w:color="auto"/>
        <w:left w:val="none" w:sz="0" w:space="0" w:color="auto"/>
        <w:bottom w:val="none" w:sz="0" w:space="0" w:color="auto"/>
        <w:right w:val="none" w:sz="0" w:space="0" w:color="auto"/>
      </w:divBdr>
    </w:div>
    <w:div w:id="1433866441">
      <w:bodyDiv w:val="1"/>
      <w:marLeft w:val="0"/>
      <w:marRight w:val="0"/>
      <w:marTop w:val="0"/>
      <w:marBottom w:val="0"/>
      <w:divBdr>
        <w:top w:val="none" w:sz="0" w:space="0" w:color="auto"/>
        <w:left w:val="none" w:sz="0" w:space="0" w:color="auto"/>
        <w:bottom w:val="none" w:sz="0" w:space="0" w:color="auto"/>
        <w:right w:val="none" w:sz="0" w:space="0" w:color="auto"/>
      </w:divBdr>
    </w:div>
    <w:div w:id="1729495788">
      <w:bodyDiv w:val="1"/>
      <w:marLeft w:val="0"/>
      <w:marRight w:val="0"/>
      <w:marTop w:val="0"/>
      <w:marBottom w:val="0"/>
      <w:divBdr>
        <w:top w:val="none" w:sz="0" w:space="0" w:color="auto"/>
        <w:left w:val="none" w:sz="0" w:space="0" w:color="auto"/>
        <w:bottom w:val="none" w:sz="0" w:space="0" w:color="auto"/>
        <w:right w:val="none" w:sz="0" w:space="0" w:color="auto"/>
      </w:divBdr>
    </w:div>
    <w:div w:id="1836409689">
      <w:bodyDiv w:val="1"/>
      <w:marLeft w:val="0"/>
      <w:marRight w:val="0"/>
      <w:marTop w:val="0"/>
      <w:marBottom w:val="0"/>
      <w:divBdr>
        <w:top w:val="none" w:sz="0" w:space="0" w:color="auto"/>
        <w:left w:val="none" w:sz="0" w:space="0" w:color="auto"/>
        <w:bottom w:val="none" w:sz="0" w:space="0" w:color="auto"/>
        <w:right w:val="none" w:sz="0" w:space="0" w:color="auto"/>
      </w:divBdr>
    </w:div>
    <w:div w:id="19220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doi.org/10.1200/JCO.2010.28.7078" TargetMode="External"/><Relationship Id="rId21" Type="http://schemas.openxmlformats.org/officeDocument/2006/relationships/hyperlink" Target="https://www.tga.gov.au/resources/resource/guidance/australian-regulatory-guidelines-sunscreens-args" TargetMode="External"/><Relationship Id="rId42" Type="http://schemas.openxmlformats.org/officeDocument/2006/relationships/image" Target="media/image12.png"/><Relationship Id="rId47" Type="http://schemas.openxmlformats.org/officeDocument/2006/relationships/hyperlink" Target="https://www.tga.gov.au/resources/consultation/consultation-proposed-exposure-model-assessing-safety-sunscreen-ingredients-australia" TargetMode="External"/><Relationship Id="rId63" Type="http://schemas.openxmlformats.org/officeDocument/2006/relationships/hyperlink" Target="https://www.tga.gov.au/resources/consultation/consultation-proposed-exposure-model-assessing-safety-sunscreen-ingredients-australia" TargetMode="External"/><Relationship Id="rId68" Type="http://schemas.openxmlformats.org/officeDocument/2006/relationships/hyperlink" Target="https://www.legislation.gov.au/Details/C2023C00076" TargetMode="External"/><Relationship Id="rId84" Type="http://schemas.openxmlformats.org/officeDocument/2006/relationships/hyperlink" Target="http://www.bom.gov.au/state-of-the-climate/" TargetMode="External"/><Relationship Id="rId89" Type="http://schemas.openxmlformats.org/officeDocument/2006/relationships/hyperlink" Target="https://www.cancer.org.au/cancer-information/causes-and-prevention/sun-safety/campaigns-and-events/slip-slop-slap-seek-slide" TargetMode="External"/><Relationship Id="rId112" Type="http://schemas.openxmlformats.org/officeDocument/2006/relationships/hyperlink" Target="https://doi.org/10.1016/j.fct.2017.02.024" TargetMode="External"/><Relationship Id="rId133" Type="http://schemas.openxmlformats.org/officeDocument/2006/relationships/hyperlink" Target="https://www.safeworkaustralia.gov.au/system/files/documents/2001/guide-exposure-solar-ultraviolet-radiation_1.pdf" TargetMode="External"/><Relationship Id="rId138" Type="http://schemas.openxmlformats.org/officeDocument/2006/relationships/hyperlink" Target="https://health.ec.europa.eu/latest-updates/sccs-notes-guidance-testing-cosmetic-ingredients-and-their-safety-evaluation-12th-revision-2023-05-16_en" TargetMode="External"/><Relationship Id="rId154" Type="http://schemas.openxmlformats.org/officeDocument/2006/relationships/footer" Target="footer4.xml"/><Relationship Id="rId16" Type="http://schemas.openxmlformats.org/officeDocument/2006/relationships/hyperlink" Target="https://www.legislation.gov.au/F1996B00406/latest/text" TargetMode="External"/><Relationship Id="rId107" Type="http://schemas.openxmlformats.org/officeDocument/2006/relationships/hyperlink" Target="https://eur-lex.europa.eu/legal-content/EN/TXT/?uri=CELEX%3A32006H0647" TargetMode="External"/><Relationship Id="rId11" Type="http://schemas.openxmlformats.org/officeDocument/2006/relationships/hyperlink" Target="https://www.legislation.gov.au/C2004A03952/latest/text" TargetMode="Externa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hyperlink" Target="https://www.tga.gov.au/sites/default/files/2023-02/application-requirements-for-new-substances-in-listed-medicines.pdf" TargetMode="External"/><Relationship Id="rId58" Type="http://schemas.openxmlformats.org/officeDocument/2006/relationships/hyperlink" Target="https://www.tga.gov.au/how-we-regulate/supply-therapeutic-good/supply-non-prescription-medicine/non-prescription-medicine-requirements-and-standards/safety-and-quality-non-prescription-medicines/list-comparable-overseas-bodies-cobs" TargetMode="External"/><Relationship Id="rId74" Type="http://schemas.openxmlformats.org/officeDocument/2006/relationships/hyperlink" Target="https://www.startingblocks.gov.au/resources/parenting-and-home/your-childs-development/your-childs-development-1-to-2-years" TargetMode="External"/><Relationship Id="rId79" Type="http://schemas.openxmlformats.org/officeDocument/2006/relationships/hyperlink" Target="https://doi.org/10.1080/08964289909596736" TargetMode="External"/><Relationship Id="rId102" Type="http://schemas.openxmlformats.org/officeDocument/2006/relationships/hyperlink" Target="https://cancerqld.org.au/content/resources/library/correct%20Sunscreen%20Application.pdf" TargetMode="External"/><Relationship Id="rId123" Type="http://schemas.openxmlformats.org/officeDocument/2006/relationships/hyperlink" Target="https://melanoma.org.au/about-melanoma/how-to-prevent-melanoma/sunscreen-faqs/" TargetMode="External"/><Relationship Id="rId128" Type="http://schemas.openxmlformats.org/officeDocument/2006/relationships/hyperlink" Target="https://www.choreport.health.qld.gov.au/our-lifestyle/sun-safety" TargetMode="External"/><Relationship Id="rId144" Type="http://schemas.openxmlformats.org/officeDocument/2006/relationships/hyperlink" Target="https://www.sunsmart.com.au/protect-your-skin" TargetMode="External"/><Relationship Id="rId149" Type="http://schemas.openxmlformats.org/officeDocument/2006/relationships/hyperlink" Target="https://www.cancer.org.au/about-us/policy-and-advocacy/prevention-policy/national-cancer-prevention-policy/skin-cancer-statistics-and-issues/trends-in-sun-protection-behaviours" TargetMode="External"/><Relationship Id="rId5" Type="http://schemas.openxmlformats.org/officeDocument/2006/relationships/footnotes" Target="footnotes.xml"/><Relationship Id="rId90" Type="http://schemas.openxmlformats.org/officeDocument/2006/relationships/hyperlink" Target="https://www.cancer.org.au/cancer-information/causes-and-prevention/sun-safety/be-sunsmart" TargetMode="External"/><Relationship Id="rId95" Type="http://schemas.openxmlformats.org/officeDocument/2006/relationships/hyperlink" Target="https://www.cancer.org.au/cancer-information/causes-and-prevention/sun-safety/about-sunscreen" TargetMode="External"/><Relationship Id="rId22" Type="http://schemas.openxmlformats.org/officeDocument/2006/relationships/hyperlink" Target="https://www.tga.gov.au/about-tga/legislation/legislation-and-legislative-instruments/therapeutic-goods-determinations" TargetMode="External"/><Relationship Id="rId27" Type="http://schemas.openxmlformats.org/officeDocument/2006/relationships/image" Target="media/image4.jpeg"/><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image" Target="media/image17.png"/><Relationship Id="rId69" Type="http://schemas.openxmlformats.org/officeDocument/2006/relationships/hyperlink" Target="https://www.legislation.gov.au/Series/F1996B00406" TargetMode="External"/><Relationship Id="rId113" Type="http://schemas.openxmlformats.org/officeDocument/2006/relationships/hyperlink" Target="https://doi.org/10.1016/j.fct.2018.02.035" TargetMode="External"/><Relationship Id="rId118" Type="http://schemas.openxmlformats.org/officeDocument/2006/relationships/hyperlink" Target="https://doi.org/10.1093/her/cyaa005" TargetMode="External"/><Relationship Id="rId134" Type="http://schemas.openxmlformats.org/officeDocument/2006/relationships/hyperlink" Target="https://www.safeworkaustralia.gov.au/system/files/documents/2001/guide-exposure-solar-ultraviolet-radiation_1.pdf" TargetMode="External"/><Relationship Id="rId139" Type="http://schemas.openxmlformats.org/officeDocument/2006/relationships/hyperlink" Target="https://health.ec.europa.eu/latest-updates/sccs-notes-guidance-testing-cosmetic-ingredients-and-their-safety-evaluation-12th-revision-2023-05-16_en" TargetMode="External"/><Relationship Id="rId80" Type="http://schemas.openxmlformats.org/officeDocument/2006/relationships/hyperlink" Target="https://doi.org/10.1111/j.1751-1097.2010.00816.x" TargetMode="External"/><Relationship Id="rId85" Type="http://schemas.openxmlformats.org/officeDocument/2006/relationships/hyperlink" Target="http://www.bom.gov.au/climate/maps/averages/temperature/?maptype=mxt&amp;period=an&amp;region=aus" TargetMode="External"/><Relationship Id="rId150" Type="http://schemas.openxmlformats.org/officeDocument/2006/relationships/hyperlink" Target="https://doi.org/10.1111/1753-6405.12873" TargetMode="External"/><Relationship Id="rId155" Type="http://schemas.openxmlformats.org/officeDocument/2006/relationships/fontTable" Target="fontTable.xml"/><Relationship Id="rId12" Type="http://schemas.openxmlformats.org/officeDocument/2006/relationships/hyperlink" Target="https://www.legislation.gov.au/F2018L01350/latest/text" TargetMode="External"/><Relationship Id="rId17" Type="http://schemas.openxmlformats.org/officeDocument/2006/relationships/hyperlink" Target="https://www.legislation.gov.au/F1996B00406/latest/text" TargetMode="External"/><Relationship Id="rId25" Type="http://schemas.openxmlformats.org/officeDocument/2006/relationships/image" Target="media/image2.png"/><Relationship Id="rId33" Type="http://schemas.openxmlformats.org/officeDocument/2006/relationships/header" Target="header2.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yperlink" Target="https://www.tga.gov.au/resources/guidance/understanding-application-requirements-new-substance-listed-medicines" TargetMode="External"/><Relationship Id="rId67" Type="http://schemas.openxmlformats.org/officeDocument/2006/relationships/hyperlink" Target="https://store.standards.org.au/product/as-nzs-2604-2021" TargetMode="External"/><Relationship Id="rId103" Type="http://schemas.openxmlformats.org/officeDocument/2006/relationships/hyperlink" Target="https://www.health.gov.au/resources/publications/enhealth-guidance-australian-exposure-factor-guide?language=en" TargetMode="External"/><Relationship Id="rId108" Type="http://schemas.openxmlformats.org/officeDocument/2006/relationships/hyperlink" Target="https://eur-lex.europa.eu/legal-content/EN/TXT/?uri=CELEX%3A32006H0647" TargetMode="External"/><Relationship Id="rId116" Type="http://schemas.openxmlformats.org/officeDocument/2006/relationships/hyperlink" Target="https://doi.org/10.1038/jid.2009.141" TargetMode="External"/><Relationship Id="rId124" Type="http://schemas.openxmlformats.org/officeDocument/2006/relationships/hyperlink" Target="https://doi.org/10.3390/curroncol30010033" TargetMode="External"/><Relationship Id="rId129" Type="http://schemas.openxmlformats.org/officeDocument/2006/relationships/hyperlink" Target="https://www.choreport.health.qld.gov.au/our-lifestyle/sun-safety" TargetMode="External"/><Relationship Id="rId137" Type="http://schemas.openxmlformats.org/officeDocument/2006/relationships/hyperlink" Target="https://health.ec.europa.eu/document/download/89af1a70-a2b1-44da-a868-e7d80a8e736c_en?filename=sccs_o_250.pdf" TargetMode="External"/><Relationship Id="rId20" Type="http://schemas.openxmlformats.org/officeDocument/2006/relationships/hyperlink" Target="https://www.tga.gov.au/resources/resource/guidance/australian-regulatory-guidelines-sunscreens-args" TargetMode="External"/><Relationship Id="rId41" Type="http://schemas.openxmlformats.org/officeDocument/2006/relationships/image" Target="media/image11.png"/><Relationship Id="rId54" Type="http://schemas.openxmlformats.org/officeDocument/2006/relationships/hyperlink" Target="https://www.tga.gov.au/how-we-regulate/supply-therapeutic-good/supply-non-prescription-medicine/non-prescription-medicine-requirements-and-standards/safety-and-quality-non-prescription-medicines/list-comparable-overseas-bodies-cobs" TargetMode="External"/><Relationship Id="rId62" Type="http://schemas.openxmlformats.org/officeDocument/2006/relationships/hyperlink" Target="https://www.abs.gov.au/statistics/health/health-conditions-and-risks/sun-protection-behaviours/nov-2023-feb-2024" TargetMode="External"/><Relationship Id="rId70" Type="http://schemas.openxmlformats.org/officeDocument/2006/relationships/hyperlink" Target="https://www.dermcoll.edu.au/wp-content/uploads/Sunscreen-is-not-a-suit-of-armour-12-January-2017.pdf" TargetMode="External"/><Relationship Id="rId75" Type="http://schemas.openxmlformats.org/officeDocument/2006/relationships/hyperlink" Target="https://www.arpansa.gov.au/our-services/monitoring/ultraviolet-radiation-monitoring/uv-index-model" TargetMode="External"/><Relationship Id="rId83" Type="http://schemas.openxmlformats.org/officeDocument/2006/relationships/hyperlink" Target="http://www.bom.gov.au/climate/current/annual/aus" TargetMode="External"/><Relationship Id="rId88" Type="http://schemas.openxmlformats.org/officeDocument/2006/relationships/hyperlink" Target="https://www.cancer.org.au/cancer-information/causes-and-prevention/sun-safety/campaigns-and-events/slip-slop-slap-seek-slide" TargetMode="External"/><Relationship Id="rId91" Type="http://schemas.openxmlformats.org/officeDocument/2006/relationships/hyperlink" Target="https://www.cancer.org.au/media-releases/2017/almost-half-of-australians-confused-about-sunscreen" TargetMode="External"/><Relationship Id="rId96" Type="http://schemas.openxmlformats.org/officeDocument/2006/relationships/hyperlink" Target="https://www.cancer.org.au/about-us/policy-and-advocacy/prevention-policy/national-cancer-prevention-policy/uv/related-resources/sun-protection-babies" TargetMode="External"/><Relationship Id="rId111" Type="http://schemas.openxmlformats.org/officeDocument/2006/relationships/hyperlink" Target="https://doi.org/10.2105/ajph.84.1.77" TargetMode="External"/><Relationship Id="rId132" Type="http://schemas.openxmlformats.org/officeDocument/2006/relationships/hyperlink" Target="https://doi.org/10.1080/02652039809374612" TargetMode="External"/><Relationship Id="rId140" Type="http://schemas.openxmlformats.org/officeDocument/2006/relationships/hyperlink" Target="https://ec.europa.eu/health/archive/ph_risk/committees/sccp/documents/out152_en.pdf" TargetMode="External"/><Relationship Id="rId145" Type="http://schemas.openxmlformats.org/officeDocument/2006/relationships/hyperlink" Target="https://sls.com.au/wp-content/uploads/2015/10/sun-safety-july2006.pdf" TargetMode="External"/><Relationship Id="rId153"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dustrialchemicals.gov.au/cosmetics-and-soap/cosmetics-sunscreen" TargetMode="External"/><Relationship Id="rId23" Type="http://schemas.openxmlformats.org/officeDocument/2006/relationships/hyperlink" Target="https://www.tga.gov.au/sites/default/files/2023-02/application-requirements-for-new-substances-in-listed-medicines.pdf" TargetMode="External"/><Relationship Id="rId28" Type="http://schemas.openxmlformats.org/officeDocument/2006/relationships/hyperlink" Target="https://www.tga.gov.au/updates-sunscreen" TargetMode="External"/><Relationship Id="rId36" Type="http://schemas.openxmlformats.org/officeDocument/2006/relationships/header" Target="header3.xml"/><Relationship Id="rId49" Type="http://schemas.openxmlformats.org/officeDocument/2006/relationships/hyperlink" Target="https://consultations.tga.gov.au/tga/proposed-model-for-assessing-sunscreen-ingredients/user_uploads/australian-sunscreen-exposure-model---tga-public-consultation-paper---2-july-2024.pdf" TargetMode="External"/><Relationship Id="rId57" Type="http://schemas.openxmlformats.org/officeDocument/2006/relationships/hyperlink" Target="https://www.tga.gov.au/sites/default/files/2023-02/application-requirements-for-new-substances-in-listed-medicines.pdf" TargetMode="External"/><Relationship Id="rId106" Type="http://schemas.openxmlformats.org/officeDocument/2006/relationships/hyperlink" Target="https://doi.org/10.1001/archdermatol.2011.2586" TargetMode="External"/><Relationship Id="rId114" Type="http://schemas.openxmlformats.org/officeDocument/2006/relationships/hyperlink" Target="https://doi.org/10.1136/bmjopen-2019-034388" TargetMode="External"/><Relationship Id="rId119" Type="http://schemas.openxmlformats.org/officeDocument/2006/relationships/hyperlink" Target="https://www.ncbi.nlm.nih.gov/books/NBK401588/" TargetMode="External"/><Relationship Id="rId127" Type="http://schemas.openxmlformats.org/officeDocument/2006/relationships/hyperlink" Target="https://doi.org/10.1111/j.1467-842x.2003.tb00826.x" TargetMode="External"/><Relationship Id="rId10" Type="http://schemas.openxmlformats.org/officeDocument/2006/relationships/hyperlink" Target="https://www.tga.gov.au/resources/consultation/consultation-proposed-exposure-model-assessing-safety-sunscreen-ingredients-australia" TargetMode="External"/><Relationship Id="rId31" Type="http://schemas.openxmlformats.org/officeDocument/2006/relationships/hyperlink" Target="https://www.tga.gov.au/resources/consultation/consultation-proposed-exposure-model-assessing-safety-sunscreen-ingredients-australia" TargetMode="External"/><Relationship Id="rId44" Type="http://schemas.openxmlformats.org/officeDocument/2006/relationships/image" Target="media/image14.png"/><Relationship Id="rId52" Type="http://schemas.openxmlformats.org/officeDocument/2006/relationships/hyperlink" Target="https://www.tga.gov.au/sites/default/files/2022-11/guidance-using-evaluation-reports-comparable-overseas-bodies.pdf" TargetMode="External"/><Relationship Id="rId60" Type="http://schemas.openxmlformats.org/officeDocument/2006/relationships/hyperlink" Target="https://www.tga.gov.au/resources/consultation/consultation-2023-2024-proposed-changes-permissible-ingredients-determination-low-negligible-risk" TargetMode="External"/><Relationship Id="rId65" Type="http://schemas.openxmlformats.org/officeDocument/2006/relationships/hyperlink" Target="https://www.legislation.gov.au/F2018L01350/latest/text" TargetMode="External"/><Relationship Id="rId73" Type="http://schemas.openxmlformats.org/officeDocument/2006/relationships/hyperlink" Target="https://www.startingblocks.gov.au/resources/parenting-and-home/your-childs-development/your-childs-development-1-to-2-years" TargetMode="External"/><Relationship Id="rId78" Type="http://schemas.openxmlformats.org/officeDocument/2006/relationships/hyperlink" Target="https://www.assc.org.au/wp-content/uploads/2023/01/Sun-Exposure-Summit-PositionStatement_V1.9.pdf" TargetMode="External"/><Relationship Id="rId81" Type="http://schemas.openxmlformats.org/officeDocument/2006/relationships/hyperlink" Target="https://doi.org/10.1016/j.fct.2012.11.014" TargetMode="External"/><Relationship Id="rId86" Type="http://schemas.openxmlformats.org/officeDocument/2006/relationships/hyperlink" Target="http://www.bom.gov.au/climate/data/index.shtml" TargetMode="External"/><Relationship Id="rId94" Type="http://schemas.openxmlformats.org/officeDocument/2006/relationships/hyperlink" Target="https://www.cancer.org.au/assets/pdf/australian-men-urged-to-reduce-their-risk-of-skin-cancer-with-new-research-showing-they-are-less-likely-than-women-to-use-sun-protection" TargetMode="External"/><Relationship Id="rId99" Type="http://schemas.openxmlformats.org/officeDocument/2006/relationships/hyperlink" Target="https://www.cancer.org.au/cancer-information/causes-and-prevention/sun-safety/10-myths-about-sun-protection" TargetMode="External"/><Relationship Id="rId101" Type="http://schemas.openxmlformats.org/officeDocument/2006/relationships/hyperlink" Target="https://cancerqld.org.au/content/resources/library/correct%20Sunscreen%20Application.pdf" TargetMode="External"/><Relationship Id="rId122" Type="http://schemas.openxmlformats.org/officeDocument/2006/relationships/hyperlink" Target="https://gco.iarc.fr/today/en/dataviz/maps-heatmap?mode=population&amp;cancers=17&amp;sexes=0" TargetMode="External"/><Relationship Id="rId130" Type="http://schemas.openxmlformats.org/officeDocument/2006/relationships/hyperlink" Target="https://www.health.qld.gov.au/research-reports/population-health/preventive-health-surveys/detailed-data" TargetMode="External"/><Relationship Id="rId135" Type="http://schemas.openxmlformats.org/officeDocument/2006/relationships/hyperlink" Target="https://doi.org/10.1111/j.1600-0781.2009.00408.x" TargetMode="External"/><Relationship Id="rId143" Type="http://schemas.openxmlformats.org/officeDocument/2006/relationships/hyperlink" Target="https://doi.org/10.1111/j.1600-0781.1997.tb00227.x" TargetMode="External"/><Relationship Id="rId148" Type="http://schemas.openxmlformats.org/officeDocument/2006/relationships/hyperlink" Target="https://www.cancer.org.au/about-us/policy-and-advocacy/prevention-policy/national-cancer-prevention-policy/skin-cancer-statistics-and-issues/trends-in-sun-protection-behaviours" TargetMode="External"/><Relationship Id="rId151" Type="http://schemas.openxmlformats.org/officeDocument/2006/relationships/hyperlink" Target="https://www.who.int/data/gho/data/indicators/indicator-details/GHO/uv-radiation"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sultations.tga.gov.au/medicines-regulation-division/low-neg-risk-2023-2024/user_uploads/cmes---low-negligible-risk-annual-consultation---2023-2024---final-decisions-document.pdf" TargetMode="External"/><Relationship Id="rId13" Type="http://schemas.openxmlformats.org/officeDocument/2006/relationships/hyperlink" Target="https://www.legislation.gov.au/F2018L01350/latest/text" TargetMode="External"/><Relationship Id="rId18" Type="http://schemas.openxmlformats.org/officeDocument/2006/relationships/hyperlink" Target="https://www.tga.gov.au/how-we-regulate/manufacturing/manufacture-medicine/good-manufacturing-practice-gmp" TargetMode="External"/><Relationship Id="rId39" Type="http://schemas.openxmlformats.org/officeDocument/2006/relationships/image" Target="media/image9.png"/><Relationship Id="rId109" Type="http://schemas.openxmlformats.org/officeDocument/2006/relationships/hyperlink" Target="https://doi.org/10.1111/j.1365-2133.2006.07684.x" TargetMode="External"/><Relationship Id="rId34" Type="http://schemas.openxmlformats.org/officeDocument/2006/relationships/footer" Target="footer1.xml"/><Relationship Id="rId50" Type="http://schemas.openxmlformats.org/officeDocument/2006/relationships/hyperlink" Target="https://consultations.tga.gov.au/tga/proposed-model-for-assessing-sunscreen-ingredients/user_uploads/australian-sunscreen-exposure-model---tga-public-consultation-paper---2-july-2024.pdf" TargetMode="External"/><Relationship Id="rId55" Type="http://schemas.openxmlformats.org/officeDocument/2006/relationships/hyperlink" Target="https://www.tga.gov.au/sites/default/files/2022-11/guidance-using-evaluation-reports-comparable-overseas-bodies.pdf" TargetMode="External"/><Relationship Id="rId76" Type="http://schemas.openxmlformats.org/officeDocument/2006/relationships/hyperlink" Target="https://www.arpansa.gov.au/our-services/monitoring/ultraviolet-radiation-monitoring/uv-index-model" TargetMode="External"/><Relationship Id="rId97" Type="http://schemas.openxmlformats.org/officeDocument/2006/relationships/hyperlink" Target="https://www.cancer.org.au/about-us/policy-and-advocacy/prevention-policy/national-cancer-prevention-policy/uv/related-resources/sun-protection-babies" TargetMode="External"/><Relationship Id="rId104" Type="http://schemas.openxmlformats.org/officeDocument/2006/relationships/hyperlink" Target="https://www.health.gov.au/resources/publications/enhealth-guidance-australian-exposure-factor-guide?language=en" TargetMode="External"/><Relationship Id="rId120" Type="http://schemas.openxmlformats.org/officeDocument/2006/relationships/hyperlink" Target="https://gco.iarc.fr/today/en/about" TargetMode="External"/><Relationship Id="rId125" Type="http://schemas.openxmlformats.org/officeDocument/2006/relationships/hyperlink" Target="https://doi.org/10.1001/archderm.138.10.1319" TargetMode="External"/><Relationship Id="rId141" Type="http://schemas.openxmlformats.org/officeDocument/2006/relationships/hyperlink" Target="https://doi.org/10.1093/heapro/dah310" TargetMode="External"/><Relationship Id="rId146" Type="http://schemas.openxmlformats.org/officeDocument/2006/relationships/hyperlink" Target="https://doi.org/10.1371/journal.pmed.1002932" TargetMode="External"/><Relationship Id="rId7" Type="http://schemas.openxmlformats.org/officeDocument/2006/relationships/hyperlink" Target="mailto:tga.copyright@tga.gov.au" TargetMode="External"/><Relationship Id="rId71" Type="http://schemas.openxmlformats.org/officeDocument/2006/relationships/hyperlink" Target="https://www.dermcoll.edu.au/wp-content/uploads/Sunscreen-is-not-a-suit-of-armour-12-January-2017.pdf" TargetMode="External"/><Relationship Id="rId92" Type="http://schemas.openxmlformats.org/officeDocument/2006/relationships/hyperlink" Target="https://www.cancer.org.au/media-releases/2017/almost-half-of-australians-confused-about-sunscreen" TargetMode="External"/><Relationship Id="rId2" Type="http://schemas.openxmlformats.org/officeDocument/2006/relationships/styles" Target="styles.xml"/><Relationship Id="rId29" Type="http://schemas.openxmlformats.org/officeDocument/2006/relationships/hyperlink" Target="https://www.tga.gov.au/updates-sunscreen" TargetMode="External"/><Relationship Id="rId24" Type="http://schemas.openxmlformats.org/officeDocument/2006/relationships/image" Target="media/image1.jpeg"/><Relationship Id="rId40" Type="http://schemas.openxmlformats.org/officeDocument/2006/relationships/image" Target="media/image10.png"/><Relationship Id="rId45" Type="http://schemas.openxmlformats.org/officeDocument/2006/relationships/hyperlink" Target="https://consultations.tga.gov.au/tga/proposed-model-for-assessing-sunscreen-ingredients/user_uploads/attachement-5---australian-sunscreen-exposure-model---asem-calculations-microsoft-excel-file---2-july-2024--1.xlsx" TargetMode="External"/><Relationship Id="rId66" Type="http://schemas.openxmlformats.org/officeDocument/2006/relationships/hyperlink" Target="https://www.legislation.gov.au/F2018L01350/latest/text" TargetMode="External"/><Relationship Id="rId87" Type="http://schemas.openxmlformats.org/officeDocument/2006/relationships/hyperlink" Target="https://ncci.canceraustralia.gov.au/prevention/sun-exposure/sunburn-and-sun-protection" TargetMode="External"/><Relationship Id="rId110" Type="http://schemas.openxmlformats.org/officeDocument/2006/relationships/hyperlink" Target="https://doi.org/10.1111/j.1753-6405.1993.tb00137.x" TargetMode="External"/><Relationship Id="rId115" Type="http://schemas.openxmlformats.org/officeDocument/2006/relationships/hyperlink" Target="https://doi.org/10.1136/bmjopen-2019-034388" TargetMode="External"/><Relationship Id="rId131" Type="http://schemas.openxmlformats.org/officeDocument/2006/relationships/hyperlink" Target="https://www.health.qld.gov.au/research-reports/population-health/preventive-health-surveys/detailed-data" TargetMode="External"/><Relationship Id="rId136" Type="http://schemas.openxmlformats.org/officeDocument/2006/relationships/hyperlink" Target="https://health.ec.europa.eu/document/download/89af1a70-a2b1-44da-a868-e7d80a8e736c_en?filename=sccs_o_250.pdf" TargetMode="External"/><Relationship Id="rId61" Type="http://schemas.openxmlformats.org/officeDocument/2006/relationships/hyperlink" Target="https://consultations.tga.gov.au/medicines-regulation-division/low-neg-risk-2023-2024/user_uploads/cmes---low-negligible-risk-annual-consultation---2023-2024---final-decisions-document.pdf" TargetMode="External"/><Relationship Id="rId82" Type="http://schemas.openxmlformats.org/officeDocument/2006/relationships/hyperlink" Target="http://www.bom.gov.au/climate/maps/averages/uv-index/" TargetMode="External"/><Relationship Id="rId152" Type="http://schemas.openxmlformats.org/officeDocument/2006/relationships/hyperlink" Target="https://doi.org/10.1016/j.trac.2022/116724" TargetMode="External"/><Relationship Id="rId19" Type="http://schemas.openxmlformats.org/officeDocument/2006/relationships/hyperlink" Target="https://www.tga.gov.au/publication/pharmacovigilance-responsibilities-medicine-sponsors" TargetMode="External"/><Relationship Id="rId14" Type="http://schemas.openxmlformats.org/officeDocument/2006/relationships/hyperlink" Target="https://www.tga.gov.au/how-we-regulate/ingredients-and-scheduling-medicines-and-chemicals/poisons-standard-and-scheduling-medicines-and-chemicals/poisons-standard-susmp" TargetMode="External"/><Relationship Id="rId30" Type="http://schemas.openxmlformats.org/officeDocument/2006/relationships/hyperlink" Target="https://www.legislation.gov.au/C2004A03952/latest/text" TargetMode="External"/><Relationship Id="rId35" Type="http://schemas.openxmlformats.org/officeDocument/2006/relationships/footer" Target="footer2.xml"/><Relationship Id="rId56" Type="http://schemas.openxmlformats.org/officeDocument/2006/relationships/hyperlink" Target="https://www.tga.gov.au/sites/default/files/2022-11/guidance-using-evaluation-reports-comparable-overseas-bodies.pdf" TargetMode="External"/><Relationship Id="rId77" Type="http://schemas.openxmlformats.org/officeDocument/2006/relationships/hyperlink" Target="https://www.assc.org.au/wp-content/uploads/2023/01/Sun-Exposure-Summit-PositionStatement_V1.9.pdf" TargetMode="External"/><Relationship Id="rId100" Type="http://schemas.openxmlformats.org/officeDocument/2006/relationships/hyperlink" Target="https://www.cancer.org.au/cancer-information/causes-and-prevention/sun-safety/10-myths-about-sun-protection" TargetMode="External"/><Relationship Id="rId105" Type="http://schemas.openxmlformats.org/officeDocument/2006/relationships/hyperlink" Target="https://www.pregnancybirthbaby.org.au/development-milestones-12-to-18-months" TargetMode="External"/><Relationship Id="rId126" Type="http://schemas.openxmlformats.org/officeDocument/2006/relationships/hyperlink" Target="https://doi.org/10.1111/1753-6405.12470" TargetMode="External"/><Relationship Id="rId147" Type="http://schemas.openxmlformats.org/officeDocument/2006/relationships/hyperlink" Target="https://www.cancer.org.au/about-us/policy-and-advocacy/prevention-policy/national-cancer-prevention-policy/skin-cancer-statistics-and-issues/trends-in-sun-protection-behaviours" TargetMode="External"/><Relationship Id="rId8" Type="http://schemas.openxmlformats.org/officeDocument/2006/relationships/hyperlink" Target="https://www.tga.gov.au/resources/consultation/consultation-2023-2024-proposed-changes-permissible-ingredients-determination-low-negligible-risk" TargetMode="External"/><Relationship Id="rId51" Type="http://schemas.openxmlformats.org/officeDocument/2006/relationships/hyperlink" Target="https://www.tga.gov.au/how-we-regulate/supply-therapeutic-good/supply-non-prescription-medicine/non-prescription-medicine-requirements-and-standards/safety-and-quality-non-prescription-medicines/list-comparable-overseas-bodies-cobs" TargetMode="External"/><Relationship Id="rId72" Type="http://schemas.openxmlformats.org/officeDocument/2006/relationships/hyperlink" Target="https://www.dermcoll.edu.au/atoz/sun-protection-sunscreens/" TargetMode="External"/><Relationship Id="rId93" Type="http://schemas.openxmlformats.org/officeDocument/2006/relationships/hyperlink" Target="https://www.cancer.org.au/assets/pdf/australian-men-urged-to-reduce-their-risk-of-skin-cancer-with-new-research-showing-they-are-less-likely-than-women-to-use-sun-protection" TargetMode="External"/><Relationship Id="rId98" Type="http://schemas.openxmlformats.org/officeDocument/2006/relationships/hyperlink" Target="https://www.cancer.org.au/about-us/policy-and-advocacy/prevention-policy/national-cancer-prevention-policy/uv/related-resources/sun-protection-babies" TargetMode="External"/><Relationship Id="rId121" Type="http://schemas.openxmlformats.org/officeDocument/2006/relationships/hyperlink" Target="https://gco.iarc.fr/today/en/dataviz/maps-heatmap?mode=population&amp;cancers=17&amp;sexes=0" TargetMode="External"/><Relationship Id="rId142" Type="http://schemas.openxmlformats.org/officeDocument/2006/relationships/hyperlink" Target="https://doi.org/10.1111/j.1600-0781.1997.tb00227.x" TargetMode="Externa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ublic.tableau.com/views/QSASstateindicators/Adult?%3Aembed=y&amp;%3Adisplay_count=no&amp;%3AshowShareOptions=false&amp;%3AshowVizHome=no" TargetMode="External"/><Relationship Id="rId13" Type="http://schemas.openxmlformats.org/officeDocument/2006/relationships/hyperlink" Target="http://www.tga.gov.au/how-we-regulate/fees-and-payments/summary-fees-and-charges/summary-fees-and-charges-applications-submitted-tga" TargetMode="External"/><Relationship Id="rId3" Type="http://schemas.openxmlformats.org/officeDocument/2006/relationships/hyperlink" Target="http://www.abs.gov.au/statistics/people/population/deaths-australia/2022" TargetMode="External"/><Relationship Id="rId7" Type="http://schemas.openxmlformats.org/officeDocument/2006/relationships/hyperlink" Target="https://www.who.int/news-room/questions-and-answers/item/radiation-ultraviolet-(uv)" TargetMode="External"/><Relationship Id="rId12" Type="http://schemas.openxmlformats.org/officeDocument/2006/relationships/hyperlink" Target="https://oia.pmc.gov.au/sites/default/files/2023-08/competition-and-regulation.pdf" TargetMode="External"/><Relationship Id="rId2" Type="http://schemas.openxmlformats.org/officeDocument/2006/relationships/hyperlink" Target="http://www.aihw.gov.au/reports/cancer/cancer-data-in-australia/contents/overview" TargetMode="External"/><Relationship Id="rId1" Type="http://schemas.openxmlformats.org/officeDocument/2006/relationships/hyperlink" Target="http://www.aihw.gov.au/reports/cancer/cancer-data-in-australia/contents/overview-of-cancer-in-australia-2023" TargetMode="External"/><Relationship Id="rId6" Type="http://schemas.openxmlformats.org/officeDocument/2006/relationships/hyperlink" Target="http://www.arpansa.gov.au/our-services/testing-and-calibration/ultraviolet-radiation-testing/assessment-of-ultraviolet-" TargetMode="External"/><Relationship Id="rId11" Type="http://schemas.openxmlformats.org/officeDocument/2006/relationships/hyperlink" Target="http://www.aihw.gov.au/reports/cancer/cancer-data-in-australia/contents/overview-of-cancer-in-australia-2023" TargetMode="External"/><Relationship Id="rId5" Type="http://schemas.openxmlformats.org/officeDocument/2006/relationships/hyperlink" Target="http://www.dermcoll.edu.au/wp-content/uploads/2023/09/ACD-Statement-Impact-of-skin-cancer-in-Australia-August-2023.pdf" TargetMode="External"/><Relationship Id="rId15" Type="http://schemas.openxmlformats.org/officeDocument/2006/relationships/hyperlink" Target="https://consultations.tga.gov.au/medicines-regulation-division/low-neg-risk-2023-2024/user_uploads/cmes---low-negligible-risk-annual-consultation---2023-2024---final-decisions-document.pdf" TargetMode="External"/><Relationship Id="rId10" Type="http://schemas.openxmlformats.org/officeDocument/2006/relationships/hyperlink" Target="https://ncci.canceraustralia.gov.au/prevention/sun-exposure/sunburn-and-sun-protection" TargetMode="External"/><Relationship Id="rId4" Type="http://schemas.openxmlformats.org/officeDocument/2006/relationships/hyperlink" Target="http://www.aihw.gov.au/reports/health-welfare-expenditure/spending-on-disease-in-australia/data" TargetMode="External"/><Relationship Id="rId9" Type="http://schemas.openxmlformats.org/officeDocument/2006/relationships/hyperlink" Target="https://www.sunsmart.com.au/protect-your-skin" TargetMode="External"/><Relationship Id="rId14" Type="http://schemas.openxmlformats.org/officeDocument/2006/relationships/hyperlink" Target="https://www.statista.com/outlook/cmo/beauty-personal-care/sun-protection/australi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39167</Words>
  <Characters>223257</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2025-01-29T03:56:00Z</dcterms:created>
  <dcterms:modified xsi:type="dcterms:W3CDTF">2025-01-29T03:56:00Z</dcterms:modified>
</cp:coreProperties>
</file>