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9BCD9" w14:textId="77777777" w:rsidR="001E10CF" w:rsidRDefault="000673C1">
      <w:pPr>
        <w:pStyle w:val="BodyText"/>
        <w:ind w:left="118"/>
        <w:rPr>
          <w:rFonts w:ascii="Times New Roman"/>
          <w:sz w:val="20"/>
        </w:rPr>
      </w:pPr>
      <w:bookmarkStart w:id="0" w:name="_GoBack"/>
      <w:bookmarkEnd w:id="0"/>
      <w:r>
        <w:rPr>
          <w:rFonts w:ascii="Times New Roman"/>
          <w:noProof/>
          <w:sz w:val="20"/>
          <w:lang w:val="en-AU" w:eastAsia="en-AU"/>
        </w:rPr>
        <w:drawing>
          <wp:inline distT="0" distB="0" distL="0" distR="0" wp14:anchorId="5709BD06" wp14:editId="5709BD07">
            <wp:extent cx="2495254" cy="1131570"/>
            <wp:effectExtent l="0" t="0" r="0" b="0"/>
            <wp:docPr id="1" name="Image 1" descr="Department of Health and Aged Care Cres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epartment of Health and Aged Care Crest "/>
                    <pic:cNvPicPr/>
                  </pic:nvPicPr>
                  <pic:blipFill>
                    <a:blip r:embed="rId7" cstate="print"/>
                    <a:stretch>
                      <a:fillRect/>
                    </a:stretch>
                  </pic:blipFill>
                  <pic:spPr>
                    <a:xfrm>
                      <a:off x="0" y="0"/>
                      <a:ext cx="2495254" cy="1131570"/>
                    </a:xfrm>
                    <a:prstGeom prst="rect">
                      <a:avLst/>
                    </a:prstGeom>
                  </pic:spPr>
                </pic:pic>
              </a:graphicData>
            </a:graphic>
          </wp:inline>
        </w:drawing>
      </w:r>
    </w:p>
    <w:p w14:paraId="5709BCDA" w14:textId="77777777" w:rsidR="001E10CF" w:rsidRDefault="001E10CF">
      <w:pPr>
        <w:pStyle w:val="BodyText"/>
        <w:ind w:left="0"/>
        <w:rPr>
          <w:rFonts w:ascii="Times New Roman"/>
        </w:rPr>
      </w:pPr>
    </w:p>
    <w:p w14:paraId="5709BCDB" w14:textId="77777777" w:rsidR="001E10CF" w:rsidRDefault="001E10CF">
      <w:pPr>
        <w:pStyle w:val="BodyText"/>
        <w:spacing w:before="165"/>
        <w:ind w:left="0"/>
        <w:rPr>
          <w:rFonts w:ascii="Times New Roman"/>
        </w:rPr>
      </w:pPr>
    </w:p>
    <w:p w14:paraId="5709BCDC" w14:textId="77777777" w:rsidR="001E10CF" w:rsidRDefault="000673C1">
      <w:pPr>
        <w:pStyle w:val="Heading1"/>
        <w:ind w:right="119"/>
        <w:jc w:val="right"/>
      </w:pPr>
      <w:bookmarkStart w:id="1" w:name="Deputy_Secretary"/>
      <w:bookmarkEnd w:id="1"/>
      <w:r>
        <w:t>Deputy</w:t>
      </w:r>
      <w:r>
        <w:rPr>
          <w:spacing w:val="-6"/>
        </w:rPr>
        <w:t xml:space="preserve"> </w:t>
      </w:r>
      <w:r>
        <w:rPr>
          <w:spacing w:val="-2"/>
        </w:rPr>
        <w:t>Secretary</w:t>
      </w:r>
    </w:p>
    <w:p w14:paraId="5709BCDD" w14:textId="77777777" w:rsidR="001E10CF" w:rsidRDefault="001E10CF">
      <w:pPr>
        <w:pStyle w:val="BodyText"/>
        <w:ind w:left="0"/>
        <w:rPr>
          <w:b/>
        </w:rPr>
      </w:pPr>
    </w:p>
    <w:p w14:paraId="5709BCDE" w14:textId="77777777" w:rsidR="001E10CF" w:rsidRDefault="001E10CF">
      <w:pPr>
        <w:pStyle w:val="BodyText"/>
        <w:ind w:left="0"/>
        <w:rPr>
          <w:b/>
        </w:rPr>
      </w:pPr>
    </w:p>
    <w:p w14:paraId="5709BCDF" w14:textId="77777777" w:rsidR="001E10CF" w:rsidRDefault="001E10CF">
      <w:pPr>
        <w:pStyle w:val="BodyText"/>
        <w:ind w:left="0"/>
        <w:rPr>
          <w:b/>
        </w:rPr>
      </w:pPr>
    </w:p>
    <w:p w14:paraId="5709BCE0" w14:textId="77777777" w:rsidR="001E10CF" w:rsidRDefault="001E10CF">
      <w:pPr>
        <w:pStyle w:val="BodyText"/>
        <w:spacing w:before="159"/>
        <w:ind w:left="0"/>
        <w:rPr>
          <w:b/>
        </w:rPr>
      </w:pPr>
    </w:p>
    <w:p w14:paraId="5709BCE1" w14:textId="77777777" w:rsidR="001E10CF" w:rsidRDefault="000673C1">
      <w:pPr>
        <w:pStyle w:val="BodyText"/>
        <w:ind w:left="118" w:right="5642"/>
      </w:pPr>
      <w:r>
        <w:t>Ms</w:t>
      </w:r>
      <w:r>
        <w:rPr>
          <w:spacing w:val="-15"/>
        </w:rPr>
        <w:t xml:space="preserve"> </w:t>
      </w:r>
      <w:r>
        <w:t>Joanna</w:t>
      </w:r>
      <w:r>
        <w:rPr>
          <w:spacing w:val="-15"/>
        </w:rPr>
        <w:t xml:space="preserve"> </w:t>
      </w:r>
      <w:r>
        <w:t>Abhayaratna Executive Director</w:t>
      </w:r>
    </w:p>
    <w:p w14:paraId="5709BCE2" w14:textId="77777777" w:rsidR="001E10CF" w:rsidRDefault="000673C1">
      <w:pPr>
        <w:pStyle w:val="BodyText"/>
        <w:spacing w:line="297" w:lineRule="exact"/>
        <w:ind w:left="118"/>
      </w:pPr>
      <w:r>
        <w:t>Office</w:t>
      </w:r>
      <w:r>
        <w:rPr>
          <w:spacing w:val="-3"/>
        </w:rPr>
        <w:t xml:space="preserve"> </w:t>
      </w:r>
      <w:r>
        <w:t>of</w:t>
      </w:r>
      <w:r>
        <w:rPr>
          <w:spacing w:val="-3"/>
        </w:rPr>
        <w:t xml:space="preserve"> </w:t>
      </w:r>
      <w:r>
        <w:t>Impact</w:t>
      </w:r>
      <w:r>
        <w:rPr>
          <w:spacing w:val="-2"/>
        </w:rPr>
        <w:t xml:space="preserve"> Analysis</w:t>
      </w:r>
    </w:p>
    <w:p w14:paraId="5709BCE3" w14:textId="77777777" w:rsidR="001E10CF" w:rsidRDefault="000673C1">
      <w:pPr>
        <w:pStyle w:val="BodyText"/>
        <w:spacing w:before="2"/>
        <w:ind w:left="118" w:right="3268"/>
      </w:pPr>
      <w:r>
        <w:t>Department</w:t>
      </w:r>
      <w:r>
        <w:rPr>
          <w:spacing w:val="-6"/>
        </w:rPr>
        <w:t xml:space="preserve"> </w:t>
      </w:r>
      <w:r>
        <w:t>of</w:t>
      </w:r>
      <w:r>
        <w:rPr>
          <w:spacing w:val="-7"/>
        </w:rPr>
        <w:t xml:space="preserve"> </w:t>
      </w:r>
      <w:r>
        <w:t>the</w:t>
      </w:r>
      <w:r>
        <w:rPr>
          <w:spacing w:val="-6"/>
        </w:rPr>
        <w:t xml:space="preserve"> </w:t>
      </w:r>
      <w:r>
        <w:t>Prime</w:t>
      </w:r>
      <w:r>
        <w:rPr>
          <w:spacing w:val="-6"/>
        </w:rPr>
        <w:t xml:space="preserve"> </w:t>
      </w:r>
      <w:r>
        <w:t>Minister</w:t>
      </w:r>
      <w:r>
        <w:rPr>
          <w:spacing w:val="-5"/>
        </w:rPr>
        <w:t xml:space="preserve"> </w:t>
      </w:r>
      <w:r>
        <w:t>and</w:t>
      </w:r>
      <w:r>
        <w:rPr>
          <w:spacing w:val="-7"/>
        </w:rPr>
        <w:t xml:space="preserve"> </w:t>
      </w:r>
      <w:r>
        <w:t>Cabinet BARTON ACT 2600</w:t>
      </w:r>
    </w:p>
    <w:p w14:paraId="5709BCE4" w14:textId="77777777" w:rsidR="001E10CF" w:rsidRDefault="000673C1">
      <w:pPr>
        <w:pStyle w:val="BodyText"/>
        <w:spacing w:line="297" w:lineRule="exact"/>
        <w:ind w:left="118"/>
      </w:pPr>
      <w:r>
        <w:t>Email:</w:t>
      </w:r>
      <w:r>
        <w:rPr>
          <w:spacing w:val="-12"/>
        </w:rPr>
        <w:t xml:space="preserve"> </w:t>
      </w:r>
      <w:hyperlink r:id="rId8">
        <w:r>
          <w:rPr>
            <w:color w:val="0000FF"/>
            <w:u w:val="single" w:color="0000FF"/>
          </w:rPr>
          <w:t>Helpdesk-</w:t>
        </w:r>
        <w:r>
          <w:rPr>
            <w:color w:val="0000FF"/>
            <w:spacing w:val="-2"/>
            <w:u w:val="single" w:color="0000FF"/>
          </w:rPr>
          <w:t>OIA@pmc.gov.au</w:t>
        </w:r>
      </w:hyperlink>
    </w:p>
    <w:p w14:paraId="5709BCE5" w14:textId="77777777" w:rsidR="001E10CF" w:rsidRDefault="001E10CF">
      <w:pPr>
        <w:pStyle w:val="BodyText"/>
        <w:ind w:left="0"/>
      </w:pPr>
    </w:p>
    <w:p w14:paraId="5709BCE6" w14:textId="77777777" w:rsidR="001E10CF" w:rsidRDefault="001E10CF">
      <w:pPr>
        <w:pStyle w:val="BodyText"/>
        <w:ind w:left="0"/>
      </w:pPr>
    </w:p>
    <w:p w14:paraId="5709BCE7" w14:textId="77777777" w:rsidR="001E10CF" w:rsidRDefault="000673C1">
      <w:pPr>
        <w:pStyle w:val="BodyText"/>
        <w:ind w:left="118"/>
      </w:pPr>
      <w:r>
        <w:t>Dear</w:t>
      </w:r>
      <w:r>
        <w:rPr>
          <w:spacing w:val="1"/>
        </w:rPr>
        <w:t xml:space="preserve"> </w:t>
      </w:r>
      <w:r>
        <w:t>Ms</w:t>
      </w:r>
      <w:r>
        <w:rPr>
          <w:spacing w:val="-1"/>
        </w:rPr>
        <w:t xml:space="preserve"> </w:t>
      </w:r>
      <w:r>
        <w:rPr>
          <w:spacing w:val="-2"/>
        </w:rPr>
        <w:t>Abhayaratna</w:t>
      </w:r>
    </w:p>
    <w:p w14:paraId="5709BCE8" w14:textId="77777777" w:rsidR="001E10CF" w:rsidRDefault="000673C1">
      <w:pPr>
        <w:pStyle w:val="Heading1"/>
        <w:spacing w:before="297"/>
        <w:ind w:left="118"/>
      </w:pPr>
      <w:r>
        <w:t>Subject:</w:t>
      </w:r>
      <w:r>
        <w:rPr>
          <w:spacing w:val="-4"/>
        </w:rPr>
        <w:t xml:space="preserve"> </w:t>
      </w:r>
      <w:r>
        <w:t>Impact</w:t>
      </w:r>
      <w:r>
        <w:rPr>
          <w:spacing w:val="-5"/>
        </w:rPr>
        <w:t xml:space="preserve"> </w:t>
      </w:r>
      <w:r>
        <w:t>Analysis</w:t>
      </w:r>
      <w:r>
        <w:rPr>
          <w:spacing w:val="-5"/>
        </w:rPr>
        <w:t xml:space="preserve"> </w:t>
      </w:r>
      <w:r>
        <w:t>–</w:t>
      </w:r>
      <w:r>
        <w:rPr>
          <w:spacing w:val="-4"/>
        </w:rPr>
        <w:t xml:space="preserve"> </w:t>
      </w:r>
      <w:r>
        <w:t>Proposed</w:t>
      </w:r>
      <w:r>
        <w:rPr>
          <w:spacing w:val="-5"/>
        </w:rPr>
        <w:t xml:space="preserve"> </w:t>
      </w:r>
      <w:r>
        <w:t>adoption</w:t>
      </w:r>
      <w:r>
        <w:rPr>
          <w:spacing w:val="-5"/>
        </w:rPr>
        <w:t xml:space="preserve"> </w:t>
      </w:r>
      <w:r>
        <w:t>of</w:t>
      </w:r>
      <w:r>
        <w:rPr>
          <w:spacing w:val="-4"/>
        </w:rPr>
        <w:t xml:space="preserve"> </w:t>
      </w:r>
      <w:r>
        <w:t>the</w:t>
      </w:r>
      <w:r>
        <w:rPr>
          <w:spacing w:val="-4"/>
        </w:rPr>
        <w:t xml:space="preserve"> </w:t>
      </w:r>
      <w:r>
        <w:t>Australian</w:t>
      </w:r>
      <w:r>
        <w:rPr>
          <w:spacing w:val="-5"/>
        </w:rPr>
        <w:t xml:space="preserve"> </w:t>
      </w:r>
      <w:r>
        <w:t>Sunscreen Exposure Model (ASEM) – Second Pass Final Assessment (OIA24-07792)</w:t>
      </w:r>
    </w:p>
    <w:p w14:paraId="5709BCE9" w14:textId="77777777" w:rsidR="001E10CF" w:rsidRDefault="001E10CF">
      <w:pPr>
        <w:pStyle w:val="BodyText"/>
        <w:spacing w:before="10"/>
        <w:ind w:left="0"/>
        <w:rPr>
          <w:b/>
        </w:rPr>
      </w:pPr>
    </w:p>
    <w:p w14:paraId="5709BCEA" w14:textId="77777777" w:rsidR="001E10CF" w:rsidRDefault="000673C1">
      <w:pPr>
        <w:pStyle w:val="BodyText"/>
        <w:ind w:left="118"/>
      </w:pPr>
      <w:r>
        <w:t>I</w:t>
      </w:r>
      <w:r>
        <w:rPr>
          <w:spacing w:val="-2"/>
        </w:rPr>
        <w:t xml:space="preserve"> </w:t>
      </w:r>
      <w:r>
        <w:t>am</w:t>
      </w:r>
      <w:r>
        <w:rPr>
          <w:spacing w:val="-3"/>
        </w:rPr>
        <w:t xml:space="preserve"> </w:t>
      </w:r>
      <w:r>
        <w:t>writing</w:t>
      </w:r>
      <w:r>
        <w:rPr>
          <w:spacing w:val="-2"/>
        </w:rPr>
        <w:t xml:space="preserve"> </w:t>
      </w:r>
      <w:r>
        <w:t>in</w:t>
      </w:r>
      <w:r>
        <w:rPr>
          <w:spacing w:val="-3"/>
        </w:rPr>
        <w:t xml:space="preserve"> </w:t>
      </w:r>
      <w:r>
        <w:t>relation</w:t>
      </w:r>
      <w:r>
        <w:rPr>
          <w:spacing w:val="-3"/>
        </w:rPr>
        <w:t xml:space="preserve"> </w:t>
      </w:r>
      <w:r>
        <w:t>to</w:t>
      </w:r>
      <w:r>
        <w:rPr>
          <w:spacing w:val="-1"/>
        </w:rPr>
        <w:t xml:space="preserve"> </w:t>
      </w:r>
      <w:r>
        <w:t>the</w:t>
      </w:r>
      <w:r>
        <w:rPr>
          <w:spacing w:val="-2"/>
        </w:rPr>
        <w:t xml:space="preserve"> </w:t>
      </w:r>
      <w:r>
        <w:t>attached</w:t>
      </w:r>
      <w:r>
        <w:rPr>
          <w:spacing w:val="-3"/>
        </w:rPr>
        <w:t xml:space="preserve"> </w:t>
      </w:r>
      <w:r>
        <w:t>Impact</w:t>
      </w:r>
      <w:r>
        <w:rPr>
          <w:spacing w:val="-2"/>
        </w:rPr>
        <w:t xml:space="preserve"> </w:t>
      </w:r>
      <w:r>
        <w:t>Analysis</w:t>
      </w:r>
      <w:r>
        <w:rPr>
          <w:spacing w:val="-3"/>
        </w:rPr>
        <w:t xml:space="preserve"> </w:t>
      </w:r>
      <w:r>
        <w:t>(IA)</w:t>
      </w:r>
      <w:r>
        <w:rPr>
          <w:spacing w:val="-3"/>
        </w:rPr>
        <w:t xml:space="preserve"> </w:t>
      </w:r>
      <w:r>
        <w:t>prepared</w:t>
      </w:r>
      <w:r>
        <w:rPr>
          <w:spacing w:val="-3"/>
        </w:rPr>
        <w:t xml:space="preserve"> </w:t>
      </w:r>
      <w:r>
        <w:t>for</w:t>
      </w:r>
      <w:r>
        <w:rPr>
          <w:spacing w:val="-1"/>
        </w:rPr>
        <w:t xml:space="preserve"> </w:t>
      </w:r>
      <w:r>
        <w:t>adoption</w:t>
      </w:r>
      <w:r>
        <w:rPr>
          <w:spacing w:val="-5"/>
        </w:rPr>
        <w:t xml:space="preserve"> </w:t>
      </w:r>
      <w:r>
        <w:t>of the Australian Sunscreen Exposure Model (ASEM) by the Therapeutic Goods Administration (TGA). The ASEM will be used for assessing the safety of sunscreen ingredients that align with Australian conditions and consumer practices.</w:t>
      </w:r>
    </w:p>
    <w:p w14:paraId="5709BCEB" w14:textId="77777777" w:rsidR="001E10CF" w:rsidRDefault="000673C1">
      <w:pPr>
        <w:pStyle w:val="BodyText"/>
        <w:spacing w:before="298"/>
        <w:ind w:left="118"/>
      </w:pPr>
      <w:r>
        <w:t>I</w:t>
      </w:r>
      <w:r>
        <w:rPr>
          <w:spacing w:val="-2"/>
        </w:rPr>
        <w:t xml:space="preserve"> </w:t>
      </w:r>
      <w:r>
        <w:t>am</w:t>
      </w:r>
      <w:r>
        <w:rPr>
          <w:spacing w:val="-3"/>
        </w:rPr>
        <w:t xml:space="preserve"> </w:t>
      </w:r>
      <w:r>
        <w:t>satisfied</w:t>
      </w:r>
      <w:r>
        <w:rPr>
          <w:spacing w:val="-3"/>
        </w:rPr>
        <w:t xml:space="preserve"> </w:t>
      </w:r>
      <w:r>
        <w:t>that</w:t>
      </w:r>
      <w:r>
        <w:rPr>
          <w:spacing w:val="-2"/>
        </w:rPr>
        <w:t xml:space="preserve"> </w:t>
      </w:r>
      <w:r>
        <w:t>the</w:t>
      </w:r>
      <w:r>
        <w:rPr>
          <w:spacing w:val="-2"/>
        </w:rPr>
        <w:t xml:space="preserve"> </w:t>
      </w:r>
      <w:r>
        <w:t>revised</w:t>
      </w:r>
      <w:r>
        <w:rPr>
          <w:spacing w:val="-3"/>
        </w:rPr>
        <w:t xml:space="preserve"> </w:t>
      </w:r>
      <w:r>
        <w:t>IA</w:t>
      </w:r>
      <w:r>
        <w:rPr>
          <w:spacing w:val="-2"/>
        </w:rPr>
        <w:t xml:space="preserve"> </w:t>
      </w:r>
      <w:r>
        <w:t>addresses</w:t>
      </w:r>
      <w:r>
        <w:rPr>
          <w:spacing w:val="-3"/>
        </w:rPr>
        <w:t xml:space="preserve"> </w:t>
      </w:r>
      <w:r>
        <w:t>the</w:t>
      </w:r>
      <w:r>
        <w:rPr>
          <w:spacing w:val="-2"/>
        </w:rPr>
        <w:t xml:space="preserve"> </w:t>
      </w:r>
      <w:r>
        <w:t>concerns</w:t>
      </w:r>
      <w:r>
        <w:rPr>
          <w:spacing w:val="-3"/>
        </w:rPr>
        <w:t xml:space="preserve"> </w:t>
      </w:r>
      <w:r>
        <w:t>raised</w:t>
      </w:r>
      <w:r>
        <w:rPr>
          <w:spacing w:val="-3"/>
        </w:rPr>
        <w:t xml:space="preserve"> </w:t>
      </w:r>
      <w:r>
        <w:t>in</w:t>
      </w:r>
      <w:r>
        <w:rPr>
          <w:spacing w:val="-3"/>
        </w:rPr>
        <w:t xml:space="preserve"> </w:t>
      </w:r>
      <w:r>
        <w:t>your</w:t>
      </w:r>
      <w:r>
        <w:rPr>
          <w:spacing w:val="-1"/>
        </w:rPr>
        <w:t xml:space="preserve"> </w:t>
      </w:r>
      <w:r>
        <w:t>letter</w:t>
      </w:r>
      <w:r>
        <w:rPr>
          <w:spacing w:val="-1"/>
        </w:rPr>
        <w:t xml:space="preserve"> </w:t>
      </w:r>
      <w:r>
        <w:t>of</w:t>
      </w:r>
      <w:r>
        <w:rPr>
          <w:spacing w:val="-3"/>
        </w:rPr>
        <w:t xml:space="preserve"> </w:t>
      </w:r>
      <w:r>
        <w:t>21 October 2024. Specifically, further information has been added to strengthen the relevant questions, as below:</w:t>
      </w:r>
    </w:p>
    <w:p w14:paraId="5709BCEC" w14:textId="77777777" w:rsidR="001E10CF" w:rsidRDefault="001E10CF">
      <w:pPr>
        <w:pStyle w:val="BodyText"/>
        <w:spacing w:before="1"/>
        <w:ind w:left="0"/>
      </w:pPr>
    </w:p>
    <w:p w14:paraId="5709BCED" w14:textId="77777777" w:rsidR="001E10CF" w:rsidRDefault="000673C1">
      <w:pPr>
        <w:pStyle w:val="ListParagraph"/>
        <w:numPr>
          <w:ilvl w:val="0"/>
          <w:numId w:val="1"/>
        </w:numPr>
        <w:tabs>
          <w:tab w:val="left" w:pos="1198"/>
        </w:tabs>
        <w:spacing w:before="0"/>
        <w:ind w:right="164"/>
        <w:rPr>
          <w:sz w:val="24"/>
        </w:rPr>
      </w:pPr>
      <w:r>
        <w:rPr>
          <w:sz w:val="24"/>
        </w:rPr>
        <w:t>details</w:t>
      </w:r>
      <w:r>
        <w:rPr>
          <w:spacing w:val="-6"/>
          <w:sz w:val="24"/>
        </w:rPr>
        <w:t xml:space="preserve"> </w:t>
      </w:r>
      <w:r>
        <w:rPr>
          <w:sz w:val="24"/>
        </w:rPr>
        <w:t>about</w:t>
      </w:r>
      <w:r>
        <w:rPr>
          <w:spacing w:val="-5"/>
          <w:sz w:val="24"/>
        </w:rPr>
        <w:t xml:space="preserve"> </w:t>
      </w:r>
      <w:r>
        <w:rPr>
          <w:sz w:val="24"/>
        </w:rPr>
        <w:t>different</w:t>
      </w:r>
      <w:r>
        <w:rPr>
          <w:spacing w:val="-5"/>
          <w:sz w:val="24"/>
        </w:rPr>
        <w:t xml:space="preserve"> </w:t>
      </w:r>
      <w:r>
        <w:rPr>
          <w:sz w:val="24"/>
        </w:rPr>
        <w:t>international</w:t>
      </w:r>
      <w:r>
        <w:rPr>
          <w:spacing w:val="-6"/>
          <w:sz w:val="24"/>
        </w:rPr>
        <w:t xml:space="preserve"> </w:t>
      </w:r>
      <w:r>
        <w:rPr>
          <w:sz w:val="24"/>
        </w:rPr>
        <w:t>and</w:t>
      </w:r>
      <w:r>
        <w:rPr>
          <w:spacing w:val="-6"/>
          <w:sz w:val="24"/>
        </w:rPr>
        <w:t xml:space="preserve"> </w:t>
      </w:r>
      <w:r>
        <w:rPr>
          <w:sz w:val="24"/>
        </w:rPr>
        <w:t>domestic</w:t>
      </w:r>
      <w:r>
        <w:rPr>
          <w:spacing w:val="-6"/>
          <w:sz w:val="24"/>
        </w:rPr>
        <w:t xml:space="preserve"> </w:t>
      </w:r>
      <w:r>
        <w:rPr>
          <w:sz w:val="24"/>
        </w:rPr>
        <w:t>approaches</w:t>
      </w:r>
      <w:r>
        <w:rPr>
          <w:spacing w:val="-6"/>
          <w:sz w:val="24"/>
        </w:rPr>
        <w:t xml:space="preserve"> </w:t>
      </w:r>
      <w:r>
        <w:rPr>
          <w:sz w:val="24"/>
        </w:rPr>
        <w:t>for</w:t>
      </w:r>
      <w:r>
        <w:rPr>
          <w:spacing w:val="-4"/>
          <w:sz w:val="24"/>
        </w:rPr>
        <w:t xml:space="preserve"> </w:t>
      </w:r>
      <w:r>
        <w:rPr>
          <w:sz w:val="24"/>
        </w:rPr>
        <w:t>assessing sunscreen exposure</w:t>
      </w:r>
    </w:p>
    <w:p w14:paraId="5709BCEE" w14:textId="77777777" w:rsidR="001E10CF" w:rsidRDefault="000673C1">
      <w:pPr>
        <w:pStyle w:val="ListParagraph"/>
        <w:numPr>
          <w:ilvl w:val="0"/>
          <w:numId w:val="1"/>
        </w:numPr>
        <w:tabs>
          <w:tab w:val="left" w:pos="1198"/>
        </w:tabs>
        <w:rPr>
          <w:sz w:val="24"/>
        </w:rPr>
      </w:pPr>
      <w:r>
        <w:rPr>
          <w:sz w:val="24"/>
        </w:rPr>
        <w:t>comparison</w:t>
      </w:r>
      <w:r>
        <w:rPr>
          <w:spacing w:val="-4"/>
          <w:sz w:val="24"/>
        </w:rPr>
        <w:t xml:space="preserve"> </w:t>
      </w:r>
      <w:r>
        <w:rPr>
          <w:sz w:val="24"/>
        </w:rPr>
        <w:t>of</w:t>
      </w:r>
      <w:r>
        <w:rPr>
          <w:spacing w:val="-3"/>
          <w:sz w:val="24"/>
        </w:rPr>
        <w:t xml:space="preserve"> </w:t>
      </w:r>
      <w:r>
        <w:rPr>
          <w:sz w:val="24"/>
        </w:rPr>
        <w:t>methodologies</w:t>
      </w:r>
      <w:r>
        <w:rPr>
          <w:spacing w:val="-3"/>
          <w:sz w:val="24"/>
        </w:rPr>
        <w:t xml:space="preserve"> </w:t>
      </w:r>
      <w:r>
        <w:rPr>
          <w:sz w:val="24"/>
        </w:rPr>
        <w:t>used</w:t>
      </w:r>
      <w:r>
        <w:rPr>
          <w:spacing w:val="-3"/>
          <w:sz w:val="24"/>
        </w:rPr>
        <w:t xml:space="preserve"> </w:t>
      </w:r>
      <w:r>
        <w:rPr>
          <w:sz w:val="24"/>
        </w:rPr>
        <w:t>in</w:t>
      </w:r>
      <w:r>
        <w:rPr>
          <w:spacing w:val="-3"/>
          <w:sz w:val="24"/>
        </w:rPr>
        <w:t xml:space="preserve"> </w:t>
      </w:r>
      <w:r>
        <w:rPr>
          <w:spacing w:val="-2"/>
          <w:sz w:val="24"/>
        </w:rPr>
        <w:t>Europe</w:t>
      </w:r>
    </w:p>
    <w:p w14:paraId="5709BCEF" w14:textId="77777777" w:rsidR="001E10CF" w:rsidRDefault="000673C1">
      <w:pPr>
        <w:pStyle w:val="ListParagraph"/>
        <w:numPr>
          <w:ilvl w:val="0"/>
          <w:numId w:val="1"/>
        </w:numPr>
        <w:tabs>
          <w:tab w:val="left" w:pos="1198"/>
        </w:tabs>
        <w:rPr>
          <w:sz w:val="24"/>
        </w:rPr>
      </w:pPr>
      <w:r>
        <w:rPr>
          <w:sz w:val="24"/>
        </w:rPr>
        <w:t>the</w:t>
      </w:r>
      <w:r>
        <w:rPr>
          <w:spacing w:val="-3"/>
          <w:sz w:val="24"/>
        </w:rPr>
        <w:t xml:space="preserve"> </w:t>
      </w:r>
      <w:r>
        <w:rPr>
          <w:sz w:val="24"/>
        </w:rPr>
        <w:t>main</w:t>
      </w:r>
      <w:r>
        <w:rPr>
          <w:spacing w:val="-2"/>
          <w:sz w:val="24"/>
        </w:rPr>
        <w:t xml:space="preserve"> </w:t>
      </w:r>
      <w:r>
        <w:rPr>
          <w:sz w:val="24"/>
        </w:rPr>
        <w:t>objectives</w:t>
      </w:r>
      <w:r>
        <w:rPr>
          <w:spacing w:val="-3"/>
          <w:sz w:val="24"/>
        </w:rPr>
        <w:t xml:space="preserve"> </w:t>
      </w:r>
      <w:r>
        <w:rPr>
          <w:sz w:val="24"/>
        </w:rPr>
        <w:t>of</w:t>
      </w:r>
      <w:r>
        <w:rPr>
          <w:spacing w:val="-3"/>
          <w:sz w:val="24"/>
        </w:rPr>
        <w:t xml:space="preserve"> </w:t>
      </w:r>
      <w:r>
        <w:rPr>
          <w:sz w:val="24"/>
        </w:rPr>
        <w:t>government</w:t>
      </w:r>
      <w:r>
        <w:rPr>
          <w:spacing w:val="-2"/>
          <w:sz w:val="24"/>
        </w:rPr>
        <w:t xml:space="preserve"> intervention</w:t>
      </w:r>
    </w:p>
    <w:p w14:paraId="5709BCF0" w14:textId="77777777" w:rsidR="001E10CF" w:rsidRDefault="000673C1">
      <w:pPr>
        <w:pStyle w:val="ListParagraph"/>
        <w:numPr>
          <w:ilvl w:val="0"/>
          <w:numId w:val="1"/>
        </w:numPr>
        <w:tabs>
          <w:tab w:val="left" w:pos="1198"/>
        </w:tabs>
        <w:spacing w:before="121"/>
        <w:rPr>
          <w:sz w:val="24"/>
        </w:rPr>
      </w:pPr>
      <w:r>
        <w:rPr>
          <w:sz w:val="24"/>
        </w:rPr>
        <w:t>SMART</w:t>
      </w:r>
      <w:r>
        <w:rPr>
          <w:spacing w:val="-2"/>
          <w:sz w:val="24"/>
        </w:rPr>
        <w:t xml:space="preserve"> </w:t>
      </w:r>
      <w:r>
        <w:rPr>
          <w:sz w:val="24"/>
        </w:rPr>
        <w:t>goals</w:t>
      </w:r>
      <w:r>
        <w:rPr>
          <w:spacing w:val="-1"/>
          <w:sz w:val="24"/>
        </w:rPr>
        <w:t xml:space="preserve"> </w:t>
      </w:r>
      <w:r>
        <w:rPr>
          <w:spacing w:val="-2"/>
          <w:sz w:val="24"/>
        </w:rPr>
        <w:t>framework</w:t>
      </w:r>
    </w:p>
    <w:p w14:paraId="5709BCF1" w14:textId="77777777" w:rsidR="001E10CF" w:rsidRDefault="000673C1">
      <w:pPr>
        <w:pStyle w:val="ListParagraph"/>
        <w:numPr>
          <w:ilvl w:val="0"/>
          <w:numId w:val="1"/>
        </w:numPr>
        <w:tabs>
          <w:tab w:val="left" w:pos="1198"/>
        </w:tabs>
        <w:rPr>
          <w:sz w:val="24"/>
        </w:rPr>
      </w:pPr>
      <w:r>
        <w:rPr>
          <w:sz w:val="24"/>
        </w:rPr>
        <w:t>why</w:t>
      </w:r>
      <w:r>
        <w:rPr>
          <w:spacing w:val="-4"/>
          <w:sz w:val="24"/>
        </w:rPr>
        <w:t xml:space="preserve"> </w:t>
      </w:r>
      <w:r>
        <w:rPr>
          <w:sz w:val="24"/>
        </w:rPr>
        <w:t>government</w:t>
      </w:r>
      <w:r>
        <w:rPr>
          <w:spacing w:val="-3"/>
          <w:sz w:val="24"/>
        </w:rPr>
        <w:t xml:space="preserve"> </w:t>
      </w:r>
      <w:r>
        <w:rPr>
          <w:sz w:val="24"/>
        </w:rPr>
        <w:t>intervention</w:t>
      </w:r>
      <w:r>
        <w:rPr>
          <w:spacing w:val="-4"/>
          <w:sz w:val="24"/>
        </w:rPr>
        <w:t xml:space="preserve"> </w:t>
      </w:r>
      <w:r>
        <w:rPr>
          <w:sz w:val="24"/>
        </w:rPr>
        <w:t>is</w:t>
      </w:r>
      <w:r>
        <w:rPr>
          <w:spacing w:val="-3"/>
          <w:sz w:val="24"/>
        </w:rPr>
        <w:t xml:space="preserve"> </w:t>
      </w:r>
      <w:r>
        <w:rPr>
          <w:spacing w:val="-2"/>
          <w:sz w:val="24"/>
        </w:rPr>
        <w:t>needed</w:t>
      </w:r>
    </w:p>
    <w:p w14:paraId="5709BCF2" w14:textId="77777777" w:rsidR="001E10CF" w:rsidRDefault="000673C1">
      <w:pPr>
        <w:pStyle w:val="ListParagraph"/>
        <w:numPr>
          <w:ilvl w:val="0"/>
          <w:numId w:val="1"/>
        </w:numPr>
        <w:tabs>
          <w:tab w:val="left" w:pos="1198"/>
        </w:tabs>
        <w:spacing w:before="119"/>
        <w:rPr>
          <w:sz w:val="24"/>
        </w:rPr>
      </w:pPr>
      <w:r>
        <w:rPr>
          <w:sz w:val="24"/>
        </w:rPr>
        <w:t>alternatives</w:t>
      </w:r>
      <w:r>
        <w:rPr>
          <w:spacing w:val="-5"/>
          <w:sz w:val="24"/>
        </w:rPr>
        <w:t xml:space="preserve"> </w:t>
      </w:r>
      <w:r>
        <w:rPr>
          <w:sz w:val="24"/>
        </w:rPr>
        <w:t>to</w:t>
      </w:r>
      <w:r>
        <w:rPr>
          <w:spacing w:val="-4"/>
          <w:sz w:val="24"/>
        </w:rPr>
        <w:t xml:space="preserve"> </w:t>
      </w:r>
      <w:r>
        <w:rPr>
          <w:sz w:val="24"/>
        </w:rPr>
        <w:t>government</w:t>
      </w:r>
      <w:r>
        <w:rPr>
          <w:spacing w:val="-4"/>
          <w:sz w:val="24"/>
        </w:rPr>
        <w:t xml:space="preserve"> </w:t>
      </w:r>
      <w:r>
        <w:rPr>
          <w:spacing w:val="-2"/>
          <w:sz w:val="24"/>
        </w:rPr>
        <w:t>intervention</w:t>
      </w:r>
    </w:p>
    <w:p w14:paraId="5709BCF3" w14:textId="77777777" w:rsidR="001E10CF" w:rsidRDefault="000673C1">
      <w:pPr>
        <w:pStyle w:val="ListParagraph"/>
        <w:numPr>
          <w:ilvl w:val="0"/>
          <w:numId w:val="1"/>
        </w:numPr>
        <w:tabs>
          <w:tab w:val="left" w:pos="1198"/>
        </w:tabs>
        <w:rPr>
          <w:sz w:val="24"/>
        </w:rPr>
      </w:pPr>
      <w:r>
        <w:rPr>
          <w:sz w:val="24"/>
        </w:rPr>
        <w:t>success</w:t>
      </w:r>
      <w:r>
        <w:rPr>
          <w:spacing w:val="-4"/>
          <w:sz w:val="24"/>
        </w:rPr>
        <w:t xml:space="preserve"> </w:t>
      </w:r>
      <w:r>
        <w:rPr>
          <w:sz w:val="24"/>
        </w:rPr>
        <w:t>metrics</w:t>
      </w:r>
      <w:r>
        <w:rPr>
          <w:spacing w:val="-3"/>
          <w:sz w:val="24"/>
        </w:rPr>
        <w:t xml:space="preserve"> </w:t>
      </w:r>
      <w:r>
        <w:rPr>
          <w:spacing w:val="-2"/>
          <w:sz w:val="24"/>
        </w:rPr>
        <w:t>included</w:t>
      </w:r>
    </w:p>
    <w:p w14:paraId="5709BCF4" w14:textId="77777777" w:rsidR="001E10CF" w:rsidRDefault="000673C1">
      <w:pPr>
        <w:pStyle w:val="ListParagraph"/>
        <w:numPr>
          <w:ilvl w:val="0"/>
          <w:numId w:val="1"/>
        </w:numPr>
        <w:tabs>
          <w:tab w:val="left" w:pos="1198"/>
        </w:tabs>
        <w:spacing w:before="121"/>
        <w:rPr>
          <w:sz w:val="24"/>
        </w:rPr>
      </w:pPr>
      <w:r>
        <w:rPr>
          <w:sz w:val="24"/>
        </w:rPr>
        <w:t>details</w:t>
      </w:r>
      <w:r>
        <w:rPr>
          <w:spacing w:val="-4"/>
          <w:sz w:val="24"/>
        </w:rPr>
        <w:t xml:space="preserve"> </w:t>
      </w:r>
      <w:r>
        <w:rPr>
          <w:sz w:val="24"/>
        </w:rPr>
        <w:t>of</w:t>
      </w:r>
      <w:r>
        <w:rPr>
          <w:spacing w:val="-3"/>
          <w:sz w:val="24"/>
        </w:rPr>
        <w:t xml:space="preserve"> </w:t>
      </w:r>
      <w:r>
        <w:rPr>
          <w:sz w:val="24"/>
        </w:rPr>
        <w:t>alternative</w:t>
      </w:r>
      <w:r>
        <w:rPr>
          <w:spacing w:val="-4"/>
          <w:sz w:val="24"/>
        </w:rPr>
        <w:t xml:space="preserve"> </w:t>
      </w:r>
      <w:r>
        <w:rPr>
          <w:sz w:val="24"/>
        </w:rPr>
        <w:t>options</w:t>
      </w:r>
      <w:r>
        <w:rPr>
          <w:spacing w:val="-3"/>
          <w:sz w:val="24"/>
        </w:rPr>
        <w:t xml:space="preserve"> </w:t>
      </w:r>
      <w:r>
        <w:rPr>
          <w:spacing w:val="-2"/>
          <w:sz w:val="24"/>
        </w:rPr>
        <w:t>considered</w:t>
      </w:r>
    </w:p>
    <w:p w14:paraId="5709BCF5" w14:textId="77777777" w:rsidR="001E10CF" w:rsidRDefault="000673C1" w:rsidP="1A13625E">
      <w:pPr>
        <w:pStyle w:val="ListParagraph"/>
        <w:numPr>
          <w:ilvl w:val="0"/>
          <w:numId w:val="1"/>
        </w:numPr>
        <w:tabs>
          <w:tab w:val="left" w:pos="1198"/>
        </w:tabs>
        <w:spacing w:before="118"/>
        <w:ind w:right="464"/>
        <w:rPr>
          <w:sz w:val="24"/>
          <w:szCs w:val="24"/>
        </w:rPr>
      </w:pPr>
      <w:r w:rsidRPr="1A13625E">
        <w:rPr>
          <w:sz w:val="24"/>
          <w:szCs w:val="24"/>
        </w:rPr>
        <w:t>information</w:t>
      </w:r>
      <w:r w:rsidRPr="1A13625E">
        <w:rPr>
          <w:spacing w:val="-6"/>
          <w:sz w:val="24"/>
          <w:szCs w:val="24"/>
        </w:rPr>
        <w:t xml:space="preserve"> </w:t>
      </w:r>
      <w:r w:rsidRPr="1A13625E">
        <w:rPr>
          <w:sz w:val="24"/>
          <w:szCs w:val="24"/>
        </w:rPr>
        <w:t>on</w:t>
      </w:r>
      <w:r w:rsidRPr="1A13625E">
        <w:rPr>
          <w:spacing w:val="-6"/>
          <w:sz w:val="24"/>
          <w:szCs w:val="24"/>
        </w:rPr>
        <w:t xml:space="preserve"> </w:t>
      </w:r>
      <w:r w:rsidRPr="1A13625E">
        <w:rPr>
          <w:sz w:val="24"/>
          <w:szCs w:val="24"/>
        </w:rPr>
        <w:t>distributional</w:t>
      </w:r>
      <w:r w:rsidRPr="1A13625E">
        <w:rPr>
          <w:spacing w:val="-6"/>
          <w:sz w:val="24"/>
          <w:szCs w:val="24"/>
        </w:rPr>
        <w:t xml:space="preserve"> </w:t>
      </w:r>
      <w:r w:rsidRPr="1A13625E">
        <w:rPr>
          <w:sz w:val="24"/>
          <w:szCs w:val="24"/>
        </w:rPr>
        <w:t>impacts,</w:t>
      </w:r>
      <w:r w:rsidRPr="1A13625E">
        <w:rPr>
          <w:spacing w:val="-5"/>
          <w:sz w:val="24"/>
          <w:szCs w:val="24"/>
        </w:rPr>
        <w:t xml:space="preserve"> </w:t>
      </w:r>
      <w:r w:rsidRPr="1A13625E">
        <w:rPr>
          <w:sz w:val="24"/>
          <w:szCs w:val="24"/>
        </w:rPr>
        <w:t>regulatory</w:t>
      </w:r>
      <w:r w:rsidRPr="1A13625E">
        <w:rPr>
          <w:spacing w:val="-5"/>
          <w:sz w:val="24"/>
          <w:szCs w:val="24"/>
        </w:rPr>
        <w:t xml:space="preserve"> </w:t>
      </w:r>
      <w:r w:rsidRPr="1A13625E">
        <w:rPr>
          <w:sz w:val="24"/>
          <w:szCs w:val="24"/>
        </w:rPr>
        <w:t>burden</w:t>
      </w:r>
      <w:r w:rsidRPr="1A13625E">
        <w:rPr>
          <w:spacing w:val="-6"/>
          <w:sz w:val="24"/>
          <w:szCs w:val="24"/>
        </w:rPr>
        <w:t xml:space="preserve"> </w:t>
      </w:r>
      <w:r w:rsidRPr="1A13625E">
        <w:rPr>
          <w:sz w:val="24"/>
          <w:szCs w:val="24"/>
        </w:rPr>
        <w:t>estimates,</w:t>
      </w:r>
      <w:r w:rsidRPr="1A13625E">
        <w:rPr>
          <w:spacing w:val="-5"/>
          <w:sz w:val="24"/>
          <w:szCs w:val="24"/>
        </w:rPr>
        <w:t xml:space="preserve"> </w:t>
      </w:r>
      <w:r w:rsidRPr="1A13625E">
        <w:rPr>
          <w:sz w:val="24"/>
          <w:szCs w:val="24"/>
        </w:rPr>
        <w:t xml:space="preserve">and </w:t>
      </w:r>
      <w:r w:rsidRPr="1A13625E">
        <w:rPr>
          <w:sz w:val="24"/>
          <w:szCs w:val="24"/>
        </w:rPr>
        <w:lastRenderedPageBreak/>
        <w:t>competition and regulation</w:t>
      </w:r>
    </w:p>
    <w:p w14:paraId="5709BCF6" w14:textId="3AFDAAD3" w:rsidR="001E10CF" w:rsidRDefault="001E10CF" w:rsidP="091DBD6C">
      <w:pPr>
        <w:pStyle w:val="BodyText"/>
        <w:spacing w:before="118"/>
        <w:ind w:left="0"/>
        <w:rPr>
          <w:sz w:val="14"/>
          <w:szCs w:val="14"/>
        </w:rPr>
      </w:pPr>
    </w:p>
    <w:p w14:paraId="5709BCF7" w14:textId="79C9E062" w:rsidR="001E10CF" w:rsidRDefault="001E10CF" w:rsidP="091DBD6C">
      <w:pPr>
        <w:pStyle w:val="BodyText"/>
        <w:spacing w:before="67"/>
        <w:ind w:left="0"/>
        <w:rPr>
          <w:sz w:val="14"/>
          <w:szCs w:val="14"/>
        </w:rPr>
      </w:pPr>
    </w:p>
    <w:p w14:paraId="5709BCF8" w14:textId="46EE7A40" w:rsidR="001E10CF" w:rsidRDefault="000673C1" w:rsidP="091DBD6C">
      <w:pPr>
        <w:spacing w:before="118"/>
        <w:ind w:left="1" w:right="2"/>
        <w:jc w:val="center"/>
        <w:rPr>
          <w:rFonts w:ascii="Arial"/>
          <w:sz w:val="14"/>
          <w:szCs w:val="14"/>
        </w:rPr>
      </w:pPr>
      <w:r w:rsidRPr="091DBD6C">
        <w:rPr>
          <w:rFonts w:ascii="Arial"/>
          <w:b/>
          <w:bCs/>
          <w:sz w:val="14"/>
          <w:szCs w:val="14"/>
        </w:rPr>
        <w:t xml:space="preserve">Phone: </w:t>
      </w:r>
      <w:r w:rsidRPr="091DBD6C">
        <w:rPr>
          <w:rFonts w:ascii="Arial"/>
          <w:sz w:val="14"/>
          <w:szCs w:val="14"/>
        </w:rPr>
        <w:t xml:space="preserve">(02) 6289 4200 </w:t>
      </w:r>
      <w:r w:rsidRPr="091DBD6C">
        <w:rPr>
          <w:rFonts w:ascii="Arial"/>
          <w:b/>
          <w:bCs/>
          <w:sz w:val="14"/>
          <w:szCs w:val="14"/>
        </w:rPr>
        <w:t xml:space="preserve">Email: </w:t>
      </w:r>
      <w:hyperlink r:id="rId9">
        <w:r w:rsidRPr="091DBD6C">
          <w:rPr>
            <w:rFonts w:ascii="Arial"/>
            <w:sz w:val="14"/>
            <w:szCs w:val="14"/>
          </w:rPr>
          <w:t>anthony.lawler@health.gov.au</w:t>
        </w:r>
      </w:hyperlink>
    </w:p>
    <w:p w14:paraId="5709BCF9" w14:textId="20CBA03D" w:rsidR="001E10CF" w:rsidRDefault="000673C1" w:rsidP="091DBD6C">
      <w:pPr>
        <w:spacing w:before="81"/>
        <w:ind w:left="1" w:right="2"/>
        <w:jc w:val="center"/>
        <w:rPr>
          <w:rFonts w:ascii="Arial"/>
          <w:b/>
          <w:bCs/>
          <w:sz w:val="14"/>
          <w:szCs w:val="14"/>
        </w:rPr>
      </w:pPr>
      <w:r w:rsidRPr="091DBD6C">
        <w:rPr>
          <w:rFonts w:ascii="Arial"/>
          <w:sz w:val="14"/>
          <w:szCs w:val="14"/>
        </w:rPr>
        <w:t xml:space="preserve">Gulgana Building, 27 Scherger Drive, Fairbairn ACT 2609 - PO Box 100 Woden ACT 2606 </w:t>
      </w:r>
      <w:r w:rsidRPr="091DBD6C">
        <w:rPr>
          <w:rFonts w:ascii="Arial"/>
          <w:b/>
          <w:bCs/>
          <w:sz w:val="14"/>
          <w:szCs w:val="14"/>
        </w:rPr>
        <w:t xml:space="preserve">- </w:t>
      </w:r>
      <w:hyperlink r:id="rId10">
        <w:r w:rsidRPr="091DBD6C">
          <w:rPr>
            <w:rFonts w:ascii="Arial"/>
            <w:b/>
            <w:bCs/>
            <w:sz w:val="14"/>
            <w:szCs w:val="14"/>
          </w:rPr>
          <w:t>www.tga.gov.au</w:t>
        </w:r>
      </w:hyperlink>
    </w:p>
    <w:p w14:paraId="5709BCFA" w14:textId="26BF3FB9" w:rsidR="001E10CF" w:rsidRDefault="001E10CF" w:rsidP="091DBD6C">
      <w:pPr>
        <w:spacing w:before="118"/>
        <w:jc w:val="center"/>
        <w:rPr>
          <w:rFonts w:ascii="Arial"/>
          <w:sz w:val="14"/>
          <w:szCs w:val="14"/>
        </w:rPr>
        <w:sectPr w:rsidR="001E10CF">
          <w:headerReference w:type="even" r:id="rId11"/>
          <w:headerReference w:type="default" r:id="rId12"/>
          <w:footerReference w:type="even" r:id="rId13"/>
          <w:footerReference w:type="default" r:id="rId14"/>
          <w:headerReference w:type="first" r:id="rId15"/>
          <w:footerReference w:type="first" r:id="rId16"/>
          <w:type w:val="continuous"/>
          <w:pgSz w:w="11910" w:h="16840"/>
          <w:pgMar w:top="540" w:right="1300" w:bottom="280" w:left="1300" w:header="720" w:footer="720" w:gutter="0"/>
          <w:cols w:space="720"/>
        </w:sectPr>
      </w:pPr>
    </w:p>
    <w:p w14:paraId="5709BCFB" w14:textId="77777777" w:rsidR="001E10CF" w:rsidRDefault="000673C1" w:rsidP="091DBD6C">
      <w:pPr>
        <w:spacing w:before="77"/>
        <w:ind w:left="2" w:right="1"/>
        <w:jc w:val="center"/>
        <w:rPr>
          <w:sz w:val="20"/>
          <w:szCs w:val="20"/>
        </w:rPr>
      </w:pPr>
      <w:r w:rsidRPr="091DBD6C">
        <w:rPr>
          <w:sz w:val="20"/>
          <w:szCs w:val="20"/>
        </w:rPr>
        <w:lastRenderedPageBreak/>
        <w:t xml:space="preserve">- 2 </w:t>
      </w:r>
      <w:r w:rsidRPr="091DBD6C">
        <w:rPr>
          <w:spacing w:val="-10"/>
          <w:sz w:val="20"/>
          <w:szCs w:val="20"/>
        </w:rPr>
        <w:t>-</w:t>
      </w:r>
    </w:p>
    <w:p w14:paraId="5709BCFC" w14:textId="77777777" w:rsidR="001E10CF" w:rsidRDefault="000673C1" w:rsidP="091DBD6C">
      <w:pPr>
        <w:pStyle w:val="ListParagraph"/>
        <w:numPr>
          <w:ilvl w:val="0"/>
          <w:numId w:val="1"/>
        </w:numPr>
        <w:tabs>
          <w:tab w:val="left" w:pos="1198"/>
        </w:tabs>
        <w:spacing w:before="2"/>
        <w:rPr>
          <w:sz w:val="24"/>
          <w:szCs w:val="24"/>
        </w:rPr>
      </w:pPr>
      <w:r w:rsidRPr="091DBD6C">
        <w:rPr>
          <w:sz w:val="24"/>
          <w:szCs w:val="24"/>
        </w:rPr>
        <w:t>net</w:t>
      </w:r>
      <w:r w:rsidRPr="091DBD6C">
        <w:rPr>
          <w:spacing w:val="-2"/>
          <w:sz w:val="24"/>
          <w:szCs w:val="24"/>
        </w:rPr>
        <w:t xml:space="preserve"> </w:t>
      </w:r>
      <w:r w:rsidRPr="091DBD6C">
        <w:rPr>
          <w:sz w:val="24"/>
          <w:szCs w:val="24"/>
        </w:rPr>
        <w:t>benefit</w:t>
      </w:r>
      <w:r w:rsidRPr="091DBD6C">
        <w:rPr>
          <w:spacing w:val="-2"/>
          <w:sz w:val="24"/>
          <w:szCs w:val="24"/>
        </w:rPr>
        <w:t xml:space="preserve"> </w:t>
      </w:r>
      <w:r w:rsidRPr="091DBD6C">
        <w:rPr>
          <w:sz w:val="24"/>
          <w:szCs w:val="24"/>
        </w:rPr>
        <w:t>based</w:t>
      </w:r>
      <w:r w:rsidRPr="091DBD6C">
        <w:rPr>
          <w:spacing w:val="-2"/>
          <w:sz w:val="24"/>
          <w:szCs w:val="24"/>
        </w:rPr>
        <w:t xml:space="preserve"> </w:t>
      </w:r>
      <w:r w:rsidRPr="091DBD6C">
        <w:rPr>
          <w:sz w:val="24"/>
          <w:szCs w:val="24"/>
        </w:rPr>
        <w:t>on</w:t>
      </w:r>
      <w:r w:rsidRPr="091DBD6C">
        <w:rPr>
          <w:spacing w:val="-3"/>
          <w:sz w:val="24"/>
          <w:szCs w:val="24"/>
        </w:rPr>
        <w:t xml:space="preserve"> </w:t>
      </w:r>
      <w:r w:rsidRPr="091DBD6C">
        <w:rPr>
          <w:sz w:val="24"/>
          <w:szCs w:val="24"/>
        </w:rPr>
        <w:t>qualitative</w:t>
      </w:r>
      <w:r w:rsidRPr="091DBD6C">
        <w:rPr>
          <w:spacing w:val="-1"/>
          <w:sz w:val="24"/>
          <w:szCs w:val="24"/>
        </w:rPr>
        <w:t xml:space="preserve"> </w:t>
      </w:r>
      <w:r w:rsidRPr="091DBD6C">
        <w:rPr>
          <w:spacing w:val="-2"/>
          <w:sz w:val="24"/>
          <w:szCs w:val="24"/>
        </w:rPr>
        <w:t>analysis</w:t>
      </w:r>
    </w:p>
    <w:p w14:paraId="5709BCFD" w14:textId="77777777" w:rsidR="001E10CF" w:rsidRDefault="000673C1">
      <w:pPr>
        <w:pStyle w:val="ListParagraph"/>
        <w:numPr>
          <w:ilvl w:val="0"/>
          <w:numId w:val="1"/>
        </w:numPr>
        <w:tabs>
          <w:tab w:val="left" w:pos="1198"/>
        </w:tabs>
        <w:spacing w:before="121"/>
        <w:rPr>
          <w:sz w:val="24"/>
        </w:rPr>
      </w:pPr>
      <w:r>
        <w:rPr>
          <w:sz w:val="24"/>
        </w:rPr>
        <w:t>consideration</w:t>
      </w:r>
      <w:r>
        <w:rPr>
          <w:spacing w:val="-7"/>
          <w:sz w:val="24"/>
        </w:rPr>
        <w:t xml:space="preserve"> </w:t>
      </w:r>
      <w:r>
        <w:rPr>
          <w:sz w:val="24"/>
        </w:rPr>
        <w:t>of</w:t>
      </w:r>
      <w:r>
        <w:rPr>
          <w:spacing w:val="-5"/>
          <w:sz w:val="24"/>
        </w:rPr>
        <w:t xml:space="preserve"> </w:t>
      </w:r>
      <w:r>
        <w:rPr>
          <w:sz w:val="24"/>
        </w:rPr>
        <w:t>regulatory</w:t>
      </w:r>
      <w:r>
        <w:rPr>
          <w:spacing w:val="-4"/>
          <w:sz w:val="24"/>
        </w:rPr>
        <w:t xml:space="preserve"> </w:t>
      </w:r>
      <w:r>
        <w:rPr>
          <w:sz w:val="24"/>
        </w:rPr>
        <w:t>costing</w:t>
      </w:r>
      <w:r>
        <w:rPr>
          <w:spacing w:val="-4"/>
          <w:sz w:val="24"/>
        </w:rPr>
        <w:t xml:space="preserve"> </w:t>
      </w:r>
      <w:r>
        <w:rPr>
          <w:sz w:val="24"/>
        </w:rPr>
        <w:t>by</w:t>
      </w:r>
      <w:r>
        <w:rPr>
          <w:spacing w:val="-4"/>
          <w:sz w:val="24"/>
        </w:rPr>
        <w:t xml:space="preserve"> </w:t>
      </w:r>
      <w:r>
        <w:rPr>
          <w:sz w:val="24"/>
        </w:rPr>
        <w:t>providing</w:t>
      </w:r>
      <w:r>
        <w:rPr>
          <w:spacing w:val="-5"/>
          <w:sz w:val="24"/>
        </w:rPr>
        <w:t xml:space="preserve"> </w:t>
      </w:r>
      <w:r>
        <w:rPr>
          <w:sz w:val="24"/>
        </w:rPr>
        <w:t>hypothetical</w:t>
      </w:r>
      <w:r>
        <w:rPr>
          <w:spacing w:val="-4"/>
          <w:sz w:val="24"/>
        </w:rPr>
        <w:t xml:space="preserve"> </w:t>
      </w:r>
      <w:r>
        <w:rPr>
          <w:spacing w:val="-2"/>
          <w:sz w:val="24"/>
        </w:rPr>
        <w:t>scenarios</w:t>
      </w:r>
    </w:p>
    <w:p w14:paraId="5709BCFE" w14:textId="77777777" w:rsidR="001E10CF" w:rsidRDefault="000673C1">
      <w:pPr>
        <w:pStyle w:val="ListParagraph"/>
        <w:numPr>
          <w:ilvl w:val="0"/>
          <w:numId w:val="1"/>
        </w:numPr>
        <w:tabs>
          <w:tab w:val="left" w:pos="1198"/>
        </w:tabs>
        <w:spacing w:before="118"/>
        <w:rPr>
          <w:sz w:val="24"/>
        </w:rPr>
      </w:pPr>
      <w:r>
        <w:rPr>
          <w:sz w:val="24"/>
        </w:rPr>
        <w:t>implementation</w:t>
      </w:r>
      <w:r>
        <w:rPr>
          <w:spacing w:val="-5"/>
          <w:sz w:val="24"/>
        </w:rPr>
        <w:t xml:space="preserve"> </w:t>
      </w:r>
      <w:r>
        <w:rPr>
          <w:sz w:val="24"/>
        </w:rPr>
        <w:t>risks,</w:t>
      </w:r>
      <w:r>
        <w:rPr>
          <w:spacing w:val="-4"/>
          <w:sz w:val="24"/>
        </w:rPr>
        <w:t xml:space="preserve"> </w:t>
      </w:r>
      <w:r>
        <w:rPr>
          <w:sz w:val="24"/>
        </w:rPr>
        <w:t>risk</w:t>
      </w:r>
      <w:r>
        <w:rPr>
          <w:spacing w:val="-4"/>
          <w:sz w:val="24"/>
        </w:rPr>
        <w:t xml:space="preserve"> </w:t>
      </w:r>
      <w:r>
        <w:rPr>
          <w:sz w:val="24"/>
        </w:rPr>
        <w:t>rating</w:t>
      </w:r>
      <w:r>
        <w:rPr>
          <w:spacing w:val="-3"/>
          <w:sz w:val="24"/>
        </w:rPr>
        <w:t xml:space="preserve"> </w:t>
      </w:r>
      <w:r>
        <w:rPr>
          <w:sz w:val="24"/>
        </w:rPr>
        <w:t>and</w:t>
      </w:r>
      <w:r>
        <w:rPr>
          <w:spacing w:val="-5"/>
          <w:sz w:val="24"/>
        </w:rPr>
        <w:t xml:space="preserve"> </w:t>
      </w:r>
      <w:r>
        <w:rPr>
          <w:sz w:val="24"/>
        </w:rPr>
        <w:t>mitigation</w:t>
      </w:r>
      <w:r>
        <w:rPr>
          <w:spacing w:val="-4"/>
          <w:sz w:val="24"/>
        </w:rPr>
        <w:t xml:space="preserve"> </w:t>
      </w:r>
      <w:r>
        <w:rPr>
          <w:spacing w:val="-2"/>
          <w:sz w:val="24"/>
        </w:rPr>
        <w:t>measures</w:t>
      </w:r>
    </w:p>
    <w:p w14:paraId="5709BCFF" w14:textId="77777777" w:rsidR="001E10CF" w:rsidRDefault="000673C1">
      <w:pPr>
        <w:pStyle w:val="ListParagraph"/>
        <w:numPr>
          <w:ilvl w:val="0"/>
          <w:numId w:val="1"/>
        </w:numPr>
        <w:tabs>
          <w:tab w:val="left" w:pos="1198"/>
        </w:tabs>
        <w:spacing w:before="121"/>
        <w:rPr>
          <w:sz w:val="24"/>
        </w:rPr>
      </w:pPr>
      <w:r>
        <w:rPr>
          <w:sz w:val="24"/>
        </w:rPr>
        <w:t>impact</w:t>
      </w:r>
      <w:r>
        <w:rPr>
          <w:spacing w:val="-3"/>
          <w:sz w:val="24"/>
        </w:rPr>
        <w:t xml:space="preserve"> </w:t>
      </w:r>
      <w:r>
        <w:rPr>
          <w:sz w:val="24"/>
        </w:rPr>
        <w:t>analysis</w:t>
      </w:r>
      <w:r>
        <w:rPr>
          <w:spacing w:val="-4"/>
          <w:sz w:val="24"/>
        </w:rPr>
        <w:t xml:space="preserve"> </w:t>
      </w:r>
      <w:r>
        <w:rPr>
          <w:sz w:val="24"/>
        </w:rPr>
        <w:t>decision</w:t>
      </w:r>
      <w:r>
        <w:rPr>
          <w:spacing w:val="-3"/>
          <w:sz w:val="24"/>
        </w:rPr>
        <w:t xml:space="preserve"> </w:t>
      </w:r>
      <w:r>
        <w:rPr>
          <w:spacing w:val="-2"/>
          <w:sz w:val="24"/>
        </w:rPr>
        <w:t>points</w:t>
      </w:r>
    </w:p>
    <w:p w14:paraId="5709BD00" w14:textId="77777777" w:rsidR="001E10CF" w:rsidRDefault="000673C1">
      <w:pPr>
        <w:pStyle w:val="ListParagraph"/>
        <w:numPr>
          <w:ilvl w:val="0"/>
          <w:numId w:val="1"/>
        </w:numPr>
        <w:tabs>
          <w:tab w:val="left" w:pos="1198"/>
        </w:tabs>
        <w:rPr>
          <w:sz w:val="24"/>
        </w:rPr>
      </w:pPr>
      <w:r>
        <w:rPr>
          <w:sz w:val="24"/>
        </w:rPr>
        <w:t>evaluation</w:t>
      </w:r>
      <w:r>
        <w:rPr>
          <w:spacing w:val="-3"/>
          <w:sz w:val="24"/>
        </w:rPr>
        <w:t xml:space="preserve"> </w:t>
      </w:r>
      <w:r>
        <w:rPr>
          <w:spacing w:val="-2"/>
          <w:sz w:val="24"/>
        </w:rPr>
        <w:t>plan.</w:t>
      </w:r>
    </w:p>
    <w:p w14:paraId="5709BD01" w14:textId="77777777" w:rsidR="001E10CF" w:rsidRDefault="000673C1">
      <w:pPr>
        <w:pStyle w:val="BodyText"/>
        <w:spacing w:before="120"/>
        <w:ind w:left="118"/>
      </w:pPr>
      <w:r>
        <w:t>Due</w:t>
      </w:r>
      <w:r>
        <w:rPr>
          <w:spacing w:val="-3"/>
        </w:rPr>
        <w:t xml:space="preserve"> </w:t>
      </w:r>
      <w:r>
        <w:t>to</w:t>
      </w:r>
      <w:r>
        <w:rPr>
          <w:spacing w:val="-3"/>
        </w:rPr>
        <w:t xml:space="preserve"> </w:t>
      </w:r>
      <w:r>
        <w:t>data</w:t>
      </w:r>
      <w:r>
        <w:rPr>
          <w:spacing w:val="-3"/>
        </w:rPr>
        <w:t xml:space="preserve"> </w:t>
      </w:r>
      <w:r>
        <w:t>limitations,</w:t>
      </w:r>
      <w:r>
        <w:rPr>
          <w:spacing w:val="-3"/>
        </w:rPr>
        <w:t xml:space="preserve"> </w:t>
      </w:r>
      <w:r>
        <w:t>regulatory</w:t>
      </w:r>
      <w:r>
        <w:rPr>
          <w:spacing w:val="-3"/>
        </w:rPr>
        <w:t xml:space="preserve"> </w:t>
      </w:r>
      <w:r>
        <w:t>burden</w:t>
      </w:r>
      <w:r>
        <w:rPr>
          <w:spacing w:val="-4"/>
        </w:rPr>
        <w:t xml:space="preserve"> </w:t>
      </w:r>
      <w:r>
        <w:t>estimates</w:t>
      </w:r>
      <w:r>
        <w:rPr>
          <w:spacing w:val="-4"/>
        </w:rPr>
        <w:t xml:space="preserve"> </w:t>
      </w:r>
      <w:r>
        <w:t>have</w:t>
      </w:r>
      <w:r>
        <w:rPr>
          <w:spacing w:val="-3"/>
        </w:rPr>
        <w:t xml:space="preserve"> </w:t>
      </w:r>
      <w:r>
        <w:t>been</w:t>
      </w:r>
      <w:r>
        <w:rPr>
          <w:spacing w:val="-4"/>
        </w:rPr>
        <w:t xml:space="preserve"> </w:t>
      </w:r>
      <w:r>
        <w:t>calculated</w:t>
      </w:r>
      <w:r>
        <w:rPr>
          <w:spacing w:val="-4"/>
        </w:rPr>
        <w:t xml:space="preserve"> </w:t>
      </w:r>
      <w:r>
        <w:t>based</w:t>
      </w:r>
      <w:r>
        <w:rPr>
          <w:spacing w:val="-4"/>
        </w:rPr>
        <w:t xml:space="preserve"> </w:t>
      </w:r>
      <w:r>
        <w:t>on hypothetical scenarios. In addition, a qualitative net benefit analysis has also been conducted to compare the net benefits of each option.</w:t>
      </w:r>
    </w:p>
    <w:p w14:paraId="5709BD02" w14:textId="77777777" w:rsidR="001E10CF" w:rsidRDefault="000673C1">
      <w:pPr>
        <w:spacing w:before="298"/>
        <w:ind w:left="118"/>
        <w:rPr>
          <w:sz w:val="24"/>
        </w:rPr>
      </w:pPr>
      <w:r>
        <w:rPr>
          <w:sz w:val="24"/>
        </w:rPr>
        <w:t>Accordingly, I am satisfied that the IA is now consistent with the 6 principles for Australian</w:t>
      </w:r>
      <w:r>
        <w:rPr>
          <w:spacing w:val="-4"/>
          <w:sz w:val="24"/>
        </w:rPr>
        <w:t xml:space="preserve"> </w:t>
      </w:r>
      <w:r>
        <w:rPr>
          <w:sz w:val="24"/>
        </w:rPr>
        <w:t>Government</w:t>
      </w:r>
      <w:r>
        <w:rPr>
          <w:spacing w:val="-3"/>
          <w:sz w:val="24"/>
        </w:rPr>
        <w:t xml:space="preserve"> </w:t>
      </w:r>
      <w:r>
        <w:rPr>
          <w:sz w:val="24"/>
        </w:rPr>
        <w:t>policy</w:t>
      </w:r>
      <w:r>
        <w:rPr>
          <w:spacing w:val="-3"/>
          <w:sz w:val="24"/>
        </w:rPr>
        <w:t xml:space="preserve"> </w:t>
      </w:r>
      <w:r>
        <w:rPr>
          <w:sz w:val="24"/>
        </w:rPr>
        <w:t>makers</w:t>
      </w:r>
      <w:r>
        <w:rPr>
          <w:spacing w:val="-4"/>
          <w:sz w:val="24"/>
        </w:rPr>
        <w:t xml:space="preserve"> </w:t>
      </w:r>
      <w:r>
        <w:rPr>
          <w:sz w:val="24"/>
        </w:rPr>
        <w:t>as</w:t>
      </w:r>
      <w:r>
        <w:rPr>
          <w:spacing w:val="-4"/>
          <w:sz w:val="24"/>
        </w:rPr>
        <w:t xml:space="preserve"> </w:t>
      </w:r>
      <w:r>
        <w:rPr>
          <w:sz w:val="24"/>
        </w:rPr>
        <w:t>specified</w:t>
      </w:r>
      <w:r>
        <w:rPr>
          <w:spacing w:val="-4"/>
          <w:sz w:val="24"/>
        </w:rPr>
        <w:t xml:space="preserve"> </w:t>
      </w:r>
      <w:r>
        <w:rPr>
          <w:sz w:val="24"/>
        </w:rPr>
        <w:t>in</w:t>
      </w:r>
      <w:r>
        <w:rPr>
          <w:spacing w:val="-4"/>
          <w:sz w:val="24"/>
        </w:rPr>
        <w:t xml:space="preserve"> </w:t>
      </w:r>
      <w:r>
        <w:rPr>
          <w:sz w:val="24"/>
        </w:rPr>
        <w:t>the</w:t>
      </w:r>
      <w:r>
        <w:rPr>
          <w:spacing w:val="-3"/>
          <w:sz w:val="24"/>
        </w:rPr>
        <w:t xml:space="preserve"> </w:t>
      </w:r>
      <w:r>
        <w:rPr>
          <w:i/>
          <w:sz w:val="24"/>
        </w:rPr>
        <w:t>Australian</w:t>
      </w:r>
      <w:r>
        <w:rPr>
          <w:i/>
          <w:spacing w:val="-1"/>
          <w:sz w:val="24"/>
        </w:rPr>
        <w:t xml:space="preserve"> </w:t>
      </w:r>
      <w:r>
        <w:rPr>
          <w:i/>
          <w:sz w:val="24"/>
        </w:rPr>
        <w:t>Government</w:t>
      </w:r>
      <w:r>
        <w:rPr>
          <w:i/>
          <w:spacing w:val="-4"/>
          <w:sz w:val="24"/>
        </w:rPr>
        <w:t xml:space="preserve"> </w:t>
      </w:r>
      <w:r>
        <w:rPr>
          <w:i/>
          <w:sz w:val="24"/>
        </w:rPr>
        <w:t>Guide to Policy Impact Analysis</w:t>
      </w:r>
      <w:r>
        <w:rPr>
          <w:sz w:val="24"/>
        </w:rPr>
        <w:t>.</w:t>
      </w:r>
    </w:p>
    <w:p w14:paraId="5709BD03" w14:textId="31D02E32" w:rsidR="001E10CF" w:rsidRDefault="000673C1">
      <w:pPr>
        <w:pStyle w:val="BodyText"/>
        <w:spacing w:before="298" w:line="432" w:lineRule="auto"/>
        <w:ind w:left="118" w:right="627"/>
      </w:pPr>
      <w:r>
        <w:t>I</w:t>
      </w:r>
      <w:r>
        <w:rPr>
          <w:spacing w:val="-3"/>
        </w:rPr>
        <w:t xml:space="preserve"> </w:t>
      </w:r>
      <w:r>
        <w:t>submit</w:t>
      </w:r>
      <w:r>
        <w:rPr>
          <w:spacing w:val="-3"/>
        </w:rPr>
        <w:t xml:space="preserve"> </w:t>
      </w:r>
      <w:r>
        <w:t>the</w:t>
      </w:r>
      <w:r>
        <w:rPr>
          <w:spacing w:val="-3"/>
        </w:rPr>
        <w:t xml:space="preserve"> </w:t>
      </w:r>
      <w:r>
        <w:t>IA</w:t>
      </w:r>
      <w:r>
        <w:rPr>
          <w:spacing w:val="-3"/>
        </w:rPr>
        <w:t xml:space="preserve"> </w:t>
      </w:r>
      <w:r>
        <w:t>to</w:t>
      </w:r>
      <w:r>
        <w:rPr>
          <w:spacing w:val="-3"/>
        </w:rPr>
        <w:t xml:space="preserve"> </w:t>
      </w:r>
      <w:r>
        <w:t>the</w:t>
      </w:r>
      <w:r>
        <w:rPr>
          <w:spacing w:val="-6"/>
        </w:rPr>
        <w:t xml:space="preserve"> </w:t>
      </w:r>
      <w:r>
        <w:t>Office</w:t>
      </w:r>
      <w:r>
        <w:rPr>
          <w:spacing w:val="-3"/>
        </w:rPr>
        <w:t xml:space="preserve"> </w:t>
      </w:r>
      <w:r>
        <w:t>of</w:t>
      </w:r>
      <w:r>
        <w:rPr>
          <w:spacing w:val="-4"/>
        </w:rPr>
        <w:t xml:space="preserve"> </w:t>
      </w:r>
      <w:r>
        <w:t>Impact</w:t>
      </w:r>
      <w:r>
        <w:rPr>
          <w:spacing w:val="-3"/>
        </w:rPr>
        <w:t xml:space="preserve"> </w:t>
      </w:r>
      <w:r>
        <w:t>Analysis</w:t>
      </w:r>
      <w:r>
        <w:rPr>
          <w:spacing w:val="-4"/>
        </w:rPr>
        <w:t xml:space="preserve"> </w:t>
      </w:r>
      <w:r>
        <w:t>for</w:t>
      </w:r>
      <w:r>
        <w:rPr>
          <w:spacing w:val="-2"/>
        </w:rPr>
        <w:t xml:space="preserve"> </w:t>
      </w:r>
      <w:r>
        <w:t>formal</w:t>
      </w:r>
      <w:r>
        <w:rPr>
          <w:spacing w:val="-4"/>
        </w:rPr>
        <w:t xml:space="preserve"> </w:t>
      </w:r>
      <w:r>
        <w:t>final</w:t>
      </w:r>
      <w:r>
        <w:rPr>
          <w:spacing w:val="-4"/>
        </w:rPr>
        <w:t xml:space="preserve"> </w:t>
      </w:r>
      <w:r>
        <w:t>assessment. Yours sincerely</w:t>
      </w:r>
    </w:p>
    <w:p w14:paraId="5709BD04" w14:textId="77777777" w:rsidR="001E10CF" w:rsidRDefault="000673C1">
      <w:pPr>
        <w:pStyle w:val="BodyText"/>
        <w:spacing w:before="297"/>
        <w:ind w:left="118"/>
      </w:pPr>
      <w:r>
        <w:t>Professor</w:t>
      </w:r>
      <w:r>
        <w:rPr>
          <w:spacing w:val="-3"/>
        </w:rPr>
        <w:t xml:space="preserve"> </w:t>
      </w:r>
      <w:r>
        <w:t>Anthony</w:t>
      </w:r>
      <w:r>
        <w:rPr>
          <w:spacing w:val="-2"/>
        </w:rPr>
        <w:t xml:space="preserve"> Lawler</w:t>
      </w:r>
    </w:p>
    <w:p w14:paraId="5709BD05" w14:textId="77777777" w:rsidR="001E10CF" w:rsidRDefault="000673C1">
      <w:pPr>
        <w:pStyle w:val="BodyText"/>
        <w:spacing w:before="2" w:line="480" w:lineRule="auto"/>
        <w:ind w:left="118" w:right="5293"/>
      </w:pPr>
      <w:r>
        <w:t>Health</w:t>
      </w:r>
      <w:r>
        <w:rPr>
          <w:spacing w:val="-11"/>
        </w:rPr>
        <w:t xml:space="preserve"> </w:t>
      </w:r>
      <w:r>
        <w:t>Products</w:t>
      </w:r>
      <w:r>
        <w:rPr>
          <w:spacing w:val="-11"/>
        </w:rPr>
        <w:t xml:space="preserve"> </w:t>
      </w:r>
      <w:r>
        <w:t>Regulation</w:t>
      </w:r>
      <w:r>
        <w:rPr>
          <w:spacing w:val="-11"/>
        </w:rPr>
        <w:t xml:space="preserve"> </w:t>
      </w:r>
      <w:r>
        <w:t>Group 29 November 2024</w:t>
      </w:r>
    </w:p>
    <w:sectPr w:rsidR="001E10CF">
      <w:pgSz w:w="11910" w:h="16840"/>
      <w:pgMar w:top="30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04F85" w14:textId="77777777" w:rsidR="00F166C7" w:rsidRDefault="00F166C7" w:rsidP="00F166C7">
      <w:r>
        <w:separator/>
      </w:r>
    </w:p>
  </w:endnote>
  <w:endnote w:type="continuationSeparator" w:id="0">
    <w:p w14:paraId="55BE4238" w14:textId="77777777" w:rsidR="00F166C7" w:rsidRDefault="00F166C7" w:rsidP="00F1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F093A" w14:textId="77777777" w:rsidR="00F166C7" w:rsidRDefault="00F16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57B68" w14:textId="77777777" w:rsidR="00F166C7" w:rsidRDefault="00F166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C7378" w14:textId="77777777" w:rsidR="00F166C7" w:rsidRDefault="00F16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0099C" w14:textId="77777777" w:rsidR="00F166C7" w:rsidRDefault="00F166C7" w:rsidP="00F166C7">
      <w:r>
        <w:separator/>
      </w:r>
    </w:p>
  </w:footnote>
  <w:footnote w:type="continuationSeparator" w:id="0">
    <w:p w14:paraId="3C274C2A" w14:textId="77777777" w:rsidR="00F166C7" w:rsidRDefault="00F166C7" w:rsidP="00F16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0B86D" w14:textId="77777777" w:rsidR="00F166C7" w:rsidRDefault="00F16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688CC" w14:textId="77777777" w:rsidR="00F166C7" w:rsidRDefault="00F166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BAE8E" w14:textId="77777777" w:rsidR="00F166C7" w:rsidRDefault="00F16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E029B"/>
    <w:multiLevelType w:val="hybridMultilevel"/>
    <w:tmpl w:val="510A64D0"/>
    <w:lvl w:ilvl="0" w:tplc="0B3EAA84">
      <w:numFmt w:val="bullet"/>
      <w:lvlText w:val=""/>
      <w:lvlJc w:val="left"/>
      <w:pPr>
        <w:ind w:left="1198" w:hanging="360"/>
      </w:pPr>
      <w:rPr>
        <w:rFonts w:ascii="Symbol" w:eastAsia="Symbol" w:hAnsi="Symbol" w:cs="Symbol" w:hint="default"/>
        <w:b w:val="0"/>
        <w:bCs w:val="0"/>
        <w:i w:val="0"/>
        <w:iCs w:val="0"/>
        <w:spacing w:val="0"/>
        <w:w w:val="100"/>
        <w:sz w:val="24"/>
        <w:szCs w:val="24"/>
        <w:lang w:val="en-US" w:eastAsia="en-US" w:bidi="ar-SA"/>
      </w:rPr>
    </w:lvl>
    <w:lvl w:ilvl="1" w:tplc="3A70258A">
      <w:numFmt w:val="bullet"/>
      <w:lvlText w:val="•"/>
      <w:lvlJc w:val="left"/>
      <w:pPr>
        <w:ind w:left="2010" w:hanging="360"/>
      </w:pPr>
      <w:rPr>
        <w:rFonts w:hint="default"/>
        <w:lang w:val="en-US" w:eastAsia="en-US" w:bidi="ar-SA"/>
      </w:rPr>
    </w:lvl>
    <w:lvl w:ilvl="2" w:tplc="895ACA04">
      <w:numFmt w:val="bullet"/>
      <w:lvlText w:val="•"/>
      <w:lvlJc w:val="left"/>
      <w:pPr>
        <w:ind w:left="2821" w:hanging="360"/>
      </w:pPr>
      <w:rPr>
        <w:rFonts w:hint="default"/>
        <w:lang w:val="en-US" w:eastAsia="en-US" w:bidi="ar-SA"/>
      </w:rPr>
    </w:lvl>
    <w:lvl w:ilvl="3" w:tplc="B0040DAC">
      <w:numFmt w:val="bullet"/>
      <w:lvlText w:val="•"/>
      <w:lvlJc w:val="left"/>
      <w:pPr>
        <w:ind w:left="3631" w:hanging="360"/>
      </w:pPr>
      <w:rPr>
        <w:rFonts w:hint="default"/>
        <w:lang w:val="en-US" w:eastAsia="en-US" w:bidi="ar-SA"/>
      </w:rPr>
    </w:lvl>
    <w:lvl w:ilvl="4" w:tplc="FC1C4E5A">
      <w:numFmt w:val="bullet"/>
      <w:lvlText w:val="•"/>
      <w:lvlJc w:val="left"/>
      <w:pPr>
        <w:ind w:left="4442" w:hanging="360"/>
      </w:pPr>
      <w:rPr>
        <w:rFonts w:hint="default"/>
        <w:lang w:val="en-US" w:eastAsia="en-US" w:bidi="ar-SA"/>
      </w:rPr>
    </w:lvl>
    <w:lvl w:ilvl="5" w:tplc="313422A4">
      <w:numFmt w:val="bullet"/>
      <w:lvlText w:val="•"/>
      <w:lvlJc w:val="left"/>
      <w:pPr>
        <w:ind w:left="5253" w:hanging="360"/>
      </w:pPr>
      <w:rPr>
        <w:rFonts w:hint="default"/>
        <w:lang w:val="en-US" w:eastAsia="en-US" w:bidi="ar-SA"/>
      </w:rPr>
    </w:lvl>
    <w:lvl w:ilvl="6" w:tplc="65B8A76E">
      <w:numFmt w:val="bullet"/>
      <w:lvlText w:val="•"/>
      <w:lvlJc w:val="left"/>
      <w:pPr>
        <w:ind w:left="6063" w:hanging="360"/>
      </w:pPr>
      <w:rPr>
        <w:rFonts w:hint="default"/>
        <w:lang w:val="en-US" w:eastAsia="en-US" w:bidi="ar-SA"/>
      </w:rPr>
    </w:lvl>
    <w:lvl w:ilvl="7" w:tplc="D038A938">
      <w:numFmt w:val="bullet"/>
      <w:lvlText w:val="•"/>
      <w:lvlJc w:val="left"/>
      <w:pPr>
        <w:ind w:left="6874" w:hanging="360"/>
      </w:pPr>
      <w:rPr>
        <w:rFonts w:hint="default"/>
        <w:lang w:val="en-US" w:eastAsia="en-US" w:bidi="ar-SA"/>
      </w:rPr>
    </w:lvl>
    <w:lvl w:ilvl="8" w:tplc="531019AA">
      <w:numFmt w:val="bullet"/>
      <w:lvlText w:val="•"/>
      <w:lvlJc w:val="left"/>
      <w:pPr>
        <w:ind w:left="7685"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1E10CF"/>
    <w:rsid w:val="000673C1"/>
    <w:rsid w:val="001E10CF"/>
    <w:rsid w:val="00ED16E5"/>
    <w:rsid w:val="00F166C7"/>
    <w:rsid w:val="091DBD6C"/>
    <w:rsid w:val="1A1362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9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ind w:right="9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8"/>
    </w:pPr>
    <w:rPr>
      <w:sz w:val="24"/>
      <w:szCs w:val="24"/>
    </w:rPr>
  </w:style>
  <w:style w:type="paragraph" w:styleId="ListParagraph">
    <w:name w:val="List Paragraph"/>
    <w:basedOn w:val="Normal"/>
    <w:uiPriority w:val="1"/>
    <w:qFormat/>
    <w:pPr>
      <w:spacing w:before="120"/>
      <w:ind w:left="119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66C7"/>
    <w:pPr>
      <w:tabs>
        <w:tab w:val="center" w:pos="4513"/>
        <w:tab w:val="right" w:pos="9026"/>
      </w:tabs>
    </w:pPr>
  </w:style>
  <w:style w:type="character" w:customStyle="1" w:styleId="HeaderChar">
    <w:name w:val="Header Char"/>
    <w:basedOn w:val="DefaultParagraphFont"/>
    <w:link w:val="Header"/>
    <w:uiPriority w:val="99"/>
    <w:rsid w:val="00F166C7"/>
    <w:rPr>
      <w:rFonts w:ascii="Book Antiqua" w:eastAsia="Book Antiqua" w:hAnsi="Book Antiqua" w:cs="Book Antiqua"/>
    </w:rPr>
  </w:style>
  <w:style w:type="paragraph" w:styleId="Footer">
    <w:name w:val="footer"/>
    <w:basedOn w:val="Normal"/>
    <w:link w:val="FooterChar"/>
    <w:uiPriority w:val="99"/>
    <w:unhideWhenUsed/>
    <w:rsid w:val="00F166C7"/>
    <w:pPr>
      <w:tabs>
        <w:tab w:val="center" w:pos="4513"/>
        <w:tab w:val="right" w:pos="9026"/>
      </w:tabs>
    </w:pPr>
  </w:style>
  <w:style w:type="character" w:customStyle="1" w:styleId="FooterChar">
    <w:name w:val="Footer Char"/>
    <w:basedOn w:val="DefaultParagraphFont"/>
    <w:link w:val="Footer"/>
    <w:uiPriority w:val="99"/>
    <w:rsid w:val="00F166C7"/>
    <w:rPr>
      <w:rFonts w:ascii="Book Antiqua" w:eastAsia="Book Antiqua" w:hAnsi="Book Antiqua" w:cs="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elpdesk-OIA@pmc.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tga.gov.au/" TargetMode="External"/><Relationship Id="rId4" Type="http://schemas.openxmlformats.org/officeDocument/2006/relationships/webSettings" Target="webSettings.xml"/><Relationship Id="rId9" Type="http://schemas.openxmlformats.org/officeDocument/2006/relationships/hyperlink" Target="mailto:anthony.lawler@health.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2025-01-30T04:15:00Z</dcterms:created>
  <dcterms:modified xsi:type="dcterms:W3CDTF">2025-01-30T04:16:00Z</dcterms:modified>
</cp:coreProperties>
</file>