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F571F" w14:textId="6BB0A193" w:rsidR="005F6F02" w:rsidRDefault="00437881">
      <w:pPr>
        <w:pStyle w:val="SinglePara"/>
        <w:jc w:val="right"/>
      </w:pPr>
      <w:r>
        <w:fldChar w:fldCharType="begin"/>
      </w:r>
      <w:r>
        <w:instrText xml:space="preserve"> CREATEDATE \@ "d MMMM, yyyy" \* MERGEFORMAT </w:instrText>
      </w:r>
      <w:r>
        <w:fldChar w:fldCharType="separate"/>
      </w:r>
      <w:r w:rsidR="00E008A4">
        <w:rPr>
          <w:noProof/>
        </w:rPr>
        <w:t>7 August</w:t>
      </w:r>
      <w:r w:rsidR="009C5582">
        <w:rPr>
          <w:noProof/>
        </w:rPr>
        <w:t>, 2023</w:t>
      </w:r>
      <w:r>
        <w:rPr>
          <w:noProof/>
        </w:rPr>
        <w:fldChar w:fldCharType="end"/>
      </w:r>
    </w:p>
    <w:p w14:paraId="46CE3D04" w14:textId="1509EB72" w:rsidR="005F6F02" w:rsidRDefault="005F6F02">
      <w:pPr>
        <w:spacing w:after="0"/>
        <w:jc w:val="right"/>
      </w:pPr>
      <w:bookmarkStart w:id="0" w:name="File"/>
      <w:bookmarkEnd w:id="0"/>
    </w:p>
    <w:sdt>
      <w:sdtPr>
        <w:id w:val="-1200163859"/>
        <w:placeholder>
          <w:docPart w:val="F8C2276A998C46EBB8C9310F6085ED89"/>
        </w:placeholder>
      </w:sdtPr>
      <w:sdtEndPr/>
      <w:sdtContent>
        <w:p w14:paraId="39A80B53" w14:textId="77777777" w:rsidR="009C5582" w:rsidRDefault="009C5582" w:rsidP="006B2510">
          <w:pPr>
            <w:pStyle w:val="Address"/>
          </w:pPr>
          <w:r>
            <w:t>Mr Jason Lange</w:t>
          </w:r>
        </w:p>
        <w:p w14:paraId="3D8B6B7C" w14:textId="77777777" w:rsidR="009C5582" w:rsidRDefault="009C5582" w:rsidP="006B2510">
          <w:pPr>
            <w:pStyle w:val="Address"/>
          </w:pPr>
          <w:r>
            <w:t>Executive Director</w:t>
          </w:r>
        </w:p>
        <w:p w14:paraId="1BB020A3" w14:textId="77777777" w:rsidR="009C5582" w:rsidRDefault="009C5582" w:rsidP="006B2510">
          <w:pPr>
            <w:pStyle w:val="Address"/>
          </w:pPr>
          <w:r>
            <w:t>Office of Impact Analysis</w:t>
          </w:r>
        </w:p>
        <w:p w14:paraId="3C0F5A60" w14:textId="77777777" w:rsidR="009C5582" w:rsidRDefault="009C5582" w:rsidP="006B2510">
          <w:pPr>
            <w:pStyle w:val="Address"/>
          </w:pPr>
          <w:r>
            <w:t>Department of the Prime Minister and Cabinet</w:t>
          </w:r>
        </w:p>
        <w:p w14:paraId="0F43BE00" w14:textId="77777777" w:rsidR="009C5582" w:rsidRDefault="009C5582" w:rsidP="006B2510">
          <w:pPr>
            <w:pStyle w:val="Address"/>
          </w:pPr>
          <w:r>
            <w:t>PO Box 6500</w:t>
          </w:r>
        </w:p>
        <w:p w14:paraId="7107ACD9" w14:textId="2E6C9B73" w:rsidR="005F6F02" w:rsidRDefault="009C5582" w:rsidP="006B2510">
          <w:pPr>
            <w:pStyle w:val="Address"/>
          </w:pPr>
          <w:r>
            <w:t>CANBERRA ACT 2600</w:t>
          </w:r>
        </w:p>
      </w:sdtContent>
    </w:sdt>
    <w:p w14:paraId="4E7EFE56" w14:textId="77777777" w:rsidR="005F6F02" w:rsidRDefault="005F6F02"/>
    <w:p w14:paraId="78F00CAB" w14:textId="0DAFB570" w:rsidR="005F6F02" w:rsidRDefault="005F6F02">
      <w:r>
        <w:t xml:space="preserve">Dear </w:t>
      </w:r>
      <w:r w:rsidR="009C5582">
        <w:t>Mr Lange</w:t>
      </w:r>
    </w:p>
    <w:p w14:paraId="2C22FDC0" w14:textId="6B3E7274" w:rsidR="005F6F02" w:rsidRDefault="009C5582">
      <w:pPr>
        <w:rPr>
          <w:b/>
          <w:caps/>
        </w:rPr>
      </w:pPr>
      <w:r>
        <w:rPr>
          <w:b/>
          <w:caps/>
        </w:rPr>
        <w:t>Corporations (derivatives) determination 2023</w:t>
      </w:r>
    </w:p>
    <w:p w14:paraId="556D6B84" w14:textId="09E2949E" w:rsidR="005F6F02" w:rsidRDefault="009C5582">
      <w:bookmarkStart w:id="1" w:name="Content"/>
      <w:bookmarkEnd w:id="1"/>
      <w:r>
        <w:t xml:space="preserve">I am writing to the Office of Impact Analysis (OIA) regarding the </w:t>
      </w:r>
      <w:r>
        <w:rPr>
          <w:i/>
          <w:iCs/>
        </w:rPr>
        <w:t>Corporations (Derivatives) Determination 2023</w:t>
      </w:r>
      <w:r w:rsidR="00E172F6">
        <w:t xml:space="preserve">, which </w:t>
      </w:r>
      <w:r w:rsidR="00FB0487">
        <w:t>remakes</w:t>
      </w:r>
      <w:r w:rsidR="00E172F6">
        <w:t xml:space="preserve"> the </w:t>
      </w:r>
      <w:r w:rsidR="00E172F6">
        <w:rPr>
          <w:i/>
          <w:iCs/>
        </w:rPr>
        <w:t>Corporations (Derivatives) Determination 2013</w:t>
      </w:r>
      <w:r w:rsidR="00E172F6">
        <w:t xml:space="preserve"> </w:t>
      </w:r>
      <w:r w:rsidR="00FB0487">
        <w:t xml:space="preserve">without </w:t>
      </w:r>
      <w:r w:rsidR="00DD4E7C">
        <w:t xml:space="preserve">amendments before it </w:t>
      </w:r>
      <w:r w:rsidR="00E172F6">
        <w:t>is scheduled to sunset on 1 October 2023.</w:t>
      </w:r>
    </w:p>
    <w:p w14:paraId="0D4CE747" w14:textId="417B9A75" w:rsidR="009F739D" w:rsidRDefault="00FB7A97">
      <w:r>
        <w:t xml:space="preserve">This instrument </w:t>
      </w:r>
      <w:r w:rsidR="0056130A">
        <w:t>sets out the classes of derivatives which are subject to the Australian Securities and Investments Commission</w:t>
      </w:r>
      <w:r w:rsidR="00E96176">
        <w:t>’s derivative transaction reporting and clearing rules.</w:t>
      </w:r>
      <w:r w:rsidR="1C655E1F">
        <w:t xml:space="preserve"> This</w:t>
      </w:r>
      <w:r w:rsidR="734B7C89">
        <w:t xml:space="preserve"> instrument and the rules that it enlivens,</w:t>
      </w:r>
      <w:r w:rsidR="1C655E1F">
        <w:t xml:space="preserve"> </w:t>
      </w:r>
      <w:r w:rsidR="23175C33">
        <w:t>are</w:t>
      </w:r>
      <w:r w:rsidR="1C655E1F">
        <w:t xml:space="preserve"> a key part of Australia’s regulatory </w:t>
      </w:r>
      <w:r w:rsidR="2DFE29ED">
        <w:t>framework</w:t>
      </w:r>
      <w:r w:rsidR="1C655E1F">
        <w:t xml:space="preserve"> </w:t>
      </w:r>
      <w:r w:rsidR="1D34F7F1">
        <w:t>for</w:t>
      </w:r>
      <w:r w:rsidR="1C655E1F">
        <w:t xml:space="preserve"> derivatives, introduced in line with G20 rec</w:t>
      </w:r>
      <w:r w:rsidR="3FB80B9E">
        <w:t>ommendations following the global financial crisis.</w:t>
      </w:r>
    </w:p>
    <w:p w14:paraId="5A4FF03C" w14:textId="244DCC03" w:rsidR="009F739D" w:rsidRDefault="00FD334E">
      <w:r>
        <w:t>Treasury certifies that this instrument is operating effectively and efficiently and that therefore, a Regulatory Impact Statement is not required.</w:t>
      </w:r>
      <w:r w:rsidR="320E0973">
        <w:t xml:space="preserve"> </w:t>
      </w:r>
      <w:r w:rsidR="009F739D">
        <w:t xml:space="preserve">This assessment is informed by a targeted consultation </w:t>
      </w:r>
      <w:r w:rsidR="00E96176">
        <w:t xml:space="preserve">which the Treasury has undertaken </w:t>
      </w:r>
      <w:r w:rsidR="009F739D">
        <w:t>with relevant stakeholders and regulators</w:t>
      </w:r>
      <w:r w:rsidR="6DE43C10">
        <w:t>. N</w:t>
      </w:r>
      <w:r w:rsidR="009F739D">
        <w:t xml:space="preserve">o </w:t>
      </w:r>
      <w:r w:rsidR="19DCF159">
        <w:t xml:space="preserve">formal </w:t>
      </w:r>
      <w:r w:rsidR="009F739D">
        <w:t>objections were raised to the remake of the instrument</w:t>
      </w:r>
      <w:r w:rsidR="00E96176">
        <w:t xml:space="preserve"> without amendments</w:t>
      </w:r>
      <w:r w:rsidR="009F739D">
        <w:t xml:space="preserve">. </w:t>
      </w:r>
    </w:p>
    <w:p w14:paraId="25B3D11F" w14:textId="68ED31D9" w:rsidR="009F739D" w:rsidRDefault="007277AC">
      <w:r>
        <w:t>Treasury c</w:t>
      </w:r>
      <w:r w:rsidR="009F739D">
        <w:t>onsider</w:t>
      </w:r>
      <w:r>
        <w:t>ed</w:t>
      </w:r>
      <w:r w:rsidR="009F739D">
        <w:t xml:space="preserve"> the regulatory and industry impact of this instrument</w:t>
      </w:r>
      <w:r w:rsidR="17D38523">
        <w:t xml:space="preserve"> in a </w:t>
      </w:r>
      <w:r w:rsidR="007A2ABB">
        <w:t>R</w:t>
      </w:r>
      <w:r w:rsidR="17D38523">
        <w:t xml:space="preserve">egulatory </w:t>
      </w:r>
      <w:r w:rsidR="007A2ABB">
        <w:t>I</w:t>
      </w:r>
      <w:r w:rsidR="17D38523">
        <w:t xml:space="preserve">mpact </w:t>
      </w:r>
      <w:r w:rsidR="007A2ABB">
        <w:t>S</w:t>
      </w:r>
      <w:r w:rsidR="17D38523">
        <w:t>tatement</w:t>
      </w:r>
      <w:r w:rsidR="009F739D">
        <w:t xml:space="preserve"> when it was first made in 2013</w:t>
      </w:r>
      <w:r w:rsidR="00EA07AB">
        <w:t>.</w:t>
      </w:r>
      <w:r w:rsidR="009F739D">
        <w:t xml:space="preserve"> </w:t>
      </w:r>
      <w:r w:rsidR="0004538A">
        <w:t xml:space="preserve">In that assessment, </w:t>
      </w:r>
      <w:r w:rsidR="001C4A53">
        <w:t>Treasury found that the initial cost of compliance for entities was likely to be minimal</w:t>
      </w:r>
      <w:r w:rsidR="00991CF4">
        <w:t xml:space="preserve">, given most </w:t>
      </w:r>
      <w:r w:rsidR="00287137">
        <w:t>that would need to comply already</w:t>
      </w:r>
      <w:r w:rsidR="35C9DFE7">
        <w:t xml:space="preserve"> have similar </w:t>
      </w:r>
      <w:r w:rsidR="00287137">
        <w:t>reporting requirements in other jurisdictions</w:t>
      </w:r>
      <w:r w:rsidR="001C4A53">
        <w:t xml:space="preserve">. </w:t>
      </w:r>
      <w:r w:rsidR="009F253F">
        <w:t>T</w:t>
      </w:r>
      <w:r w:rsidR="00E35125">
        <w:t>he Office of Impact A</w:t>
      </w:r>
      <w:r w:rsidR="00991CF4">
        <w:t>nalysis</w:t>
      </w:r>
      <w:r>
        <w:t xml:space="preserve"> </w:t>
      </w:r>
      <w:r w:rsidR="00265CF5">
        <w:t>decided that Treasury’s assessment was adequate.</w:t>
      </w:r>
    </w:p>
    <w:p w14:paraId="5A3EA11C" w14:textId="02BE6932" w:rsidR="00421724" w:rsidRDefault="00D04A6C">
      <w:r>
        <w:t>The regulatory burden</w:t>
      </w:r>
      <w:r w:rsidR="00421724">
        <w:t xml:space="preserve"> of </w:t>
      </w:r>
      <w:r w:rsidR="7B930A39">
        <w:t>remaking this instrument</w:t>
      </w:r>
      <w:r>
        <w:t xml:space="preserve"> to business, community organisations </w:t>
      </w:r>
      <w:r w:rsidR="007F1DCD">
        <w:t>and individual</w:t>
      </w:r>
      <w:r w:rsidR="00421724">
        <w:t xml:space="preserve">s </w:t>
      </w:r>
      <w:r w:rsidR="007F1DCD">
        <w:t>has been quantified</w:t>
      </w:r>
      <w:r w:rsidR="00421724">
        <w:t xml:space="preserve"> by Treasury</w:t>
      </w:r>
      <w:r w:rsidR="007F1DCD">
        <w:t xml:space="preserve"> using the Australian Government’s Regulatory Burden Measurement framework. As no change</w:t>
      </w:r>
      <w:r w:rsidR="003060BF">
        <w:t>s are being made to the policy the</w:t>
      </w:r>
      <w:r w:rsidR="00421724">
        <w:t xml:space="preserve"> additional</w:t>
      </w:r>
      <w:r w:rsidR="003060BF">
        <w:t xml:space="preserve"> cost</w:t>
      </w:r>
      <w:r w:rsidR="00421724">
        <w:t xml:space="preserve"> of compliance</w:t>
      </w:r>
      <w:r w:rsidR="003060BF">
        <w:t xml:space="preserve"> for each </w:t>
      </w:r>
      <w:r w:rsidR="00421724">
        <w:t>category</w:t>
      </w:r>
      <w:r w:rsidR="003060BF">
        <w:t xml:space="preserve"> is nil.</w:t>
      </w:r>
    </w:p>
    <w:p w14:paraId="6320CF9F" w14:textId="4D5B9CB1" w:rsidR="00BE6DA4" w:rsidRPr="005816C4" w:rsidRDefault="006871C2" w:rsidP="00C45C21">
      <w:pPr>
        <w:keepNext/>
        <w:rPr>
          <w:b/>
          <w:bCs/>
        </w:rPr>
      </w:pPr>
      <w:r w:rsidRPr="005816C4">
        <w:rPr>
          <w:b/>
          <w:bCs/>
        </w:rPr>
        <w:lastRenderedPageBreak/>
        <w:t>Average annual regulatory costs (from business as usual)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F66106" w14:paraId="2FDE71FF" w14:textId="77777777" w:rsidTr="7FB7781F">
        <w:trPr>
          <w:trHeight w:val="615"/>
        </w:trPr>
        <w:tc>
          <w:tcPr>
            <w:tcW w:w="1699" w:type="dxa"/>
          </w:tcPr>
          <w:p w14:paraId="6E5D1AA2" w14:textId="59BED5FE" w:rsidR="00F66106" w:rsidRPr="00F66106" w:rsidRDefault="00F66106">
            <w:pPr>
              <w:rPr>
                <w:b/>
                <w:bCs/>
              </w:rPr>
            </w:pPr>
            <w:r>
              <w:rPr>
                <w:b/>
                <w:bCs/>
              </w:rPr>
              <w:t>Change in costs ($ million)</w:t>
            </w:r>
          </w:p>
        </w:tc>
        <w:tc>
          <w:tcPr>
            <w:tcW w:w="1699" w:type="dxa"/>
          </w:tcPr>
          <w:p w14:paraId="04D3BD41" w14:textId="7B7424DA" w:rsidR="00F66106" w:rsidRDefault="00F66106">
            <w:r>
              <w:t>Business</w:t>
            </w:r>
          </w:p>
        </w:tc>
        <w:tc>
          <w:tcPr>
            <w:tcW w:w="1699" w:type="dxa"/>
          </w:tcPr>
          <w:p w14:paraId="4A101897" w14:textId="1C1DC5D1" w:rsidR="00F66106" w:rsidRDefault="00F66106">
            <w:r>
              <w:t>Community</w:t>
            </w:r>
            <w:r w:rsidR="0019631F">
              <w:t xml:space="preserve"> organisations</w:t>
            </w:r>
          </w:p>
        </w:tc>
        <w:tc>
          <w:tcPr>
            <w:tcW w:w="1699" w:type="dxa"/>
          </w:tcPr>
          <w:p w14:paraId="668C389D" w14:textId="20D78AB8" w:rsidR="00F66106" w:rsidRDefault="0019631F">
            <w:r>
              <w:t>Individuals</w:t>
            </w:r>
          </w:p>
        </w:tc>
        <w:tc>
          <w:tcPr>
            <w:tcW w:w="1699" w:type="dxa"/>
          </w:tcPr>
          <w:p w14:paraId="2C64BE1F" w14:textId="06C8153F" w:rsidR="00F66106" w:rsidRDefault="0019631F">
            <w:r>
              <w:t>Total change in costs</w:t>
            </w:r>
          </w:p>
        </w:tc>
      </w:tr>
      <w:tr w:rsidR="00F66106" w14:paraId="6989C065" w14:textId="77777777" w:rsidTr="7FB7781F">
        <w:trPr>
          <w:trHeight w:val="300"/>
        </w:trPr>
        <w:tc>
          <w:tcPr>
            <w:tcW w:w="1699" w:type="dxa"/>
          </w:tcPr>
          <w:p w14:paraId="03C80919" w14:textId="3B2A04F8" w:rsidR="00F66106" w:rsidRPr="0019631F" w:rsidRDefault="0019631F">
            <w:pPr>
              <w:rPr>
                <w:b/>
                <w:bCs/>
              </w:rPr>
            </w:pPr>
            <w:r>
              <w:rPr>
                <w:b/>
                <w:bCs/>
              </w:rPr>
              <w:t>Total, by sector</w:t>
            </w:r>
          </w:p>
        </w:tc>
        <w:tc>
          <w:tcPr>
            <w:tcW w:w="1699" w:type="dxa"/>
          </w:tcPr>
          <w:p w14:paraId="2C11C62C" w14:textId="5315776C" w:rsidR="00F66106" w:rsidRDefault="005816C4">
            <w:r>
              <w:t>NIL</w:t>
            </w:r>
          </w:p>
        </w:tc>
        <w:tc>
          <w:tcPr>
            <w:tcW w:w="1699" w:type="dxa"/>
          </w:tcPr>
          <w:p w14:paraId="40EC4167" w14:textId="1CB3FD94" w:rsidR="00F66106" w:rsidRDefault="005816C4">
            <w:r>
              <w:t>NIL</w:t>
            </w:r>
          </w:p>
        </w:tc>
        <w:tc>
          <w:tcPr>
            <w:tcW w:w="1699" w:type="dxa"/>
          </w:tcPr>
          <w:p w14:paraId="4295E7D5" w14:textId="4BDF314B" w:rsidR="00F66106" w:rsidRDefault="005816C4">
            <w:r>
              <w:t>NIL</w:t>
            </w:r>
          </w:p>
        </w:tc>
        <w:tc>
          <w:tcPr>
            <w:tcW w:w="1699" w:type="dxa"/>
          </w:tcPr>
          <w:p w14:paraId="0BEBA0F0" w14:textId="270D5DC8" w:rsidR="00F66106" w:rsidRDefault="005816C4">
            <w:r>
              <w:t>NIL</w:t>
            </w:r>
          </w:p>
        </w:tc>
      </w:tr>
    </w:tbl>
    <w:p w14:paraId="06ED04FB" w14:textId="19264974" w:rsidR="7FB7781F" w:rsidRDefault="7FB7781F"/>
    <w:p w14:paraId="6A8ED64B" w14:textId="527365DE" w:rsidR="00EA07AB" w:rsidRPr="00E172F6" w:rsidRDefault="00EA07AB">
      <w:r>
        <w:t>I acknowledge that OIA will publish this letter for transparency purposes.</w:t>
      </w:r>
      <w:r w:rsidR="58A72EC9">
        <w:t xml:space="preserve"> </w:t>
      </w:r>
    </w:p>
    <w:p w14:paraId="0C9F09E4" w14:textId="57CB2490" w:rsidR="00EA07AB" w:rsidRPr="00E172F6" w:rsidRDefault="00EA07AB">
      <w:r>
        <w:t>If you have any queries about this advice</w:t>
      </w:r>
      <w:r w:rsidR="008B52CC">
        <w:t>,</w:t>
      </w:r>
      <w:r>
        <w:t xml:space="preserve"> please contact Lauren Hogan on 02 6263 2673 or </w:t>
      </w:r>
      <w:hyperlink r:id="rId7">
        <w:r w:rsidRPr="7FB7781F">
          <w:rPr>
            <w:rStyle w:val="Hyperlink"/>
          </w:rPr>
          <w:t>Lauren.Hogan@treasury.gov.au</w:t>
        </w:r>
      </w:hyperlink>
      <w:r>
        <w:t>.</w:t>
      </w:r>
    </w:p>
    <w:p w14:paraId="66AF4CC2" w14:textId="1EB5E007" w:rsidR="00E008A4" w:rsidRDefault="00A36607" w:rsidP="00E008A4">
      <w:pPr>
        <w:spacing w:after="0"/>
      </w:pPr>
      <w:r>
        <w:t>Regards</w:t>
      </w:r>
      <w:bookmarkStart w:id="2" w:name="Area"/>
    </w:p>
    <w:p w14:paraId="42602D82" w14:textId="7EBE9A35" w:rsidR="00E008A4" w:rsidRDefault="00E008A4" w:rsidP="00E008A4">
      <w:pPr>
        <w:spacing w:after="0"/>
      </w:pPr>
    </w:p>
    <w:p w14:paraId="712ED61E" w14:textId="68D68204" w:rsidR="00E008A4" w:rsidRDefault="00E008A4" w:rsidP="00E008A4">
      <w:pPr>
        <w:spacing w:after="0"/>
      </w:pPr>
      <w:bookmarkStart w:id="3" w:name="_GoBack"/>
      <w:bookmarkEnd w:id="3"/>
    </w:p>
    <w:p w14:paraId="7187AF2F" w14:textId="77777777" w:rsidR="00E008A4" w:rsidRDefault="00E008A4" w:rsidP="00E008A4">
      <w:pPr>
        <w:spacing w:after="0"/>
      </w:pPr>
    </w:p>
    <w:p w14:paraId="49C17BC4" w14:textId="77777777" w:rsidR="00E008A4" w:rsidRDefault="00EA07AB" w:rsidP="00E008A4">
      <w:pPr>
        <w:spacing w:after="0"/>
      </w:pPr>
      <w:r>
        <w:t>Brenton Philp</w:t>
      </w:r>
      <w:bookmarkEnd w:id="2"/>
    </w:p>
    <w:p w14:paraId="3CD24FE0" w14:textId="114972B0" w:rsidR="00585D8B" w:rsidRDefault="00EA07AB" w:rsidP="00E008A4">
      <w:pPr>
        <w:spacing w:after="0"/>
      </w:pPr>
      <w:r>
        <w:t>Deputy Secretary</w:t>
      </w:r>
    </w:p>
    <w:p w14:paraId="6B4F27CD" w14:textId="20CF2F49" w:rsidR="00A36607" w:rsidRDefault="00EA07AB" w:rsidP="00E008A4">
      <w:pPr>
        <w:pStyle w:val="Address"/>
      </w:pPr>
      <w:r>
        <w:t>Markets Group</w:t>
      </w:r>
    </w:p>
    <w:p w14:paraId="56B6E519" w14:textId="77777777" w:rsidR="00FD1DFD" w:rsidRDefault="00FD1DFD" w:rsidP="00E008A4">
      <w:pPr>
        <w:pStyle w:val="Address"/>
      </w:pPr>
    </w:p>
    <w:sectPr w:rsidR="00FD1DFD" w:rsidSect="0024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810C" w14:textId="77777777" w:rsidR="00967805" w:rsidRDefault="00967805">
      <w:r>
        <w:separator/>
      </w:r>
    </w:p>
  </w:endnote>
  <w:endnote w:type="continuationSeparator" w:id="0">
    <w:p w14:paraId="1977C9D7" w14:textId="77777777" w:rsidR="00967805" w:rsidRDefault="00967805">
      <w:r>
        <w:continuationSeparator/>
      </w:r>
    </w:p>
  </w:endnote>
  <w:endnote w:type="continuationNotice" w:id="1">
    <w:p w14:paraId="0BE7C8DF" w14:textId="77777777" w:rsidR="00967805" w:rsidRDefault="009678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7CB5" w14:textId="77777777" w:rsidR="002B692A" w:rsidRDefault="002B692A" w:rsidP="002B692A">
    <w:pPr>
      <w:pStyle w:val="SecurityClassificationFooter"/>
    </w:pPr>
  </w:p>
  <w:p w14:paraId="60A0006C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r w:rsidR="00967805">
      <w:fldChar w:fldCharType="begin"/>
    </w:r>
    <w:r w:rsidR="00967805">
      <w:instrText>DOCPROPERTY SecurityClassification \* MERGEFORMAT</w:instrText>
    </w:r>
    <w:r w:rsidR="00967805">
      <w:fldChar w:fldCharType="separate"/>
    </w:r>
    <w:r w:rsidR="009C5582">
      <w:t>For Official Use Only</w:t>
    </w:r>
    <w:r w:rsidR="009678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9EC3" w14:textId="43C33F92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716D2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496E" w14:textId="77777777" w:rsidR="005F6F02" w:rsidRPr="00A23E22" w:rsidRDefault="005755DF" w:rsidP="00240E21">
    <w:pPr>
      <w:pStyle w:val="FooterAddress"/>
      <w:spacing w:before="840"/>
      <w:rPr>
        <w:sz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EC83815" wp14:editId="721C5598">
          <wp:simplePos x="0" y="0"/>
          <wp:positionH relativeFrom="margin">
            <wp:align>left</wp:align>
          </wp:positionH>
          <wp:positionV relativeFrom="page">
            <wp:posOffset>9523095</wp:posOffset>
          </wp:positionV>
          <wp:extent cx="1620000" cy="84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0EF2F" w14:textId="77777777" w:rsidR="001F6841" w:rsidRPr="001F6841" w:rsidRDefault="001F6841" w:rsidP="00A36607">
    <w:pPr>
      <w:pStyle w:val="FooterAddress"/>
      <w:spacing w:before="60" w:after="120"/>
    </w:pPr>
    <w:r>
      <w:t>Langton Crescent</w:t>
    </w:r>
    <w:r>
      <w:br/>
      <w:t>Parkes ACT 2600</w:t>
    </w:r>
    <w:r w:rsidR="00B457FE">
      <w:br/>
      <w:t>Australia</w:t>
    </w:r>
  </w:p>
  <w:p w14:paraId="0034990C" w14:textId="77777777" w:rsidR="005F6F02" w:rsidRDefault="00021A7F" w:rsidP="008741F9">
    <w:pPr>
      <w:pStyle w:val="FooterAddress"/>
      <w:tabs>
        <w:tab w:val="clear" w:pos="4820"/>
        <w:tab w:val="center" w:pos="9639"/>
      </w:tabs>
    </w:pPr>
    <w:r>
      <w:t>P</w:t>
    </w:r>
    <w:r w:rsidR="00AD44A4">
      <w:t>:</w:t>
    </w:r>
    <w:r w:rsidR="005F6F02">
      <w:t xml:space="preserve">  </w:t>
    </w:r>
    <w:r w:rsidR="001F6841">
      <w:t xml:space="preserve">+61 2 6263 2111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0163" w14:textId="77777777" w:rsidR="00967805" w:rsidRDefault="00967805">
      <w:r>
        <w:separator/>
      </w:r>
    </w:p>
  </w:footnote>
  <w:footnote w:type="continuationSeparator" w:id="0">
    <w:p w14:paraId="4C59A9FE" w14:textId="77777777" w:rsidR="00967805" w:rsidRDefault="00967805">
      <w:r>
        <w:continuationSeparator/>
      </w:r>
    </w:p>
  </w:footnote>
  <w:footnote w:type="continuationNotice" w:id="1">
    <w:p w14:paraId="4939FD65" w14:textId="77777777" w:rsidR="00967805" w:rsidRDefault="009678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30C8" w14:textId="77777777" w:rsidR="00B457FE" w:rsidRDefault="00B4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73D66" w14:textId="77777777" w:rsidR="00B457FE" w:rsidRDefault="00B4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FB54" w14:textId="77777777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5F09E18" wp14:editId="3AEDC5C0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9C5582"/>
    <w:rsid w:val="00007F35"/>
    <w:rsid w:val="00010558"/>
    <w:rsid w:val="00013C16"/>
    <w:rsid w:val="00021A7F"/>
    <w:rsid w:val="00041147"/>
    <w:rsid w:val="0004538A"/>
    <w:rsid w:val="00070A45"/>
    <w:rsid w:val="000C3D77"/>
    <w:rsid w:val="000D2203"/>
    <w:rsid w:val="000D2875"/>
    <w:rsid w:val="000E70A5"/>
    <w:rsid w:val="00187181"/>
    <w:rsid w:val="0019631F"/>
    <w:rsid w:val="001A4935"/>
    <w:rsid w:val="001C4A53"/>
    <w:rsid w:val="001D045C"/>
    <w:rsid w:val="001F4A93"/>
    <w:rsid w:val="001F5439"/>
    <w:rsid w:val="001F6841"/>
    <w:rsid w:val="00240E21"/>
    <w:rsid w:val="002554F2"/>
    <w:rsid w:val="00264A53"/>
    <w:rsid w:val="00265CF5"/>
    <w:rsid w:val="00287137"/>
    <w:rsid w:val="002950B8"/>
    <w:rsid w:val="002B4ACE"/>
    <w:rsid w:val="002B692A"/>
    <w:rsid w:val="002C50A0"/>
    <w:rsid w:val="002E2C5E"/>
    <w:rsid w:val="002F767C"/>
    <w:rsid w:val="003060BF"/>
    <w:rsid w:val="00337317"/>
    <w:rsid w:val="00354309"/>
    <w:rsid w:val="00375CB3"/>
    <w:rsid w:val="003C50D9"/>
    <w:rsid w:val="00421724"/>
    <w:rsid w:val="00436CCC"/>
    <w:rsid w:val="00437881"/>
    <w:rsid w:val="00444ADC"/>
    <w:rsid w:val="00485E79"/>
    <w:rsid w:val="00492361"/>
    <w:rsid w:val="004A5077"/>
    <w:rsid w:val="004D59F6"/>
    <w:rsid w:val="00521D20"/>
    <w:rsid w:val="00521D21"/>
    <w:rsid w:val="00546A50"/>
    <w:rsid w:val="0056130A"/>
    <w:rsid w:val="005734A5"/>
    <w:rsid w:val="005755DF"/>
    <w:rsid w:val="005816C4"/>
    <w:rsid w:val="0058454C"/>
    <w:rsid w:val="00585D8B"/>
    <w:rsid w:val="005F01D5"/>
    <w:rsid w:val="005F6F02"/>
    <w:rsid w:val="006871C2"/>
    <w:rsid w:val="006A1A29"/>
    <w:rsid w:val="006A320D"/>
    <w:rsid w:val="006A446E"/>
    <w:rsid w:val="006B2510"/>
    <w:rsid w:val="006F2190"/>
    <w:rsid w:val="00716D28"/>
    <w:rsid w:val="007232C5"/>
    <w:rsid w:val="007277AC"/>
    <w:rsid w:val="007A2ABB"/>
    <w:rsid w:val="007F1DCD"/>
    <w:rsid w:val="00800464"/>
    <w:rsid w:val="00857F46"/>
    <w:rsid w:val="008741F9"/>
    <w:rsid w:val="008B52CC"/>
    <w:rsid w:val="0092186E"/>
    <w:rsid w:val="00967805"/>
    <w:rsid w:val="0098490B"/>
    <w:rsid w:val="00991CF4"/>
    <w:rsid w:val="009A4C1F"/>
    <w:rsid w:val="009C5582"/>
    <w:rsid w:val="009F253F"/>
    <w:rsid w:val="009F739D"/>
    <w:rsid w:val="00A23E22"/>
    <w:rsid w:val="00A24156"/>
    <w:rsid w:val="00A36607"/>
    <w:rsid w:val="00AD44A4"/>
    <w:rsid w:val="00B02254"/>
    <w:rsid w:val="00B112A0"/>
    <w:rsid w:val="00B315A0"/>
    <w:rsid w:val="00B457FE"/>
    <w:rsid w:val="00B8256A"/>
    <w:rsid w:val="00B84E7B"/>
    <w:rsid w:val="00B87DE1"/>
    <w:rsid w:val="00BC1F33"/>
    <w:rsid w:val="00BD320B"/>
    <w:rsid w:val="00BE6DA4"/>
    <w:rsid w:val="00C45C21"/>
    <w:rsid w:val="00C8731A"/>
    <w:rsid w:val="00CA030C"/>
    <w:rsid w:val="00CA62A6"/>
    <w:rsid w:val="00D04A6C"/>
    <w:rsid w:val="00DA54C5"/>
    <w:rsid w:val="00DC76B2"/>
    <w:rsid w:val="00DD4E7C"/>
    <w:rsid w:val="00E008A4"/>
    <w:rsid w:val="00E172F6"/>
    <w:rsid w:val="00E217CF"/>
    <w:rsid w:val="00E35125"/>
    <w:rsid w:val="00E51C9D"/>
    <w:rsid w:val="00E90177"/>
    <w:rsid w:val="00E96176"/>
    <w:rsid w:val="00EA07AB"/>
    <w:rsid w:val="00EC5544"/>
    <w:rsid w:val="00F208D7"/>
    <w:rsid w:val="00F36BED"/>
    <w:rsid w:val="00F36FE7"/>
    <w:rsid w:val="00F5164B"/>
    <w:rsid w:val="00F66106"/>
    <w:rsid w:val="00F86D97"/>
    <w:rsid w:val="00FB0487"/>
    <w:rsid w:val="00FB7A97"/>
    <w:rsid w:val="00FD1DFD"/>
    <w:rsid w:val="00FD334E"/>
    <w:rsid w:val="02BE20F6"/>
    <w:rsid w:val="0CF15376"/>
    <w:rsid w:val="1253DC7B"/>
    <w:rsid w:val="1416843B"/>
    <w:rsid w:val="17D38523"/>
    <w:rsid w:val="19DCF159"/>
    <w:rsid w:val="1C5224CB"/>
    <w:rsid w:val="1C655E1F"/>
    <w:rsid w:val="1D34F7F1"/>
    <w:rsid w:val="1FBC19D8"/>
    <w:rsid w:val="23175C33"/>
    <w:rsid w:val="246DBCE6"/>
    <w:rsid w:val="25206AF8"/>
    <w:rsid w:val="2B32F44E"/>
    <w:rsid w:val="2DFE29ED"/>
    <w:rsid w:val="320E0973"/>
    <w:rsid w:val="34D8D869"/>
    <w:rsid w:val="35C9DFE7"/>
    <w:rsid w:val="3A50CB25"/>
    <w:rsid w:val="3FB80B9E"/>
    <w:rsid w:val="58A72EC9"/>
    <w:rsid w:val="5E0BE09D"/>
    <w:rsid w:val="6000B0A6"/>
    <w:rsid w:val="6DE43C10"/>
    <w:rsid w:val="734B7C89"/>
    <w:rsid w:val="75225F1D"/>
    <w:rsid w:val="7B930A39"/>
    <w:rsid w:val="7FB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07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uiPriority w:val="99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table" w:styleId="TableGrid">
    <w:name w:val="Table Grid"/>
    <w:basedOn w:val="TableNormal"/>
    <w:rsid w:val="00F6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C1F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1F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1F3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F3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en.Hogan@treasury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2276A998C46EBB8C9310F6085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302C-39B0-4B5E-87C2-F2C7DF7EC8FD}"/>
      </w:docPartPr>
      <w:docPartBody>
        <w:p w:rsidR="00180ADB" w:rsidRDefault="00320E98">
          <w:pPr>
            <w:pStyle w:val="F8C2276A998C46EBB8C9310F6085ED89"/>
          </w:pPr>
          <w:r w:rsidRPr="00EB3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DB"/>
    <w:rsid w:val="00110462"/>
    <w:rsid w:val="00180ADB"/>
    <w:rsid w:val="00320E98"/>
    <w:rsid w:val="006403E2"/>
    <w:rsid w:val="006B455D"/>
    <w:rsid w:val="006D3580"/>
    <w:rsid w:val="00A121B6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C2276A998C46EBB8C9310F6085ED89">
    <w:name w:val="F8C2276A998C46EBB8C9310F6085E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1A7B-19D9-4304-A9A6-F10CF56D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2025-01-09T03:24:00Z</dcterms:created>
  <dcterms:modified xsi:type="dcterms:W3CDTF">2025-01-09T03:24:00Z</dcterms:modified>
</cp:coreProperties>
</file>