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60C" w:rsidRDefault="00BE32F1" w:rsidP="000E3442">
      <w:pPr>
        <w:pStyle w:val="BodyText"/>
        <w:ind w:left="2835"/>
        <w:rPr>
          <w:sz w:val="20"/>
        </w:rPr>
      </w:pPr>
      <w:r>
        <w:rPr>
          <w:noProof/>
          <w:sz w:val="20"/>
          <w:lang w:val="en-AU" w:eastAsia="en-AU"/>
        </w:rPr>
        <w:drawing>
          <wp:inline distT="0" distB="0" distL="0" distR="0">
            <wp:extent cx="2497016" cy="111074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543264" cy="1131313"/>
                    </a:xfrm>
                    <a:prstGeom prst="rect">
                      <a:avLst/>
                    </a:prstGeom>
                  </pic:spPr>
                </pic:pic>
              </a:graphicData>
            </a:graphic>
          </wp:inline>
        </w:drawing>
      </w:r>
    </w:p>
    <w:p w:rsidR="000C560C" w:rsidRDefault="000C560C">
      <w:pPr>
        <w:pStyle w:val="BodyText"/>
        <w:ind w:left="0"/>
        <w:rPr>
          <w:sz w:val="16"/>
        </w:rPr>
      </w:pPr>
    </w:p>
    <w:p w:rsidR="000C560C" w:rsidRDefault="000C560C">
      <w:pPr>
        <w:pStyle w:val="BodyText"/>
        <w:spacing w:before="95"/>
        <w:ind w:left="0"/>
        <w:rPr>
          <w:sz w:val="16"/>
        </w:rPr>
      </w:pPr>
    </w:p>
    <w:p w:rsidR="000C560C" w:rsidRDefault="00BE32F1">
      <w:pPr>
        <w:ind w:left="260"/>
        <w:rPr>
          <w:sz w:val="16"/>
        </w:rPr>
      </w:pPr>
      <w:r>
        <w:rPr>
          <w:sz w:val="16"/>
        </w:rPr>
        <w:t>Reference:</w:t>
      </w:r>
      <w:r>
        <w:rPr>
          <w:spacing w:val="-7"/>
          <w:sz w:val="16"/>
        </w:rPr>
        <w:t xml:space="preserve"> </w:t>
      </w:r>
      <w:r>
        <w:rPr>
          <w:sz w:val="16"/>
        </w:rPr>
        <w:t>20489</w:t>
      </w:r>
      <w:r>
        <w:rPr>
          <w:spacing w:val="-6"/>
          <w:sz w:val="16"/>
        </w:rPr>
        <w:t xml:space="preserve"> </w:t>
      </w:r>
      <w:r>
        <w:rPr>
          <w:sz w:val="16"/>
        </w:rPr>
        <w:t>and</w:t>
      </w:r>
      <w:r>
        <w:rPr>
          <w:spacing w:val="-5"/>
          <w:sz w:val="16"/>
        </w:rPr>
        <w:t xml:space="preserve"> </w:t>
      </w:r>
      <w:r>
        <w:rPr>
          <w:spacing w:val="-2"/>
          <w:sz w:val="16"/>
        </w:rPr>
        <w:t>42904</w:t>
      </w:r>
    </w:p>
    <w:p w:rsidR="000C560C" w:rsidRDefault="00BE32F1">
      <w:pPr>
        <w:spacing w:before="56"/>
        <w:ind w:left="259"/>
        <w:rPr>
          <w:sz w:val="16"/>
        </w:rPr>
      </w:pPr>
      <w:r>
        <w:rPr>
          <w:sz w:val="16"/>
        </w:rPr>
        <w:t>Telephone:</w:t>
      </w:r>
      <w:r>
        <w:rPr>
          <w:spacing w:val="-9"/>
          <w:sz w:val="16"/>
        </w:rPr>
        <w:t xml:space="preserve"> </w:t>
      </w:r>
      <w:r>
        <w:rPr>
          <w:sz w:val="16"/>
        </w:rPr>
        <w:t>6271</w:t>
      </w:r>
      <w:r>
        <w:rPr>
          <w:spacing w:val="-7"/>
          <w:sz w:val="16"/>
        </w:rPr>
        <w:t xml:space="preserve"> </w:t>
      </w:r>
      <w:r>
        <w:rPr>
          <w:spacing w:val="-4"/>
          <w:sz w:val="16"/>
        </w:rPr>
        <w:t>6270</w:t>
      </w:r>
    </w:p>
    <w:p w:rsidR="000C560C" w:rsidRDefault="00BE32F1">
      <w:pPr>
        <w:spacing w:before="56"/>
        <w:ind w:left="259"/>
        <w:rPr>
          <w:sz w:val="16"/>
        </w:rPr>
      </w:pPr>
      <w:proofErr w:type="gramStart"/>
      <w:r>
        <w:rPr>
          <w:spacing w:val="-2"/>
          <w:sz w:val="16"/>
        </w:rPr>
        <w:t>e-mail</w:t>
      </w:r>
      <w:proofErr w:type="gramEnd"/>
      <w:r>
        <w:rPr>
          <w:spacing w:val="-2"/>
          <w:sz w:val="16"/>
        </w:rPr>
        <w:t>:</w:t>
      </w:r>
      <w:r>
        <w:rPr>
          <w:spacing w:val="18"/>
          <w:sz w:val="16"/>
        </w:rPr>
        <w:t xml:space="preserve"> </w:t>
      </w:r>
      <w:hyperlink r:id="rId7">
        <w:r>
          <w:rPr>
            <w:spacing w:val="-2"/>
            <w:sz w:val="16"/>
          </w:rPr>
          <w:t>helpdesk-obpr@pmc.gov.au</w:t>
        </w:r>
      </w:hyperlink>
    </w:p>
    <w:p w:rsidR="000C560C" w:rsidRDefault="000C560C">
      <w:pPr>
        <w:pStyle w:val="BodyText"/>
        <w:spacing w:before="93"/>
        <w:ind w:left="0"/>
        <w:rPr>
          <w:sz w:val="16"/>
        </w:rPr>
      </w:pPr>
    </w:p>
    <w:p w:rsidR="000C560C" w:rsidRDefault="00BE32F1">
      <w:pPr>
        <w:pStyle w:val="BodyText"/>
        <w:spacing w:before="1"/>
        <w:ind w:right="7026"/>
      </w:pPr>
      <w:proofErr w:type="spellStart"/>
      <w:r>
        <w:t>Mr</w:t>
      </w:r>
      <w:proofErr w:type="spellEnd"/>
      <w:r>
        <w:rPr>
          <w:spacing w:val="-15"/>
        </w:rPr>
        <w:t xml:space="preserve"> </w:t>
      </w:r>
      <w:r>
        <w:t>Sean</w:t>
      </w:r>
      <w:r>
        <w:rPr>
          <w:spacing w:val="-15"/>
        </w:rPr>
        <w:t xml:space="preserve"> </w:t>
      </w:r>
      <w:r>
        <w:t>Sullivan Deputy</w:t>
      </w:r>
      <w:r>
        <w:rPr>
          <w:spacing w:val="-3"/>
        </w:rPr>
        <w:t xml:space="preserve"> </w:t>
      </w:r>
      <w:r>
        <w:rPr>
          <w:spacing w:val="-2"/>
        </w:rPr>
        <w:t>Secretary</w:t>
      </w:r>
    </w:p>
    <w:p w:rsidR="000C560C" w:rsidRDefault="00BE32F1">
      <w:pPr>
        <w:pStyle w:val="BodyText"/>
        <w:spacing w:line="480" w:lineRule="auto"/>
        <w:ind w:right="3257"/>
      </w:pPr>
      <w:r>
        <w:t>Department</w:t>
      </w:r>
      <w:r>
        <w:rPr>
          <w:spacing w:val="-6"/>
        </w:rPr>
        <w:t xml:space="preserve"> </w:t>
      </w:r>
      <w:r>
        <w:t>of</w:t>
      </w:r>
      <w:r>
        <w:rPr>
          <w:spacing w:val="-7"/>
        </w:rPr>
        <w:t xml:space="preserve"> </w:t>
      </w:r>
      <w:r>
        <w:t>Industry,</w:t>
      </w:r>
      <w:r>
        <w:rPr>
          <w:spacing w:val="-8"/>
        </w:rPr>
        <w:t xml:space="preserve"> </w:t>
      </w:r>
      <w:r>
        <w:t>Science,</w:t>
      </w:r>
      <w:r>
        <w:rPr>
          <w:spacing w:val="-6"/>
        </w:rPr>
        <w:t xml:space="preserve"> </w:t>
      </w:r>
      <w:r>
        <w:t>Energy</w:t>
      </w:r>
      <w:r>
        <w:rPr>
          <w:spacing w:val="-6"/>
        </w:rPr>
        <w:t xml:space="preserve"> </w:t>
      </w:r>
      <w:r>
        <w:t>and</w:t>
      </w:r>
      <w:r>
        <w:rPr>
          <w:spacing w:val="-6"/>
        </w:rPr>
        <w:t xml:space="preserve"> </w:t>
      </w:r>
      <w:r>
        <w:t xml:space="preserve">Resources Dear </w:t>
      </w:r>
      <w:proofErr w:type="spellStart"/>
      <w:r>
        <w:t>Mr</w:t>
      </w:r>
      <w:proofErr w:type="spellEnd"/>
      <w:r>
        <w:t xml:space="preserve"> Sullivan</w:t>
      </w:r>
      <w:bookmarkStart w:id="0" w:name="_GoBack"/>
      <w:bookmarkEnd w:id="0"/>
    </w:p>
    <w:p w:rsidR="000C560C" w:rsidRDefault="00BE32F1">
      <w:pPr>
        <w:pStyle w:val="Title"/>
        <w:spacing w:line="257" w:lineRule="exact"/>
      </w:pPr>
      <w:r>
        <w:t>Regulation</w:t>
      </w:r>
      <w:r>
        <w:rPr>
          <w:spacing w:val="-5"/>
        </w:rPr>
        <w:t xml:space="preserve"> </w:t>
      </w:r>
      <w:r>
        <w:t>Impact</w:t>
      </w:r>
      <w:r>
        <w:rPr>
          <w:spacing w:val="-3"/>
        </w:rPr>
        <w:t xml:space="preserve"> </w:t>
      </w:r>
      <w:r>
        <w:t>Statement</w:t>
      </w:r>
      <w:r>
        <w:rPr>
          <w:spacing w:val="-3"/>
        </w:rPr>
        <w:t xml:space="preserve"> </w:t>
      </w:r>
      <w:r>
        <w:t>–</w:t>
      </w:r>
      <w:r>
        <w:rPr>
          <w:spacing w:val="-6"/>
        </w:rPr>
        <w:t xml:space="preserve"> </w:t>
      </w:r>
      <w:r>
        <w:t>Second</w:t>
      </w:r>
      <w:r>
        <w:rPr>
          <w:spacing w:val="-4"/>
        </w:rPr>
        <w:t xml:space="preserve"> </w:t>
      </w:r>
      <w:r>
        <w:t>Pass</w:t>
      </w:r>
      <w:r>
        <w:rPr>
          <w:spacing w:val="-4"/>
        </w:rPr>
        <w:t xml:space="preserve"> </w:t>
      </w:r>
      <w:r>
        <w:t>Final</w:t>
      </w:r>
      <w:r>
        <w:rPr>
          <w:spacing w:val="-5"/>
        </w:rPr>
        <w:t xml:space="preserve"> </w:t>
      </w:r>
      <w:r>
        <w:t>Assessment</w:t>
      </w:r>
      <w:r>
        <w:rPr>
          <w:spacing w:val="-3"/>
        </w:rPr>
        <w:t xml:space="preserve"> </w:t>
      </w:r>
      <w:r>
        <w:t>–</w:t>
      </w:r>
      <w:r>
        <w:rPr>
          <w:spacing w:val="-5"/>
        </w:rPr>
        <w:t xml:space="preserve"> </w:t>
      </w:r>
      <w:r>
        <w:rPr>
          <w:spacing w:val="-2"/>
        </w:rPr>
        <w:t>Securing</w:t>
      </w:r>
    </w:p>
    <w:p w:rsidR="000C560C" w:rsidRDefault="00BE32F1">
      <w:pPr>
        <w:pStyle w:val="Title"/>
        <w:spacing w:before="24"/>
      </w:pPr>
      <w:r>
        <w:t>Australia’s</w:t>
      </w:r>
      <w:r>
        <w:rPr>
          <w:spacing w:val="-5"/>
        </w:rPr>
        <w:t xml:space="preserve"> </w:t>
      </w:r>
      <w:r>
        <w:t>Domestic</w:t>
      </w:r>
      <w:r>
        <w:rPr>
          <w:spacing w:val="-5"/>
        </w:rPr>
        <w:t xml:space="preserve"> </w:t>
      </w:r>
      <w:r>
        <w:t>Fuel</w:t>
      </w:r>
      <w:r>
        <w:rPr>
          <w:spacing w:val="-4"/>
        </w:rPr>
        <w:t xml:space="preserve"> </w:t>
      </w:r>
      <w:r>
        <w:t>Stocks</w:t>
      </w:r>
      <w:r>
        <w:rPr>
          <w:spacing w:val="-5"/>
        </w:rPr>
        <w:t xml:space="preserve"> </w:t>
      </w:r>
      <w:r>
        <w:t>and</w:t>
      </w:r>
      <w:r>
        <w:rPr>
          <w:spacing w:val="-4"/>
        </w:rPr>
        <w:t xml:space="preserve"> </w:t>
      </w:r>
      <w:r>
        <w:t>Refining</w:t>
      </w:r>
      <w:r>
        <w:rPr>
          <w:spacing w:val="-5"/>
        </w:rPr>
        <w:t xml:space="preserve"> </w:t>
      </w:r>
      <w:r>
        <w:rPr>
          <w:spacing w:val="-2"/>
        </w:rPr>
        <w:t>Capacity</w:t>
      </w:r>
    </w:p>
    <w:p w:rsidR="000C560C" w:rsidRDefault="00BE32F1">
      <w:pPr>
        <w:pStyle w:val="BodyText"/>
        <w:spacing w:before="265" w:line="261" w:lineRule="auto"/>
        <w:ind w:right="78"/>
      </w:pPr>
      <w:r>
        <w:t>Thank you for your letter received on 21 May 2021 submitting a Regulation Impact Statement (RIS) on Securing Australia’s Domestic Fuel Stocks and Refining Capacity for formal</w:t>
      </w:r>
      <w:r>
        <w:rPr>
          <w:spacing w:val="-3"/>
        </w:rPr>
        <w:t xml:space="preserve"> </w:t>
      </w:r>
      <w:r>
        <w:t>Second</w:t>
      </w:r>
      <w:r>
        <w:rPr>
          <w:spacing w:val="-3"/>
        </w:rPr>
        <w:t xml:space="preserve"> </w:t>
      </w:r>
      <w:r>
        <w:t>Pass</w:t>
      </w:r>
      <w:r>
        <w:rPr>
          <w:spacing w:val="-3"/>
        </w:rPr>
        <w:t xml:space="preserve"> </w:t>
      </w:r>
      <w:r>
        <w:t>Final</w:t>
      </w:r>
      <w:r>
        <w:rPr>
          <w:spacing w:val="-3"/>
        </w:rPr>
        <w:t xml:space="preserve"> </w:t>
      </w:r>
      <w:r>
        <w:t>Assessment.</w:t>
      </w:r>
      <w:r>
        <w:rPr>
          <w:spacing w:val="-3"/>
        </w:rPr>
        <w:t xml:space="preserve"> </w:t>
      </w:r>
      <w:r>
        <w:t>I</w:t>
      </w:r>
      <w:r>
        <w:rPr>
          <w:spacing w:val="-3"/>
        </w:rPr>
        <w:t xml:space="preserve"> </w:t>
      </w:r>
      <w:r>
        <w:t>note</w:t>
      </w:r>
      <w:r>
        <w:rPr>
          <w:spacing w:val="-3"/>
        </w:rPr>
        <w:t xml:space="preserve"> </w:t>
      </w:r>
      <w:r>
        <w:t>you</w:t>
      </w:r>
      <w:r>
        <w:rPr>
          <w:spacing w:val="-5"/>
        </w:rPr>
        <w:t xml:space="preserve"> </w:t>
      </w:r>
      <w:r>
        <w:t>have</w:t>
      </w:r>
      <w:r>
        <w:rPr>
          <w:spacing w:val="-3"/>
        </w:rPr>
        <w:t xml:space="preserve"> </w:t>
      </w:r>
      <w:r>
        <w:t>formally</w:t>
      </w:r>
      <w:r>
        <w:rPr>
          <w:spacing w:val="-3"/>
        </w:rPr>
        <w:t xml:space="preserve"> </w:t>
      </w:r>
      <w:r>
        <w:t>certified</w:t>
      </w:r>
      <w:r>
        <w:rPr>
          <w:spacing w:val="-3"/>
        </w:rPr>
        <w:t xml:space="preserve"> </w:t>
      </w:r>
      <w:r>
        <w:t>the</w:t>
      </w:r>
      <w:r>
        <w:rPr>
          <w:spacing w:val="-3"/>
        </w:rPr>
        <w:t xml:space="preserve"> </w:t>
      </w:r>
      <w:r>
        <w:t>RIS</w:t>
      </w:r>
      <w:r>
        <w:rPr>
          <w:spacing w:val="-3"/>
        </w:rPr>
        <w:t xml:space="preserve"> </w:t>
      </w:r>
      <w:r>
        <w:t xml:space="preserve">consistent with the </w:t>
      </w:r>
      <w:r>
        <w:rPr>
          <w:i/>
        </w:rPr>
        <w:t>Australian Government Guide to Regulatory Impact Analysis</w:t>
      </w:r>
      <w:r>
        <w:t>.</w:t>
      </w:r>
    </w:p>
    <w:p w:rsidR="000C560C" w:rsidRDefault="00BE32F1">
      <w:pPr>
        <w:pStyle w:val="BodyText"/>
        <w:spacing w:before="236"/>
      </w:pPr>
      <w:r>
        <w:t>I</w:t>
      </w:r>
      <w:r>
        <w:rPr>
          <w:spacing w:val="-2"/>
        </w:rPr>
        <w:t xml:space="preserve"> </w:t>
      </w:r>
      <w:r>
        <w:t>appreciate</w:t>
      </w:r>
      <w:r>
        <w:rPr>
          <w:spacing w:val="-2"/>
        </w:rPr>
        <w:t xml:space="preserve"> </w:t>
      </w:r>
      <w:r>
        <w:t>the</w:t>
      </w:r>
      <w:r>
        <w:rPr>
          <w:spacing w:val="-2"/>
        </w:rPr>
        <w:t xml:space="preserve"> </w:t>
      </w:r>
      <w:r>
        <w:t>Department’s</w:t>
      </w:r>
      <w:r>
        <w:rPr>
          <w:spacing w:val="-1"/>
        </w:rPr>
        <w:t xml:space="preserve"> </w:t>
      </w:r>
      <w:r>
        <w:t>constructive</w:t>
      </w:r>
      <w:r>
        <w:rPr>
          <w:spacing w:val="-3"/>
        </w:rPr>
        <w:t xml:space="preserve"> </w:t>
      </w:r>
      <w:r>
        <w:t>engagement</w:t>
      </w:r>
      <w:r>
        <w:rPr>
          <w:spacing w:val="-1"/>
        </w:rPr>
        <w:t xml:space="preserve"> </w:t>
      </w:r>
      <w:r>
        <w:t>on</w:t>
      </w:r>
      <w:r>
        <w:rPr>
          <w:spacing w:val="-2"/>
        </w:rPr>
        <w:t xml:space="preserve"> </w:t>
      </w:r>
      <w:r>
        <w:t>the</w:t>
      </w:r>
      <w:r>
        <w:rPr>
          <w:spacing w:val="-1"/>
        </w:rPr>
        <w:t xml:space="preserve"> </w:t>
      </w:r>
      <w:r>
        <w:rPr>
          <w:spacing w:val="-4"/>
        </w:rPr>
        <w:t>RIS.</w:t>
      </w:r>
    </w:p>
    <w:p w:rsidR="000C560C" w:rsidRDefault="00BE32F1">
      <w:pPr>
        <w:pStyle w:val="BodyText"/>
        <w:spacing w:before="264" w:line="261" w:lineRule="auto"/>
      </w:pPr>
      <w:r>
        <w:t>The</w:t>
      </w:r>
      <w:r>
        <w:rPr>
          <w:spacing w:val="-3"/>
        </w:rPr>
        <w:t xml:space="preserve"> </w:t>
      </w:r>
      <w:r>
        <w:t>Office</w:t>
      </w:r>
      <w:r>
        <w:rPr>
          <w:spacing w:val="-3"/>
        </w:rPr>
        <w:t xml:space="preserve"> </w:t>
      </w:r>
      <w:r>
        <w:t>of</w:t>
      </w:r>
      <w:r>
        <w:rPr>
          <w:spacing w:val="-4"/>
        </w:rPr>
        <w:t xml:space="preserve"> </w:t>
      </w:r>
      <w:r>
        <w:t>Best</w:t>
      </w:r>
      <w:r>
        <w:rPr>
          <w:spacing w:val="-3"/>
        </w:rPr>
        <w:t xml:space="preserve"> </w:t>
      </w:r>
      <w:r>
        <w:t>Practice</w:t>
      </w:r>
      <w:r>
        <w:rPr>
          <w:spacing w:val="-3"/>
        </w:rPr>
        <w:t xml:space="preserve"> </w:t>
      </w:r>
      <w:r>
        <w:t>Regulation’s</w:t>
      </w:r>
      <w:r>
        <w:rPr>
          <w:spacing w:val="-3"/>
        </w:rPr>
        <w:t xml:space="preserve"> </w:t>
      </w:r>
      <w:r>
        <w:t>(OBPR’s)</w:t>
      </w:r>
      <w:r>
        <w:rPr>
          <w:spacing w:val="-3"/>
        </w:rPr>
        <w:t xml:space="preserve"> </w:t>
      </w:r>
      <w:r>
        <w:t>assessment</w:t>
      </w:r>
      <w:r>
        <w:rPr>
          <w:spacing w:val="-3"/>
        </w:rPr>
        <w:t xml:space="preserve"> </w:t>
      </w:r>
      <w:r>
        <w:t>is</w:t>
      </w:r>
      <w:r>
        <w:rPr>
          <w:spacing w:val="-3"/>
        </w:rPr>
        <w:t xml:space="preserve"> </w:t>
      </w:r>
      <w:r>
        <w:t>that</w:t>
      </w:r>
      <w:r>
        <w:rPr>
          <w:spacing w:val="-4"/>
        </w:rPr>
        <w:t xml:space="preserve"> </w:t>
      </w:r>
      <w:r>
        <w:t>the</w:t>
      </w:r>
      <w:r>
        <w:rPr>
          <w:spacing w:val="-4"/>
        </w:rPr>
        <w:t xml:space="preserve"> </w:t>
      </w:r>
      <w:r>
        <w:t>RIS</w:t>
      </w:r>
      <w:r>
        <w:rPr>
          <w:spacing w:val="-4"/>
        </w:rPr>
        <w:t xml:space="preserve"> </w:t>
      </w:r>
      <w:r>
        <w:t>contains</w:t>
      </w:r>
      <w:r>
        <w:rPr>
          <w:spacing w:val="-3"/>
        </w:rPr>
        <w:t xml:space="preserve"> </w:t>
      </w:r>
      <w:r>
        <w:t>an adequate level of analysis to support a decision by Government.</w:t>
      </w:r>
    </w:p>
    <w:p w:rsidR="000C560C" w:rsidRDefault="00BE32F1">
      <w:pPr>
        <w:pStyle w:val="BodyText"/>
        <w:spacing w:before="239" w:line="261" w:lineRule="auto"/>
        <w:ind w:right="114"/>
        <w:jc w:val="both"/>
      </w:pPr>
      <w:r>
        <w:t>While</w:t>
      </w:r>
      <w:r>
        <w:rPr>
          <w:spacing w:val="-3"/>
        </w:rPr>
        <w:t xml:space="preserve"> </w:t>
      </w:r>
      <w:r>
        <w:t>the</w:t>
      </w:r>
      <w:r>
        <w:rPr>
          <w:spacing w:val="-4"/>
        </w:rPr>
        <w:t xml:space="preserve"> </w:t>
      </w:r>
      <w:r>
        <w:t>RIS</w:t>
      </w:r>
      <w:r>
        <w:rPr>
          <w:spacing w:val="-4"/>
        </w:rPr>
        <w:t xml:space="preserve"> </w:t>
      </w:r>
      <w:r>
        <w:t>sets</w:t>
      </w:r>
      <w:r>
        <w:rPr>
          <w:spacing w:val="-3"/>
        </w:rPr>
        <w:t xml:space="preserve"> </w:t>
      </w:r>
      <w:r>
        <w:t>out</w:t>
      </w:r>
      <w:r>
        <w:rPr>
          <w:spacing w:val="-4"/>
        </w:rPr>
        <w:t xml:space="preserve"> </w:t>
      </w:r>
      <w:r>
        <w:t>the</w:t>
      </w:r>
      <w:r>
        <w:rPr>
          <w:spacing w:val="-3"/>
        </w:rPr>
        <w:t xml:space="preserve"> </w:t>
      </w:r>
      <w:r>
        <w:t>basis</w:t>
      </w:r>
      <w:r>
        <w:rPr>
          <w:spacing w:val="-3"/>
        </w:rPr>
        <w:t xml:space="preserve"> </w:t>
      </w:r>
      <w:r>
        <w:t>for</w:t>
      </w:r>
      <w:r>
        <w:rPr>
          <w:spacing w:val="-4"/>
        </w:rPr>
        <w:t xml:space="preserve"> </w:t>
      </w:r>
      <w:r>
        <w:t>the</w:t>
      </w:r>
      <w:r>
        <w:rPr>
          <w:spacing w:val="-3"/>
        </w:rPr>
        <w:t xml:space="preserve"> </w:t>
      </w:r>
      <w:r>
        <w:t>proposal</w:t>
      </w:r>
      <w:r>
        <w:rPr>
          <w:spacing w:val="-4"/>
        </w:rPr>
        <w:t xml:space="preserve"> </w:t>
      </w:r>
      <w:r>
        <w:t>and</w:t>
      </w:r>
      <w:r>
        <w:rPr>
          <w:spacing w:val="-3"/>
        </w:rPr>
        <w:t xml:space="preserve"> </w:t>
      </w:r>
      <w:r>
        <w:t>alternative</w:t>
      </w:r>
      <w:r>
        <w:rPr>
          <w:spacing w:val="-3"/>
        </w:rPr>
        <w:t xml:space="preserve"> </w:t>
      </w:r>
      <w:r>
        <w:t>approaches</w:t>
      </w:r>
      <w:r>
        <w:rPr>
          <w:spacing w:val="-3"/>
        </w:rPr>
        <w:t xml:space="preserve"> </w:t>
      </w:r>
      <w:r>
        <w:t>to</w:t>
      </w:r>
      <w:r>
        <w:rPr>
          <w:spacing w:val="-5"/>
        </w:rPr>
        <w:t xml:space="preserve"> </w:t>
      </w:r>
      <w:r>
        <w:t>addressing</w:t>
      </w:r>
      <w:r>
        <w:rPr>
          <w:spacing w:val="-5"/>
        </w:rPr>
        <w:t xml:space="preserve"> </w:t>
      </w:r>
      <w:r>
        <w:t>the problem, shortcomings exist in the analysis of the costs and benefits of the preferred option. For the RIS to be considered ‘good practice’ against the Government’s Regulatory Impact Analysis (RIA) requirements, the analysis could have been further improved by including estimates</w:t>
      </w:r>
      <w:r>
        <w:rPr>
          <w:spacing w:val="-13"/>
        </w:rPr>
        <w:t xml:space="preserve"> </w:t>
      </w:r>
      <w:r>
        <w:t>of</w:t>
      </w:r>
      <w:r>
        <w:rPr>
          <w:spacing w:val="-13"/>
        </w:rPr>
        <w:t xml:space="preserve"> </w:t>
      </w:r>
      <w:r>
        <w:t>the</w:t>
      </w:r>
      <w:r>
        <w:rPr>
          <w:spacing w:val="-13"/>
        </w:rPr>
        <w:t xml:space="preserve"> </w:t>
      </w:r>
      <w:r>
        <w:t>pass-through</w:t>
      </w:r>
      <w:r>
        <w:rPr>
          <w:spacing w:val="-13"/>
        </w:rPr>
        <w:t xml:space="preserve"> </w:t>
      </w:r>
      <w:r>
        <w:t>costs</w:t>
      </w:r>
      <w:r>
        <w:rPr>
          <w:spacing w:val="-13"/>
        </w:rPr>
        <w:t xml:space="preserve"> </w:t>
      </w:r>
      <w:r>
        <w:t>to</w:t>
      </w:r>
      <w:r>
        <w:rPr>
          <w:spacing w:val="-13"/>
        </w:rPr>
        <w:t xml:space="preserve"> </w:t>
      </w:r>
      <w:r>
        <w:t>consumers,</w:t>
      </w:r>
      <w:r>
        <w:rPr>
          <w:spacing w:val="-12"/>
        </w:rPr>
        <w:t xml:space="preserve"> </w:t>
      </w:r>
      <w:r>
        <w:t>either</w:t>
      </w:r>
      <w:r>
        <w:rPr>
          <w:spacing w:val="-13"/>
        </w:rPr>
        <w:t xml:space="preserve"> </w:t>
      </w:r>
      <w:r>
        <w:t>in</w:t>
      </w:r>
      <w:r>
        <w:rPr>
          <w:spacing w:val="-13"/>
        </w:rPr>
        <w:t xml:space="preserve"> </w:t>
      </w:r>
      <w:r>
        <w:t>a</w:t>
      </w:r>
      <w:r>
        <w:rPr>
          <w:spacing w:val="-13"/>
        </w:rPr>
        <w:t xml:space="preserve"> </w:t>
      </w:r>
      <w:r>
        <w:t>cents</w:t>
      </w:r>
      <w:r>
        <w:rPr>
          <w:spacing w:val="-13"/>
        </w:rPr>
        <w:t xml:space="preserve"> </w:t>
      </w:r>
      <w:r>
        <w:t>per</w:t>
      </w:r>
      <w:r>
        <w:rPr>
          <w:spacing w:val="-13"/>
        </w:rPr>
        <w:t xml:space="preserve"> </w:t>
      </w:r>
      <w:proofErr w:type="spellStart"/>
      <w:r>
        <w:t>litre</w:t>
      </w:r>
      <w:proofErr w:type="spellEnd"/>
      <w:r>
        <w:rPr>
          <w:spacing w:val="-14"/>
        </w:rPr>
        <w:t xml:space="preserve"> </w:t>
      </w:r>
      <w:r>
        <w:t>or</w:t>
      </w:r>
      <w:r>
        <w:rPr>
          <w:spacing w:val="-13"/>
        </w:rPr>
        <w:t xml:space="preserve"> </w:t>
      </w:r>
      <w:r>
        <w:t>aggregated</w:t>
      </w:r>
      <w:r>
        <w:rPr>
          <w:spacing w:val="-13"/>
        </w:rPr>
        <w:t xml:space="preserve"> </w:t>
      </w:r>
      <w:r>
        <w:t>form. Justification for not including this analysis is unclear, and we anticipate there would be reasonable expectations from stakeholders for such analysis to be included.</w:t>
      </w:r>
    </w:p>
    <w:p w:rsidR="000C560C" w:rsidRDefault="00BE32F1">
      <w:pPr>
        <w:pStyle w:val="BodyText"/>
        <w:spacing w:before="234" w:line="261" w:lineRule="auto"/>
        <w:ind w:right="78"/>
      </w:pPr>
      <w:r>
        <w:t>I</w:t>
      </w:r>
      <w:r>
        <w:rPr>
          <w:spacing w:val="-3"/>
        </w:rPr>
        <w:t xml:space="preserve"> </w:t>
      </w:r>
      <w:r>
        <w:t>note</w:t>
      </w:r>
      <w:r>
        <w:rPr>
          <w:spacing w:val="-4"/>
        </w:rPr>
        <w:t xml:space="preserve"> </w:t>
      </w:r>
      <w:r>
        <w:t>the</w:t>
      </w:r>
      <w:r>
        <w:rPr>
          <w:spacing w:val="-3"/>
        </w:rPr>
        <w:t xml:space="preserve"> </w:t>
      </w:r>
      <w:r>
        <w:t>RIS</w:t>
      </w:r>
      <w:r>
        <w:rPr>
          <w:spacing w:val="-4"/>
        </w:rPr>
        <w:t xml:space="preserve"> </w:t>
      </w:r>
      <w:r>
        <w:t>foreshadows</w:t>
      </w:r>
      <w:r>
        <w:rPr>
          <w:spacing w:val="-3"/>
        </w:rPr>
        <w:t xml:space="preserve"> </w:t>
      </w:r>
      <w:r>
        <w:t>further</w:t>
      </w:r>
      <w:r>
        <w:rPr>
          <w:spacing w:val="-3"/>
        </w:rPr>
        <w:t xml:space="preserve"> </w:t>
      </w:r>
      <w:r>
        <w:t>work</w:t>
      </w:r>
      <w:r>
        <w:rPr>
          <w:spacing w:val="-3"/>
        </w:rPr>
        <w:t xml:space="preserve"> </w:t>
      </w:r>
      <w:r>
        <w:t>on</w:t>
      </w:r>
      <w:r>
        <w:rPr>
          <w:spacing w:val="-3"/>
        </w:rPr>
        <w:t xml:space="preserve"> </w:t>
      </w:r>
      <w:r>
        <w:t>quantifying</w:t>
      </w:r>
      <w:r>
        <w:rPr>
          <w:spacing w:val="-3"/>
        </w:rPr>
        <w:t xml:space="preserve"> </w:t>
      </w:r>
      <w:r>
        <w:t>costs</w:t>
      </w:r>
      <w:r>
        <w:rPr>
          <w:spacing w:val="-4"/>
        </w:rPr>
        <w:t xml:space="preserve"> </w:t>
      </w:r>
      <w:r>
        <w:t>will</w:t>
      </w:r>
      <w:r>
        <w:rPr>
          <w:spacing w:val="-3"/>
        </w:rPr>
        <w:t xml:space="preserve"> </w:t>
      </w:r>
      <w:r>
        <w:t>be</w:t>
      </w:r>
      <w:r>
        <w:rPr>
          <w:spacing w:val="-3"/>
        </w:rPr>
        <w:t xml:space="preserve"> </w:t>
      </w:r>
      <w:r>
        <w:t>prepared</w:t>
      </w:r>
      <w:r>
        <w:rPr>
          <w:spacing w:val="-3"/>
        </w:rPr>
        <w:t xml:space="preserve"> </w:t>
      </w:r>
      <w:r>
        <w:t>as</w:t>
      </w:r>
      <w:r>
        <w:rPr>
          <w:spacing w:val="-4"/>
        </w:rPr>
        <w:t xml:space="preserve"> </w:t>
      </w:r>
      <w:r>
        <w:t>an addendum to the RIS as Ministerial Rules are developed.</w:t>
      </w:r>
    </w:p>
    <w:p w:rsidR="000C560C" w:rsidRDefault="00BE32F1">
      <w:pPr>
        <w:pStyle w:val="BodyText"/>
        <w:spacing w:before="238" w:line="261" w:lineRule="auto"/>
        <w:ind w:right="78"/>
      </w:pPr>
      <w:r>
        <w:t>The addendum for each rule should comprehensively set out the financial costs and benefits to industry and consumers, and be tested through consultation with the public and affected stakeholders (for example transport and logistics companies and commercial aviation fuel consumers).</w:t>
      </w:r>
      <w:r>
        <w:rPr>
          <w:spacing w:val="-3"/>
        </w:rPr>
        <w:t xml:space="preserve"> </w:t>
      </w:r>
      <w:r>
        <w:t>For</w:t>
      </w:r>
      <w:r>
        <w:rPr>
          <w:spacing w:val="-3"/>
        </w:rPr>
        <w:t xml:space="preserve"> </w:t>
      </w:r>
      <w:r>
        <w:t>increased</w:t>
      </w:r>
      <w:r>
        <w:rPr>
          <w:spacing w:val="-3"/>
        </w:rPr>
        <w:t xml:space="preserve"> </w:t>
      </w:r>
      <w:r>
        <w:t>fuel</w:t>
      </w:r>
      <w:r>
        <w:rPr>
          <w:spacing w:val="-3"/>
        </w:rPr>
        <w:t xml:space="preserve"> </w:t>
      </w:r>
      <w:r>
        <w:t>costs,</w:t>
      </w:r>
      <w:r>
        <w:rPr>
          <w:spacing w:val="-5"/>
        </w:rPr>
        <w:t xml:space="preserve"> </w:t>
      </w:r>
      <w:r>
        <w:t>this</w:t>
      </w:r>
      <w:r>
        <w:rPr>
          <w:spacing w:val="-3"/>
        </w:rPr>
        <w:t xml:space="preserve"> </w:t>
      </w:r>
      <w:r>
        <w:t>addendum</w:t>
      </w:r>
      <w:r>
        <w:rPr>
          <w:spacing w:val="-4"/>
        </w:rPr>
        <w:t xml:space="preserve"> </w:t>
      </w:r>
      <w:r>
        <w:t>should</w:t>
      </w:r>
      <w:r>
        <w:rPr>
          <w:spacing w:val="-3"/>
        </w:rPr>
        <w:t xml:space="preserve"> </w:t>
      </w:r>
      <w:r>
        <w:t>present</w:t>
      </w:r>
      <w:r>
        <w:rPr>
          <w:spacing w:val="-3"/>
        </w:rPr>
        <w:t xml:space="preserve"> </w:t>
      </w:r>
      <w:r>
        <w:t>costs</w:t>
      </w:r>
      <w:r>
        <w:rPr>
          <w:spacing w:val="-4"/>
        </w:rPr>
        <w:t xml:space="preserve"> </w:t>
      </w:r>
      <w:r>
        <w:t>in</w:t>
      </w:r>
      <w:r>
        <w:rPr>
          <w:spacing w:val="-3"/>
        </w:rPr>
        <w:t xml:space="preserve"> </w:t>
      </w:r>
      <w:r>
        <w:t>aggregated</w:t>
      </w:r>
      <w:r>
        <w:rPr>
          <w:spacing w:val="-3"/>
        </w:rPr>
        <w:t xml:space="preserve"> </w:t>
      </w:r>
      <w:r>
        <w:t xml:space="preserve">form and in cents per </w:t>
      </w:r>
      <w:proofErr w:type="spellStart"/>
      <w:r>
        <w:t>litre</w:t>
      </w:r>
      <w:proofErr w:type="spellEnd"/>
      <w:r>
        <w:t xml:space="preserve"> for each category of regulated fuel.</w:t>
      </w:r>
    </w:p>
    <w:p w:rsidR="000C560C" w:rsidRDefault="00BE32F1">
      <w:pPr>
        <w:pStyle w:val="BodyText"/>
        <w:spacing w:before="236" w:line="261" w:lineRule="auto"/>
      </w:pPr>
      <w:r>
        <w:t>The</w:t>
      </w:r>
      <w:r>
        <w:rPr>
          <w:spacing w:val="-4"/>
        </w:rPr>
        <w:t xml:space="preserve"> </w:t>
      </w:r>
      <w:r>
        <w:t>increased</w:t>
      </w:r>
      <w:r>
        <w:rPr>
          <w:spacing w:val="-4"/>
        </w:rPr>
        <w:t xml:space="preserve"> </w:t>
      </w:r>
      <w:r>
        <w:t>consumer</w:t>
      </w:r>
      <w:r>
        <w:rPr>
          <w:spacing w:val="-3"/>
        </w:rPr>
        <w:t xml:space="preserve"> </w:t>
      </w:r>
      <w:r>
        <w:t>costs</w:t>
      </w:r>
      <w:r>
        <w:rPr>
          <w:spacing w:val="-4"/>
        </w:rPr>
        <w:t xml:space="preserve"> </w:t>
      </w:r>
      <w:r>
        <w:t>should</w:t>
      </w:r>
      <w:r>
        <w:rPr>
          <w:spacing w:val="-4"/>
        </w:rPr>
        <w:t xml:space="preserve"> </w:t>
      </w:r>
      <w:r>
        <w:t>be</w:t>
      </w:r>
      <w:r>
        <w:rPr>
          <w:spacing w:val="-4"/>
        </w:rPr>
        <w:t xml:space="preserve"> </w:t>
      </w:r>
      <w:r>
        <w:t>directly</w:t>
      </w:r>
      <w:r>
        <w:rPr>
          <w:spacing w:val="-5"/>
        </w:rPr>
        <w:t xml:space="preserve"> </w:t>
      </w:r>
      <w:r>
        <w:t>set</w:t>
      </w:r>
      <w:r>
        <w:rPr>
          <w:spacing w:val="-4"/>
        </w:rPr>
        <w:t xml:space="preserve"> </w:t>
      </w:r>
      <w:r>
        <w:t>against</w:t>
      </w:r>
      <w:r>
        <w:rPr>
          <w:spacing w:val="-4"/>
        </w:rPr>
        <w:t xml:space="preserve"> </w:t>
      </w:r>
      <w:r>
        <w:t>government</w:t>
      </w:r>
      <w:r>
        <w:rPr>
          <w:spacing w:val="-4"/>
        </w:rPr>
        <w:t xml:space="preserve"> </w:t>
      </w:r>
      <w:r>
        <w:t>expenditure</w:t>
      </w:r>
      <w:r>
        <w:rPr>
          <w:spacing w:val="-4"/>
        </w:rPr>
        <w:t xml:space="preserve"> </w:t>
      </w:r>
      <w:r>
        <w:t xml:space="preserve">and </w:t>
      </w:r>
      <w:proofErr w:type="spellStart"/>
      <w:r>
        <w:t>monetised</w:t>
      </w:r>
      <w:proofErr w:type="spellEnd"/>
      <w:r>
        <w:t xml:space="preserve"> benefits to refiners, fuel companies, businesses and the general public.</w:t>
      </w:r>
    </w:p>
    <w:p w:rsidR="000C560C" w:rsidRPr="000E3442" w:rsidRDefault="00BE32F1" w:rsidP="000E3442">
      <w:pPr>
        <w:pStyle w:val="BodyText"/>
        <w:spacing w:line="261" w:lineRule="auto"/>
      </w:pPr>
      <w:r>
        <w:t>The</w:t>
      </w:r>
      <w:r>
        <w:rPr>
          <w:spacing w:val="-3"/>
        </w:rPr>
        <w:t xml:space="preserve"> </w:t>
      </w:r>
      <w:r>
        <w:t>collection</w:t>
      </w:r>
      <w:r>
        <w:rPr>
          <w:spacing w:val="-3"/>
        </w:rPr>
        <w:t xml:space="preserve"> </w:t>
      </w:r>
      <w:r>
        <w:t>and</w:t>
      </w:r>
      <w:r>
        <w:rPr>
          <w:spacing w:val="-3"/>
        </w:rPr>
        <w:t xml:space="preserve"> </w:t>
      </w:r>
      <w:r>
        <w:t>presentation</w:t>
      </w:r>
      <w:r>
        <w:rPr>
          <w:spacing w:val="-3"/>
        </w:rPr>
        <w:t xml:space="preserve"> </w:t>
      </w:r>
      <w:r>
        <w:t>of</w:t>
      </w:r>
      <w:r>
        <w:rPr>
          <w:spacing w:val="-4"/>
        </w:rPr>
        <w:t xml:space="preserve"> </w:t>
      </w:r>
      <w:r>
        <w:t>this</w:t>
      </w:r>
      <w:r>
        <w:rPr>
          <w:spacing w:val="-3"/>
        </w:rPr>
        <w:t xml:space="preserve"> </w:t>
      </w:r>
      <w:r>
        <w:t>information</w:t>
      </w:r>
      <w:r>
        <w:rPr>
          <w:spacing w:val="-2"/>
        </w:rPr>
        <w:t xml:space="preserve"> </w:t>
      </w:r>
      <w:r>
        <w:t>may</w:t>
      </w:r>
      <w:r>
        <w:rPr>
          <w:spacing w:val="-3"/>
        </w:rPr>
        <w:t xml:space="preserve"> </w:t>
      </w:r>
      <w:r>
        <w:t>be</w:t>
      </w:r>
      <w:r>
        <w:rPr>
          <w:spacing w:val="-3"/>
        </w:rPr>
        <w:t xml:space="preserve"> </w:t>
      </w:r>
      <w:r>
        <w:t>challenging</w:t>
      </w:r>
      <w:r>
        <w:rPr>
          <w:spacing w:val="-3"/>
        </w:rPr>
        <w:t xml:space="preserve"> </w:t>
      </w:r>
      <w:r>
        <w:t>and</w:t>
      </w:r>
      <w:r>
        <w:rPr>
          <w:spacing w:val="-3"/>
        </w:rPr>
        <w:t xml:space="preserve"> </w:t>
      </w:r>
      <w:r>
        <w:t>I</w:t>
      </w:r>
      <w:r>
        <w:rPr>
          <w:spacing w:val="-3"/>
        </w:rPr>
        <w:t xml:space="preserve"> </w:t>
      </w:r>
      <w:r>
        <w:t>encourage</w:t>
      </w:r>
      <w:r>
        <w:rPr>
          <w:spacing w:val="-3"/>
        </w:rPr>
        <w:t xml:space="preserve"> </w:t>
      </w:r>
      <w:r>
        <w:t xml:space="preserve">the </w:t>
      </w:r>
      <w:r>
        <w:lastRenderedPageBreak/>
        <w:t xml:space="preserve">Department to </w:t>
      </w:r>
      <w:proofErr w:type="spellStart"/>
      <w:r>
        <w:t>enegage</w:t>
      </w:r>
      <w:proofErr w:type="spellEnd"/>
      <w:r>
        <w:t xml:space="preserve"> early with OBPR to ensure the RIA requirements are fully met.</w:t>
      </w:r>
    </w:p>
    <w:p w:rsidR="000C560C" w:rsidRDefault="00BE32F1">
      <w:pPr>
        <w:ind w:left="140"/>
        <w:jc w:val="center"/>
        <w:rPr>
          <w:rFonts w:ascii="Arial" w:hAnsi="Arial"/>
          <w:sz w:val="16"/>
        </w:rPr>
      </w:pPr>
      <w:r>
        <w:rPr>
          <w:rFonts w:ascii="Arial" w:hAnsi="Arial"/>
          <w:sz w:val="16"/>
        </w:rPr>
        <w:t>1</w:t>
      </w:r>
      <w:r>
        <w:rPr>
          <w:rFonts w:ascii="Arial" w:hAnsi="Arial"/>
          <w:spacing w:val="-6"/>
          <w:sz w:val="16"/>
        </w:rPr>
        <w:t xml:space="preserve"> </w:t>
      </w:r>
      <w:r>
        <w:rPr>
          <w:rFonts w:ascii="Arial" w:hAnsi="Arial"/>
          <w:sz w:val="16"/>
        </w:rPr>
        <w:t>National</w:t>
      </w:r>
      <w:r>
        <w:rPr>
          <w:rFonts w:ascii="Arial" w:hAnsi="Arial"/>
          <w:spacing w:val="-5"/>
          <w:sz w:val="16"/>
        </w:rPr>
        <w:t xml:space="preserve"> </w:t>
      </w:r>
      <w:r>
        <w:rPr>
          <w:rFonts w:ascii="Arial" w:hAnsi="Arial"/>
          <w:sz w:val="16"/>
        </w:rPr>
        <w:t>Circuit,</w:t>
      </w:r>
      <w:r>
        <w:rPr>
          <w:rFonts w:ascii="Arial" w:hAnsi="Arial"/>
          <w:spacing w:val="-5"/>
          <w:sz w:val="16"/>
        </w:rPr>
        <w:t xml:space="preserve"> </w:t>
      </w:r>
      <w:r>
        <w:rPr>
          <w:rFonts w:ascii="Arial" w:hAnsi="Arial"/>
          <w:sz w:val="16"/>
        </w:rPr>
        <w:t>Barton</w:t>
      </w:r>
      <w:r>
        <w:rPr>
          <w:rFonts w:ascii="Arial" w:hAnsi="Arial"/>
          <w:spacing w:val="-6"/>
          <w:sz w:val="16"/>
        </w:rPr>
        <w:t xml:space="preserve"> </w:t>
      </w:r>
      <w:r>
        <w:rPr>
          <w:rFonts w:ascii="Arial" w:hAnsi="Arial"/>
          <w:sz w:val="16"/>
        </w:rPr>
        <w:t>ACT</w:t>
      </w:r>
      <w:r>
        <w:rPr>
          <w:rFonts w:ascii="Arial" w:hAnsi="Arial"/>
          <w:spacing w:val="-6"/>
          <w:sz w:val="16"/>
        </w:rPr>
        <w:t xml:space="preserve"> </w:t>
      </w:r>
      <w:r>
        <w:rPr>
          <w:rFonts w:ascii="Arial" w:hAnsi="Arial"/>
          <w:sz w:val="16"/>
        </w:rPr>
        <w:t>2600</w:t>
      </w:r>
      <w:r>
        <w:rPr>
          <w:rFonts w:ascii="Arial" w:hAnsi="Arial"/>
          <w:spacing w:val="-5"/>
          <w:sz w:val="16"/>
        </w:rPr>
        <w:t xml:space="preserve"> </w:t>
      </w:r>
      <w:r>
        <w:rPr>
          <w:rFonts w:ascii="Symbol" w:hAnsi="Symbol"/>
          <w:sz w:val="16"/>
        </w:rPr>
        <w:t></w:t>
      </w:r>
      <w:r>
        <w:rPr>
          <w:sz w:val="16"/>
        </w:rPr>
        <w:t xml:space="preserve"> </w:t>
      </w:r>
      <w:r>
        <w:rPr>
          <w:rFonts w:ascii="Arial" w:hAnsi="Arial"/>
          <w:sz w:val="16"/>
        </w:rPr>
        <w:t>Telephone</w:t>
      </w:r>
      <w:r>
        <w:rPr>
          <w:rFonts w:ascii="Arial" w:hAnsi="Arial"/>
          <w:spacing w:val="-4"/>
          <w:sz w:val="16"/>
        </w:rPr>
        <w:t xml:space="preserve"> </w:t>
      </w:r>
      <w:r>
        <w:rPr>
          <w:rFonts w:ascii="Arial" w:hAnsi="Arial"/>
          <w:sz w:val="16"/>
        </w:rPr>
        <w:t>02</w:t>
      </w:r>
      <w:r>
        <w:rPr>
          <w:rFonts w:ascii="Arial" w:hAnsi="Arial"/>
          <w:spacing w:val="-5"/>
          <w:sz w:val="16"/>
        </w:rPr>
        <w:t xml:space="preserve"> </w:t>
      </w:r>
      <w:r>
        <w:rPr>
          <w:rFonts w:ascii="Arial" w:hAnsi="Arial"/>
          <w:sz w:val="16"/>
        </w:rPr>
        <w:t>6271</w:t>
      </w:r>
      <w:r>
        <w:rPr>
          <w:rFonts w:ascii="Arial" w:hAnsi="Arial"/>
          <w:spacing w:val="-6"/>
          <w:sz w:val="16"/>
        </w:rPr>
        <w:t xml:space="preserve"> </w:t>
      </w:r>
      <w:r>
        <w:rPr>
          <w:rFonts w:ascii="Arial" w:hAnsi="Arial"/>
          <w:sz w:val="16"/>
        </w:rPr>
        <w:t>6270</w:t>
      </w:r>
      <w:r>
        <w:rPr>
          <w:rFonts w:ascii="Arial" w:hAnsi="Arial"/>
          <w:spacing w:val="-5"/>
          <w:sz w:val="16"/>
        </w:rPr>
        <w:t xml:space="preserve"> </w:t>
      </w:r>
      <w:r>
        <w:rPr>
          <w:rFonts w:ascii="Symbol" w:hAnsi="Symbol"/>
          <w:sz w:val="16"/>
        </w:rPr>
        <w:t></w:t>
      </w:r>
      <w:r>
        <w:rPr>
          <w:sz w:val="16"/>
        </w:rPr>
        <w:t xml:space="preserve"> </w:t>
      </w:r>
      <w:r>
        <w:rPr>
          <w:rFonts w:ascii="Arial" w:hAnsi="Arial"/>
          <w:sz w:val="16"/>
        </w:rPr>
        <w:t>Internet</w:t>
      </w:r>
      <w:r>
        <w:rPr>
          <w:rFonts w:ascii="Arial" w:hAnsi="Arial"/>
          <w:spacing w:val="-4"/>
          <w:sz w:val="16"/>
        </w:rPr>
        <w:t xml:space="preserve"> </w:t>
      </w:r>
      <w:hyperlink r:id="rId8">
        <w:r>
          <w:rPr>
            <w:rFonts w:ascii="Arial" w:hAnsi="Arial"/>
            <w:spacing w:val="-2"/>
            <w:sz w:val="16"/>
          </w:rPr>
          <w:t>www.pmc.gov.au/regulation</w:t>
        </w:r>
      </w:hyperlink>
    </w:p>
    <w:p w:rsidR="000C560C" w:rsidRDefault="000C560C">
      <w:pPr>
        <w:jc w:val="center"/>
        <w:rPr>
          <w:rFonts w:ascii="Arial" w:hAnsi="Arial"/>
          <w:sz w:val="16"/>
        </w:rPr>
        <w:sectPr w:rsidR="000C560C">
          <w:headerReference w:type="even" r:id="rId9"/>
          <w:headerReference w:type="default" r:id="rId10"/>
          <w:footerReference w:type="even" r:id="rId11"/>
          <w:footerReference w:type="default" r:id="rId12"/>
          <w:headerReference w:type="first" r:id="rId13"/>
          <w:footerReference w:type="first" r:id="rId14"/>
          <w:type w:val="continuous"/>
          <w:pgSz w:w="11910" w:h="16840"/>
          <w:pgMar w:top="380" w:right="1300" w:bottom="0" w:left="1300" w:header="720" w:footer="720" w:gutter="0"/>
          <w:cols w:space="720"/>
        </w:sectPr>
      </w:pPr>
    </w:p>
    <w:p w:rsidR="000C560C" w:rsidRDefault="00BE32F1">
      <w:pPr>
        <w:pStyle w:val="BodyText"/>
        <w:spacing w:before="76"/>
      </w:pPr>
      <w:r>
        <w:lastRenderedPageBreak/>
        <w:t>The</w:t>
      </w:r>
      <w:r>
        <w:rPr>
          <w:spacing w:val="-1"/>
        </w:rPr>
        <w:t xml:space="preserve"> </w:t>
      </w:r>
      <w:r>
        <w:t>RIS</w:t>
      </w:r>
      <w:r>
        <w:rPr>
          <w:spacing w:val="-1"/>
        </w:rPr>
        <w:t xml:space="preserve"> </w:t>
      </w:r>
      <w:r>
        <w:t>may</w:t>
      </w:r>
      <w:r>
        <w:rPr>
          <w:spacing w:val="-1"/>
        </w:rPr>
        <w:t xml:space="preserve"> </w:t>
      </w:r>
      <w:r>
        <w:t>now</w:t>
      </w:r>
      <w:r>
        <w:rPr>
          <w:spacing w:val="-2"/>
        </w:rPr>
        <w:t xml:space="preserve"> </w:t>
      </w:r>
      <w:r>
        <w:t>be</w:t>
      </w:r>
      <w:r>
        <w:rPr>
          <w:spacing w:val="-1"/>
        </w:rPr>
        <w:t xml:space="preserve"> </w:t>
      </w:r>
      <w:r>
        <w:t>provided</w:t>
      </w:r>
      <w:r>
        <w:rPr>
          <w:spacing w:val="-1"/>
        </w:rPr>
        <w:t xml:space="preserve"> </w:t>
      </w:r>
      <w:r>
        <w:t>to</w:t>
      </w:r>
      <w:r>
        <w:rPr>
          <w:spacing w:val="-3"/>
        </w:rPr>
        <w:t xml:space="preserve"> </w:t>
      </w:r>
      <w:r>
        <w:t>the</w:t>
      </w:r>
      <w:r>
        <w:rPr>
          <w:spacing w:val="-1"/>
        </w:rPr>
        <w:t xml:space="preserve"> </w:t>
      </w:r>
      <w:r>
        <w:t>decision-maker</w:t>
      </w:r>
      <w:r>
        <w:rPr>
          <w:spacing w:val="-1"/>
        </w:rPr>
        <w:t xml:space="preserve"> </w:t>
      </w:r>
      <w:r>
        <w:t>to</w:t>
      </w:r>
      <w:r>
        <w:rPr>
          <w:spacing w:val="-1"/>
        </w:rPr>
        <w:t xml:space="preserve"> </w:t>
      </w:r>
      <w:r>
        <w:t>inform</w:t>
      </w:r>
      <w:r>
        <w:rPr>
          <w:spacing w:val="-3"/>
        </w:rPr>
        <w:t xml:space="preserve"> </w:t>
      </w:r>
      <w:r>
        <w:t xml:space="preserve">their </w:t>
      </w:r>
      <w:r>
        <w:rPr>
          <w:spacing w:val="-2"/>
        </w:rPr>
        <w:t>decision.</w:t>
      </w:r>
    </w:p>
    <w:p w:rsidR="000C560C" w:rsidRDefault="00BE32F1">
      <w:pPr>
        <w:pStyle w:val="BodyText"/>
        <w:spacing w:before="264" w:line="261" w:lineRule="auto"/>
      </w:pPr>
      <w:r>
        <w:t>We</w:t>
      </w:r>
      <w:r>
        <w:rPr>
          <w:spacing w:val="-3"/>
        </w:rPr>
        <w:t xml:space="preserve"> </w:t>
      </w:r>
      <w:r>
        <w:t>would</w:t>
      </w:r>
      <w:r>
        <w:rPr>
          <w:spacing w:val="-3"/>
        </w:rPr>
        <w:t xml:space="preserve"> </w:t>
      </w:r>
      <w:r>
        <w:t>appreciate</w:t>
      </w:r>
      <w:r>
        <w:rPr>
          <w:spacing w:val="-3"/>
        </w:rPr>
        <w:t xml:space="preserve"> </w:t>
      </w:r>
      <w:r>
        <w:t>you</w:t>
      </w:r>
      <w:r>
        <w:rPr>
          <w:spacing w:val="-3"/>
        </w:rPr>
        <w:t xml:space="preserve"> </w:t>
      </w:r>
      <w:r>
        <w:t>advising</w:t>
      </w:r>
      <w:r>
        <w:rPr>
          <w:spacing w:val="-3"/>
        </w:rPr>
        <w:t xml:space="preserve"> </w:t>
      </w:r>
      <w:r>
        <w:t>us</w:t>
      </w:r>
      <w:r>
        <w:rPr>
          <w:spacing w:val="-3"/>
        </w:rPr>
        <w:t xml:space="preserve"> </w:t>
      </w:r>
      <w:r>
        <w:t>when</w:t>
      </w:r>
      <w:r>
        <w:rPr>
          <w:spacing w:val="-3"/>
        </w:rPr>
        <w:t xml:space="preserve"> </w:t>
      </w:r>
      <w:r>
        <w:t>a</w:t>
      </w:r>
      <w:r>
        <w:rPr>
          <w:spacing w:val="-3"/>
        </w:rPr>
        <w:t xml:space="preserve"> </w:t>
      </w:r>
      <w:r>
        <w:t>final</w:t>
      </w:r>
      <w:r>
        <w:rPr>
          <w:spacing w:val="-3"/>
        </w:rPr>
        <w:t xml:space="preserve"> </w:t>
      </w:r>
      <w:r>
        <w:t>decision</w:t>
      </w:r>
      <w:r>
        <w:rPr>
          <w:spacing w:val="-3"/>
        </w:rPr>
        <w:t xml:space="preserve"> </w:t>
      </w:r>
      <w:r>
        <w:t>has</w:t>
      </w:r>
      <w:r>
        <w:rPr>
          <w:spacing w:val="-3"/>
        </w:rPr>
        <w:t xml:space="preserve"> </w:t>
      </w:r>
      <w:r>
        <w:t>been</w:t>
      </w:r>
      <w:r>
        <w:rPr>
          <w:spacing w:val="-3"/>
        </w:rPr>
        <w:t xml:space="preserve"> </w:t>
      </w:r>
      <w:r>
        <w:t>announced</w:t>
      </w:r>
      <w:r>
        <w:rPr>
          <w:spacing w:val="-3"/>
        </w:rPr>
        <w:t xml:space="preserve"> </w:t>
      </w:r>
      <w:r>
        <w:t>and forwarding versions of the RIS in a form meeting the Government’s accessibility requirements.</w:t>
      </w:r>
      <w:r>
        <w:rPr>
          <w:spacing w:val="-2"/>
        </w:rPr>
        <w:t xml:space="preserve"> </w:t>
      </w:r>
      <w:r>
        <w:t>The</w:t>
      </w:r>
      <w:r>
        <w:rPr>
          <w:spacing w:val="-2"/>
        </w:rPr>
        <w:t xml:space="preserve"> </w:t>
      </w:r>
      <w:r>
        <w:t>OBPR</w:t>
      </w:r>
      <w:r>
        <w:rPr>
          <w:spacing w:val="-3"/>
        </w:rPr>
        <w:t xml:space="preserve"> </w:t>
      </w:r>
      <w:r>
        <w:t>will</w:t>
      </w:r>
      <w:r>
        <w:rPr>
          <w:spacing w:val="-2"/>
        </w:rPr>
        <w:t xml:space="preserve"> </w:t>
      </w:r>
      <w:r>
        <w:t>publish</w:t>
      </w:r>
      <w:r>
        <w:rPr>
          <w:spacing w:val="-2"/>
        </w:rPr>
        <w:t xml:space="preserve"> </w:t>
      </w:r>
      <w:r>
        <w:t>the</w:t>
      </w:r>
      <w:r>
        <w:rPr>
          <w:spacing w:val="-2"/>
        </w:rPr>
        <w:t xml:space="preserve"> </w:t>
      </w:r>
      <w:r>
        <w:t>RIS,</w:t>
      </w:r>
      <w:r>
        <w:rPr>
          <w:spacing w:val="-2"/>
        </w:rPr>
        <w:t xml:space="preserve"> </w:t>
      </w:r>
      <w:r>
        <w:t>along</w:t>
      </w:r>
      <w:r>
        <w:rPr>
          <w:spacing w:val="-2"/>
        </w:rPr>
        <w:t xml:space="preserve"> </w:t>
      </w:r>
      <w:r>
        <w:t>with</w:t>
      </w:r>
      <w:r>
        <w:rPr>
          <w:spacing w:val="-2"/>
        </w:rPr>
        <w:t xml:space="preserve"> </w:t>
      </w:r>
      <w:r>
        <w:t>your</w:t>
      </w:r>
      <w:r>
        <w:rPr>
          <w:spacing w:val="-2"/>
        </w:rPr>
        <w:t xml:space="preserve"> </w:t>
      </w:r>
      <w:r>
        <w:t>certification</w:t>
      </w:r>
      <w:r>
        <w:rPr>
          <w:spacing w:val="-2"/>
        </w:rPr>
        <w:t xml:space="preserve"> </w:t>
      </w:r>
      <w:r>
        <w:t>and</w:t>
      </w:r>
      <w:r>
        <w:rPr>
          <w:spacing w:val="-2"/>
        </w:rPr>
        <w:t xml:space="preserve"> </w:t>
      </w:r>
      <w:r>
        <w:t xml:space="preserve">this assessment, on the OBPR’s website </w:t>
      </w:r>
      <w:r>
        <w:rPr>
          <w:color w:val="0563C1"/>
          <w:u w:val="single" w:color="0563C1"/>
        </w:rPr>
        <w:t>https://ris.pmc.gov.au/</w:t>
      </w:r>
      <w:r>
        <w:t>.</w:t>
      </w:r>
    </w:p>
    <w:p w:rsidR="000C560C" w:rsidRDefault="00BE32F1">
      <w:pPr>
        <w:pStyle w:val="BodyText"/>
        <w:spacing w:before="237" w:line="470" w:lineRule="auto"/>
        <w:ind w:right="1965"/>
      </w:pPr>
      <w:r>
        <w:t>If</w:t>
      </w:r>
      <w:r>
        <w:rPr>
          <w:spacing w:val="-4"/>
        </w:rPr>
        <w:t xml:space="preserve"> </w:t>
      </w:r>
      <w:r>
        <w:t>you</w:t>
      </w:r>
      <w:r>
        <w:rPr>
          <w:spacing w:val="-3"/>
        </w:rPr>
        <w:t xml:space="preserve"> </w:t>
      </w:r>
      <w:r>
        <w:t>have</w:t>
      </w:r>
      <w:r>
        <w:rPr>
          <w:spacing w:val="-3"/>
        </w:rPr>
        <w:t xml:space="preserve"> </w:t>
      </w:r>
      <w:r>
        <w:t>any</w:t>
      </w:r>
      <w:r>
        <w:rPr>
          <w:spacing w:val="-3"/>
        </w:rPr>
        <w:t xml:space="preserve"> </w:t>
      </w:r>
      <w:r>
        <w:t>further</w:t>
      </w:r>
      <w:r>
        <w:rPr>
          <w:spacing w:val="-4"/>
        </w:rPr>
        <w:t xml:space="preserve"> </w:t>
      </w:r>
      <w:r>
        <w:t>queries,</w:t>
      </w:r>
      <w:r>
        <w:rPr>
          <w:spacing w:val="-3"/>
        </w:rPr>
        <w:t xml:space="preserve"> </w:t>
      </w:r>
      <w:r>
        <w:t>please</w:t>
      </w:r>
      <w:r>
        <w:rPr>
          <w:spacing w:val="-3"/>
        </w:rPr>
        <w:t xml:space="preserve"> </w:t>
      </w:r>
      <w:r>
        <w:t>do</w:t>
      </w:r>
      <w:r>
        <w:rPr>
          <w:spacing w:val="-3"/>
        </w:rPr>
        <w:t xml:space="preserve"> </w:t>
      </w:r>
      <w:r>
        <w:t>not</w:t>
      </w:r>
      <w:r>
        <w:rPr>
          <w:spacing w:val="-3"/>
        </w:rPr>
        <w:t xml:space="preserve"> </w:t>
      </w:r>
      <w:r>
        <w:t>hesitate</w:t>
      </w:r>
      <w:r>
        <w:rPr>
          <w:spacing w:val="-3"/>
        </w:rPr>
        <w:t xml:space="preserve"> </w:t>
      </w:r>
      <w:r>
        <w:t>to</w:t>
      </w:r>
      <w:r>
        <w:rPr>
          <w:spacing w:val="-5"/>
        </w:rPr>
        <w:t xml:space="preserve"> </w:t>
      </w:r>
      <w:r>
        <w:t>contact</w:t>
      </w:r>
      <w:r>
        <w:rPr>
          <w:spacing w:val="-3"/>
        </w:rPr>
        <w:t xml:space="preserve"> </w:t>
      </w:r>
      <w:r>
        <w:t>me. Yours sincerely</w:t>
      </w:r>
    </w:p>
    <w:p w:rsidR="000C560C" w:rsidRDefault="000C560C">
      <w:pPr>
        <w:pStyle w:val="BodyText"/>
        <w:ind w:left="0"/>
      </w:pPr>
    </w:p>
    <w:p w:rsidR="000C560C" w:rsidRDefault="000C560C">
      <w:pPr>
        <w:pStyle w:val="BodyText"/>
        <w:ind w:left="0"/>
      </w:pPr>
    </w:p>
    <w:p w:rsidR="000C560C" w:rsidRDefault="000C560C">
      <w:pPr>
        <w:pStyle w:val="BodyText"/>
        <w:ind w:left="0"/>
      </w:pPr>
    </w:p>
    <w:p w:rsidR="000C560C" w:rsidRDefault="000C560C">
      <w:pPr>
        <w:pStyle w:val="BodyText"/>
        <w:spacing w:before="274"/>
        <w:ind w:left="0"/>
      </w:pPr>
    </w:p>
    <w:p w:rsidR="000C560C" w:rsidRDefault="00BE32F1">
      <w:pPr>
        <w:pStyle w:val="BodyText"/>
        <w:spacing w:line="252" w:lineRule="auto"/>
        <w:ind w:left="259" w:right="7026"/>
      </w:pPr>
      <w:r>
        <w:t>Jason Lange Executive</w:t>
      </w:r>
      <w:r>
        <w:rPr>
          <w:spacing w:val="-15"/>
        </w:rPr>
        <w:t xml:space="preserve"> </w:t>
      </w:r>
      <w:r>
        <w:t>Director 21 May 2021</w:t>
      </w:r>
    </w:p>
    <w:sectPr w:rsidR="000C560C">
      <w:pgSz w:w="11910" w:h="16840"/>
      <w:pgMar w:top="136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26A" w:rsidRDefault="00D7526A" w:rsidP="00D7526A">
      <w:r>
        <w:separator/>
      </w:r>
    </w:p>
  </w:endnote>
  <w:endnote w:type="continuationSeparator" w:id="0">
    <w:p w:rsidR="00D7526A" w:rsidRDefault="00D7526A" w:rsidP="00D7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82" w:rsidRDefault="00BC5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82" w:rsidRDefault="00BC59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82" w:rsidRDefault="00BC5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26A" w:rsidRDefault="00D7526A" w:rsidP="00D7526A">
      <w:r>
        <w:separator/>
      </w:r>
    </w:p>
  </w:footnote>
  <w:footnote w:type="continuationSeparator" w:id="0">
    <w:p w:rsidR="00D7526A" w:rsidRDefault="00D7526A" w:rsidP="00D75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82" w:rsidRDefault="00BC5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82" w:rsidRDefault="00BC5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82" w:rsidRDefault="00BC59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0C"/>
    <w:rsid w:val="000C560C"/>
    <w:rsid w:val="000E3442"/>
    <w:rsid w:val="001A12AB"/>
    <w:rsid w:val="002E4148"/>
    <w:rsid w:val="0037226B"/>
    <w:rsid w:val="007F0124"/>
    <w:rsid w:val="00BC5982"/>
    <w:rsid w:val="00BE32F1"/>
    <w:rsid w:val="00C2537A"/>
    <w:rsid w:val="00D7526A"/>
    <w:rsid w:val="00E00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FF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pPr>
    <w:rPr>
      <w:sz w:val="24"/>
      <w:szCs w:val="24"/>
    </w:rPr>
  </w:style>
  <w:style w:type="paragraph" w:styleId="Title">
    <w:name w:val="Title"/>
    <w:basedOn w:val="Normal"/>
    <w:uiPriority w:val="1"/>
    <w:qFormat/>
    <w:pPr>
      <w:ind w:left="260"/>
    </w:pPr>
    <w:rPr>
      <w:rFonts w:ascii="Arial" w:eastAsia="Arial" w:hAnsi="Arial" w:cs="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526A"/>
    <w:pPr>
      <w:tabs>
        <w:tab w:val="center" w:pos="4513"/>
        <w:tab w:val="right" w:pos="9026"/>
      </w:tabs>
    </w:pPr>
  </w:style>
  <w:style w:type="character" w:customStyle="1" w:styleId="HeaderChar">
    <w:name w:val="Header Char"/>
    <w:basedOn w:val="DefaultParagraphFont"/>
    <w:link w:val="Header"/>
    <w:uiPriority w:val="99"/>
    <w:rsid w:val="00D7526A"/>
    <w:rPr>
      <w:rFonts w:ascii="Times New Roman" w:eastAsia="Times New Roman" w:hAnsi="Times New Roman" w:cs="Times New Roman"/>
    </w:rPr>
  </w:style>
  <w:style w:type="paragraph" w:styleId="Footer">
    <w:name w:val="footer"/>
    <w:basedOn w:val="Normal"/>
    <w:link w:val="FooterChar"/>
    <w:uiPriority w:val="99"/>
    <w:unhideWhenUsed/>
    <w:rsid w:val="00D7526A"/>
    <w:pPr>
      <w:tabs>
        <w:tab w:val="center" w:pos="4513"/>
        <w:tab w:val="right" w:pos="9026"/>
      </w:tabs>
    </w:pPr>
  </w:style>
  <w:style w:type="character" w:customStyle="1" w:styleId="FooterChar">
    <w:name w:val="Footer Char"/>
    <w:basedOn w:val="DefaultParagraphFont"/>
    <w:link w:val="Footer"/>
    <w:uiPriority w:val="99"/>
    <w:rsid w:val="00D752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mc.gov.au/regulatio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helpdesk-obpr@pmc.gov.au"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2024-12-22T18:51:00Z</dcterms:created>
  <dcterms:modified xsi:type="dcterms:W3CDTF">2024-12-22T22:33:00Z</dcterms:modified>
</cp:coreProperties>
</file>