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03" w:rsidRDefault="00591C89">
      <w:pPr>
        <w:pStyle w:val="BodyText"/>
        <w:ind w:left="2633"/>
        <w:rPr>
          <w:sz w:val="20"/>
        </w:rPr>
      </w:pPr>
      <w:r>
        <w:rPr>
          <w:noProof/>
          <w:sz w:val="20"/>
          <w:lang w:val="en-AU" w:eastAsia="en-AU"/>
        </w:rPr>
        <w:drawing>
          <wp:inline distT="0" distB="0" distL="0" distR="0">
            <wp:extent cx="2407158" cy="105994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158" cy="105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spacing w:before="78"/>
        <w:rPr>
          <w:sz w:val="16"/>
        </w:rPr>
      </w:pPr>
    </w:p>
    <w:p w:rsidR="00D33603" w:rsidRDefault="00591C89">
      <w:pPr>
        <w:spacing w:line="237" w:lineRule="auto"/>
        <w:ind w:left="7639" w:right="116" w:hanging="305"/>
        <w:jc w:val="right"/>
        <w:rPr>
          <w:sz w:val="16"/>
        </w:rPr>
      </w:pPr>
      <w:r>
        <w:rPr>
          <w:rFonts w:ascii="Calibri"/>
          <w:sz w:val="16"/>
        </w:rPr>
        <w:t>R</w:t>
      </w:r>
      <w:r>
        <w:rPr>
          <w:sz w:val="16"/>
        </w:rPr>
        <w:t>eference:</w:t>
      </w:r>
      <w:r>
        <w:rPr>
          <w:spacing w:val="-10"/>
          <w:sz w:val="16"/>
        </w:rPr>
        <w:t xml:space="preserve"> </w:t>
      </w:r>
      <w:r>
        <w:rPr>
          <w:sz w:val="16"/>
        </w:rPr>
        <w:t>OBPR22-02706</w:t>
      </w:r>
      <w:r>
        <w:rPr>
          <w:spacing w:val="40"/>
          <w:sz w:val="16"/>
        </w:rPr>
        <w:t xml:space="preserve"> </w:t>
      </w:r>
      <w:r>
        <w:rPr>
          <w:sz w:val="16"/>
        </w:rPr>
        <w:t>Telephone:</w:t>
      </w:r>
      <w:r>
        <w:rPr>
          <w:spacing w:val="-7"/>
          <w:sz w:val="16"/>
        </w:rPr>
        <w:t xml:space="preserve"> </w:t>
      </w:r>
      <w:r>
        <w:rPr>
          <w:sz w:val="16"/>
        </w:rPr>
        <w:t>6271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6270</w:t>
      </w:r>
    </w:p>
    <w:p w:rsidR="00D33603" w:rsidRDefault="00591C89">
      <w:pPr>
        <w:ind w:right="117"/>
        <w:jc w:val="right"/>
        <w:rPr>
          <w:sz w:val="16"/>
        </w:rPr>
      </w:pPr>
      <w:proofErr w:type="gramStart"/>
      <w:r>
        <w:rPr>
          <w:spacing w:val="-2"/>
          <w:sz w:val="16"/>
        </w:rPr>
        <w:t>e-mail</w:t>
      </w:r>
      <w:proofErr w:type="gramEnd"/>
      <w:r>
        <w:rPr>
          <w:spacing w:val="-2"/>
          <w:sz w:val="16"/>
        </w:rPr>
        <w:t>:</w:t>
      </w:r>
      <w:r>
        <w:rPr>
          <w:spacing w:val="21"/>
          <w:sz w:val="16"/>
        </w:rPr>
        <w:t xml:space="preserve"> </w:t>
      </w:r>
      <w:hyperlink r:id="rId8">
        <w:r>
          <w:rPr>
            <w:color w:val="0000FF"/>
            <w:spacing w:val="-2"/>
            <w:sz w:val="16"/>
            <w:u w:val="single" w:color="0000FF"/>
          </w:rPr>
          <w:t>helpdesk-obpr@pmc.gov.au</w:t>
        </w:r>
      </w:hyperlink>
    </w:p>
    <w:p w:rsidR="00D33603" w:rsidRDefault="00D33603">
      <w:pPr>
        <w:pStyle w:val="BodyText"/>
        <w:spacing w:before="238"/>
      </w:pPr>
    </w:p>
    <w:p w:rsidR="00D33603" w:rsidRDefault="00591C89">
      <w:pPr>
        <w:pStyle w:val="BodyText"/>
        <w:spacing w:before="1"/>
        <w:ind w:left="320" w:right="6841"/>
      </w:pPr>
      <w:proofErr w:type="spellStart"/>
      <w:r>
        <w:t>Ms</w:t>
      </w:r>
      <w:proofErr w:type="spellEnd"/>
      <w:r>
        <w:rPr>
          <w:spacing w:val="-15"/>
        </w:rPr>
        <w:t xml:space="preserve"> </w:t>
      </w:r>
      <w:r>
        <w:t>Jane</w:t>
      </w:r>
      <w:r>
        <w:rPr>
          <w:spacing w:val="-15"/>
        </w:rPr>
        <w:t xml:space="preserve"> </w:t>
      </w:r>
      <w:r>
        <w:t>Urquhart Deputy</w:t>
      </w:r>
      <w:r>
        <w:rPr>
          <w:spacing w:val="-5"/>
        </w:rPr>
        <w:t xml:space="preserve"> </w:t>
      </w:r>
      <w:r>
        <w:rPr>
          <w:spacing w:val="-2"/>
        </w:rPr>
        <w:t>Secretary</w:t>
      </w:r>
    </w:p>
    <w:p w:rsidR="00D33603" w:rsidRDefault="00591C89">
      <w:pPr>
        <w:pStyle w:val="BodyText"/>
        <w:ind w:left="320"/>
      </w:pPr>
      <w:r>
        <w:t>Resources</w:t>
      </w:r>
      <w:r>
        <w:rPr>
          <w:spacing w:val="-3"/>
        </w:rPr>
        <w:t xml:space="preserve"> </w:t>
      </w:r>
      <w:r>
        <w:t>and Enabling</w:t>
      </w:r>
      <w:r>
        <w:rPr>
          <w:spacing w:val="-2"/>
        </w:rPr>
        <w:t xml:space="preserve"> Services</w:t>
      </w:r>
    </w:p>
    <w:p w:rsidR="00D33603" w:rsidRDefault="00591C89">
      <w:pPr>
        <w:pStyle w:val="BodyText"/>
        <w:spacing w:line="420" w:lineRule="auto"/>
        <w:ind w:left="320" w:right="3906"/>
      </w:pPr>
      <w:r>
        <w:t>Department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Industry,</w:t>
      </w:r>
      <w:r>
        <w:rPr>
          <w:spacing w:val="-8"/>
        </w:rPr>
        <w:t xml:space="preserve"> </w:t>
      </w:r>
      <w:r>
        <w:t>Science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 xml:space="preserve">Resources Dear </w:t>
      </w:r>
      <w:proofErr w:type="spellStart"/>
      <w:r>
        <w:t>Ms</w:t>
      </w:r>
      <w:proofErr w:type="spellEnd"/>
      <w:r>
        <w:t xml:space="preserve"> Urquhart</w:t>
      </w:r>
    </w:p>
    <w:p w:rsidR="00D33603" w:rsidRDefault="00591C89">
      <w:pPr>
        <w:pStyle w:val="Heading1"/>
      </w:pPr>
      <w:r>
        <w:t>Regulation Impact Statement – Second Pass Final Assessment – Strengthening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Australian</w:t>
      </w:r>
      <w:r>
        <w:rPr>
          <w:spacing w:val="-5"/>
        </w:rPr>
        <w:t xml:space="preserve"> </w:t>
      </w:r>
      <w:r>
        <w:t>Domestic</w:t>
      </w:r>
      <w:r>
        <w:rPr>
          <w:spacing w:val="-6"/>
        </w:rPr>
        <w:t xml:space="preserve"> </w:t>
      </w:r>
      <w:r>
        <w:t>Gas</w:t>
      </w:r>
      <w:r>
        <w:rPr>
          <w:spacing w:val="-4"/>
        </w:rPr>
        <w:t xml:space="preserve"> </w:t>
      </w:r>
      <w:r>
        <w:t>Security</w:t>
      </w:r>
      <w:r>
        <w:rPr>
          <w:spacing w:val="-11"/>
        </w:rPr>
        <w:t xml:space="preserve"> </w:t>
      </w:r>
      <w:r>
        <w:t>Mechanism</w:t>
      </w:r>
      <w:r>
        <w:rPr>
          <w:spacing w:val="-5"/>
        </w:rPr>
        <w:t xml:space="preserve"> </w:t>
      </w:r>
      <w:r>
        <w:t>(ADGSM)</w:t>
      </w:r>
    </w:p>
    <w:p w:rsidR="00D33603" w:rsidRDefault="00591C89">
      <w:pPr>
        <w:spacing w:before="234"/>
        <w:ind w:left="320" w:right="179"/>
        <w:rPr>
          <w:sz w:val="24"/>
        </w:rPr>
      </w:pPr>
      <w:r>
        <w:rPr>
          <w:sz w:val="24"/>
        </w:rPr>
        <w:t>Thank you for your letter submitting a Regulation Impact Statement (RIS) for formal Second</w:t>
      </w:r>
      <w:r>
        <w:rPr>
          <w:spacing w:val="-3"/>
          <w:sz w:val="24"/>
        </w:rPr>
        <w:t xml:space="preserve"> </w:t>
      </w:r>
      <w:r>
        <w:rPr>
          <w:sz w:val="24"/>
        </w:rPr>
        <w:t>Pass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Assessment.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note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RIS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formally</w:t>
      </w:r>
      <w:r>
        <w:rPr>
          <w:spacing w:val="-6"/>
          <w:sz w:val="24"/>
        </w:rPr>
        <w:t xml:space="preserve"> </w:t>
      </w:r>
      <w:r>
        <w:rPr>
          <w:sz w:val="24"/>
        </w:rPr>
        <w:t>certified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yourself,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at the Deputy Secretary level, consistent with the </w:t>
      </w:r>
      <w:r>
        <w:rPr>
          <w:i/>
          <w:sz w:val="24"/>
        </w:rPr>
        <w:t>Australian Government Guide to Regulatory Impact Analysis</w:t>
      </w:r>
      <w:r>
        <w:rPr>
          <w:sz w:val="24"/>
        </w:rPr>
        <w:t>.</w:t>
      </w:r>
    </w:p>
    <w:p w:rsidR="00D33603" w:rsidRDefault="00D33603">
      <w:pPr>
        <w:pStyle w:val="BodyText"/>
      </w:pPr>
    </w:p>
    <w:p w:rsidR="00D33603" w:rsidRDefault="00591C89">
      <w:pPr>
        <w:pStyle w:val="BodyText"/>
        <w:ind w:left="319"/>
      </w:pPr>
      <w:r>
        <w:t>The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Regulation’s</w:t>
      </w:r>
      <w:r>
        <w:rPr>
          <w:spacing w:val="-3"/>
        </w:rPr>
        <w:t xml:space="preserve"> </w:t>
      </w:r>
      <w:r>
        <w:t>(OBPR’s)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regulatory impact analysis in the RIS is adequate.</w:t>
      </w:r>
    </w:p>
    <w:p w:rsidR="00D33603" w:rsidRDefault="00D33603">
      <w:pPr>
        <w:pStyle w:val="BodyText"/>
      </w:pPr>
    </w:p>
    <w:p w:rsidR="00D33603" w:rsidRDefault="00591C89">
      <w:pPr>
        <w:ind w:left="320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considered</w:t>
      </w:r>
      <w:r>
        <w:rPr>
          <w:spacing w:val="-3"/>
          <w:sz w:val="24"/>
        </w:rPr>
        <w:t xml:space="preserve"> </w:t>
      </w:r>
      <w:r>
        <w:rPr>
          <w:sz w:val="24"/>
        </w:rPr>
        <w:t>‘good</w:t>
      </w:r>
      <w:r>
        <w:rPr>
          <w:spacing w:val="-3"/>
          <w:sz w:val="24"/>
        </w:rPr>
        <w:t xml:space="preserve"> </w:t>
      </w:r>
      <w:r>
        <w:rPr>
          <w:sz w:val="24"/>
        </w:rPr>
        <w:t>practice’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Australian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Government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Regulatory Impact Analysis</w:t>
      </w:r>
      <w:r>
        <w:rPr>
          <w:sz w:val="24"/>
        </w:rPr>
        <w:t>, the RIS would have benefitted from:</w:t>
      </w:r>
    </w:p>
    <w:p w:rsidR="00D33603" w:rsidRDefault="00591C89">
      <w:pPr>
        <w:pStyle w:val="ListParagraph"/>
        <w:numPr>
          <w:ilvl w:val="0"/>
          <w:numId w:val="1"/>
        </w:numPr>
        <w:tabs>
          <w:tab w:val="left" w:pos="1040"/>
        </w:tabs>
        <w:ind w:right="617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likely</w:t>
      </w:r>
      <w:r>
        <w:rPr>
          <w:spacing w:val="-6"/>
          <w:sz w:val="24"/>
        </w:rPr>
        <w:t xml:space="preserve"> </w:t>
      </w:r>
      <w:r>
        <w:rPr>
          <w:sz w:val="24"/>
        </w:rPr>
        <w:t>impacts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wider</w:t>
      </w:r>
      <w:r>
        <w:rPr>
          <w:spacing w:val="-4"/>
          <w:sz w:val="24"/>
        </w:rPr>
        <w:t xml:space="preserve"> </w:t>
      </w:r>
      <w:r>
        <w:rPr>
          <w:sz w:val="24"/>
        </w:rPr>
        <w:t>range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stakeholders,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including </w:t>
      </w:r>
      <w:r>
        <w:rPr>
          <w:spacing w:val="-2"/>
          <w:sz w:val="24"/>
        </w:rPr>
        <w:t>householders.</w:t>
      </w:r>
    </w:p>
    <w:p w:rsidR="00D33603" w:rsidRDefault="00591C89">
      <w:pPr>
        <w:pStyle w:val="ListParagraph"/>
        <w:numPr>
          <w:ilvl w:val="0"/>
          <w:numId w:val="1"/>
        </w:numPr>
        <w:tabs>
          <w:tab w:val="left" w:pos="1039"/>
        </w:tabs>
        <w:ind w:left="1039"/>
        <w:rPr>
          <w:sz w:val="24"/>
        </w:rPr>
      </w:pPr>
      <w:r>
        <w:rPr>
          <w:sz w:val="24"/>
        </w:rPr>
        <w:t>A discussion on how the method of economic analysis differs from cost-benefit analysis,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Australian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Government’s</w:t>
      </w:r>
      <w:r>
        <w:rPr>
          <w:spacing w:val="-4"/>
          <w:sz w:val="24"/>
        </w:rPr>
        <w:t xml:space="preserve"> </w:t>
      </w:r>
      <w:r>
        <w:rPr>
          <w:sz w:val="24"/>
        </w:rPr>
        <w:t>preferred</w:t>
      </w:r>
      <w:r>
        <w:rPr>
          <w:spacing w:val="-4"/>
          <w:sz w:val="24"/>
        </w:rPr>
        <w:t xml:space="preserve"> </w:t>
      </w:r>
      <w:r>
        <w:rPr>
          <w:sz w:val="24"/>
        </w:rPr>
        <w:t>method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assessing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regulatory </w:t>
      </w:r>
      <w:r>
        <w:rPr>
          <w:spacing w:val="-2"/>
          <w:sz w:val="24"/>
        </w:rPr>
        <w:t>proposals.</w:t>
      </w:r>
    </w:p>
    <w:p w:rsidR="00D33603" w:rsidRDefault="00591C89">
      <w:pPr>
        <w:pStyle w:val="ListParagraph"/>
        <w:numPr>
          <w:ilvl w:val="0"/>
          <w:numId w:val="1"/>
        </w:numPr>
        <w:tabs>
          <w:tab w:val="left" w:pos="1039"/>
        </w:tabs>
        <w:ind w:left="1039" w:right="29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inclusion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regulatory</w:t>
      </w:r>
      <w:r>
        <w:rPr>
          <w:spacing w:val="-8"/>
          <w:sz w:val="24"/>
        </w:rPr>
        <w:t xml:space="preserve"> </w:t>
      </w:r>
      <w:r>
        <w:rPr>
          <w:sz w:val="24"/>
        </w:rPr>
        <w:t>burden</w:t>
      </w:r>
      <w:r>
        <w:rPr>
          <w:spacing w:val="-3"/>
          <w:sz w:val="24"/>
        </w:rPr>
        <w:t xml:space="preserve"> </w:t>
      </w:r>
      <w:r>
        <w:rPr>
          <w:sz w:val="24"/>
        </w:rPr>
        <w:t>estimate</w:t>
      </w:r>
      <w:r>
        <w:rPr>
          <w:spacing w:val="-4"/>
          <w:sz w:val="24"/>
        </w:rPr>
        <w:t xml:space="preserve"> </w:t>
      </w:r>
      <w:r>
        <w:rPr>
          <w:sz w:val="24"/>
        </w:rPr>
        <w:t>consistent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OBPR’s</w:t>
      </w:r>
      <w:r>
        <w:rPr>
          <w:spacing w:val="-3"/>
          <w:sz w:val="24"/>
        </w:rPr>
        <w:t xml:space="preserve"> </w:t>
      </w:r>
      <w:r>
        <w:rPr>
          <w:sz w:val="24"/>
        </w:rPr>
        <w:t>Regulatory Burden Measurement Framework.</w:t>
      </w:r>
    </w:p>
    <w:p w:rsidR="00D33603" w:rsidRDefault="00591C89">
      <w:pPr>
        <w:pStyle w:val="BodyText"/>
        <w:spacing w:before="275"/>
        <w:ind w:left="319" w:right="179"/>
      </w:pPr>
      <w:r>
        <w:t>As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uncertainty</w:t>
      </w:r>
      <w:r>
        <w:rPr>
          <w:spacing w:val="-8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matter,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impacts</w:t>
      </w:r>
      <w:r>
        <w:rPr>
          <w:spacing w:val="-3"/>
        </w:rPr>
        <w:t xml:space="preserve"> </w:t>
      </w:r>
      <w:r>
        <w:t>are potentially widespread, OBPR advises that a Post Implementation Review is required within</w:t>
      </w:r>
      <w:r>
        <w:rPr>
          <w:spacing w:val="-1"/>
        </w:rPr>
        <w:t xml:space="preserve"> </w:t>
      </w:r>
      <w:r>
        <w:t>five years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decision.</w:t>
      </w:r>
      <w:r>
        <w:rPr>
          <w:spacing w:val="40"/>
        </w:rPr>
        <w:t xml:space="preserve"> </w:t>
      </w:r>
      <w:r>
        <w:t>OBPR</w:t>
      </w:r>
      <w:r>
        <w:rPr>
          <w:spacing w:val="-1"/>
        </w:rPr>
        <w:t xml:space="preserve"> </w:t>
      </w:r>
      <w:r>
        <w:t>suggests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conduct this review after the first activation of the mechanism or concurrently with the scheduled review of the ADGSM.</w:t>
      </w:r>
    </w:p>
    <w:p w:rsidR="00D33603" w:rsidRDefault="00D33603">
      <w:pPr>
        <w:pStyle w:val="BodyText"/>
      </w:pPr>
    </w:p>
    <w:p w:rsidR="00D33603" w:rsidRDefault="00591C89">
      <w:pPr>
        <w:pStyle w:val="BodyText"/>
        <w:ind w:left="319"/>
      </w:pPr>
      <w:r>
        <w:t>The</w:t>
      </w:r>
      <w:r>
        <w:rPr>
          <w:spacing w:val="-4"/>
        </w:rPr>
        <w:t xml:space="preserve"> </w:t>
      </w:r>
      <w:r>
        <w:t>RIS may</w:t>
      </w:r>
      <w:r>
        <w:rPr>
          <w:spacing w:val="-5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decision-maker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inform a</w:t>
      </w:r>
      <w:r>
        <w:rPr>
          <w:spacing w:val="-1"/>
        </w:rPr>
        <w:t xml:space="preserve"> </w:t>
      </w:r>
      <w:r>
        <w:t xml:space="preserve">final </w:t>
      </w:r>
      <w:r>
        <w:rPr>
          <w:spacing w:val="-2"/>
        </w:rPr>
        <w:t>decision.</w:t>
      </w:r>
    </w:p>
    <w:p w:rsidR="00D33603" w:rsidRDefault="00D33603">
      <w:pPr>
        <w:sectPr w:rsidR="00D336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80" w:right="1320" w:bottom="280" w:left="1720" w:header="720" w:footer="720" w:gutter="0"/>
          <w:cols w:space="720"/>
        </w:sectPr>
      </w:pPr>
    </w:p>
    <w:p w:rsidR="00D33603" w:rsidRDefault="00591C89">
      <w:pPr>
        <w:pStyle w:val="Heading1"/>
        <w:spacing w:before="75"/>
        <w:rPr>
          <w:rFonts w:ascii="Times New Roman"/>
        </w:rPr>
      </w:pPr>
      <w:r>
        <w:rPr>
          <w:rFonts w:ascii="Times New Roman"/>
        </w:rPr>
        <w:lastRenderedPageBreak/>
        <w:t>Next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steps</w:t>
      </w:r>
    </w:p>
    <w:p w:rsidR="00D33603" w:rsidRDefault="00591C89">
      <w:pPr>
        <w:pStyle w:val="BodyText"/>
        <w:spacing w:before="235"/>
        <w:ind w:left="320" w:right="204"/>
      </w:pPr>
      <w:r>
        <w:t xml:space="preserve">After a final decision has been announced, I ask that your agency work with OBPR to </w:t>
      </w:r>
      <w:proofErr w:type="spellStart"/>
      <w:r>
        <w:t>finalise</w:t>
      </w:r>
      <w:proofErr w:type="spellEnd"/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release.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Word and PDF format for web accessibility purposes. The RIS must be included in any Explanatory Memorandum or Statement giving effect to the proposals in the RIS.</w:t>
      </w:r>
    </w:p>
    <w:p w:rsidR="00D33603" w:rsidRDefault="00591C89">
      <w:pPr>
        <w:pStyle w:val="BodyText"/>
        <w:spacing w:before="238" w:line="657" w:lineRule="auto"/>
        <w:ind w:left="320" w:right="1806"/>
      </w:pPr>
      <w:bookmarkStart w:id="0" w:name="_GoBack"/>
      <w:bookmarkEnd w:id="0"/>
      <w:r>
        <w:t>If you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queries,</w:t>
      </w:r>
      <w:r>
        <w:rPr>
          <w:spacing w:val="-4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hesitate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me. Yours sincerely</w:t>
      </w:r>
    </w:p>
    <w:p w:rsidR="00D33603" w:rsidRDefault="00D33603">
      <w:pPr>
        <w:pStyle w:val="BodyText"/>
      </w:pPr>
    </w:p>
    <w:p w:rsidR="00D33603" w:rsidRDefault="00D33603">
      <w:pPr>
        <w:pStyle w:val="BodyText"/>
        <w:spacing w:before="165"/>
      </w:pPr>
    </w:p>
    <w:p w:rsidR="00D33603" w:rsidRDefault="00591C89">
      <w:pPr>
        <w:pStyle w:val="BodyText"/>
        <w:ind w:left="319" w:right="6841"/>
      </w:pPr>
      <w:r>
        <w:t>Jason Lange Executive Director 21</w:t>
      </w:r>
      <w:r>
        <w:rPr>
          <w:spacing w:val="-2"/>
        </w:rPr>
        <w:t xml:space="preserve"> </w:t>
      </w:r>
      <w:r>
        <w:t>September</w:t>
      </w:r>
      <w:r>
        <w:rPr>
          <w:spacing w:val="-2"/>
        </w:rPr>
        <w:t xml:space="preserve"> </w:t>
      </w:r>
      <w:r>
        <w:rPr>
          <w:spacing w:val="-4"/>
        </w:rPr>
        <w:t>2022</w:t>
      </w: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rPr>
          <w:sz w:val="16"/>
        </w:rPr>
      </w:pPr>
    </w:p>
    <w:p w:rsidR="00D33603" w:rsidRDefault="00D33603">
      <w:pPr>
        <w:pStyle w:val="BodyText"/>
        <w:spacing w:before="166"/>
        <w:rPr>
          <w:sz w:val="16"/>
        </w:rPr>
      </w:pPr>
    </w:p>
    <w:p w:rsidR="00D33603" w:rsidRDefault="00591C89">
      <w:pPr>
        <w:ind w:left="1462"/>
        <w:rPr>
          <w:sz w:val="16"/>
        </w:rPr>
      </w:pPr>
      <w:r>
        <w:rPr>
          <w:sz w:val="16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National</w:t>
      </w:r>
      <w:r>
        <w:rPr>
          <w:spacing w:val="-4"/>
          <w:sz w:val="16"/>
        </w:rPr>
        <w:t xml:space="preserve"> </w:t>
      </w:r>
      <w:r>
        <w:rPr>
          <w:sz w:val="16"/>
        </w:rPr>
        <w:t>Circuit,</w:t>
      </w:r>
      <w:r>
        <w:rPr>
          <w:spacing w:val="-5"/>
          <w:sz w:val="16"/>
        </w:rPr>
        <w:t xml:space="preserve"> </w:t>
      </w:r>
      <w:r>
        <w:rPr>
          <w:sz w:val="16"/>
        </w:rPr>
        <w:t>Barton</w:t>
      </w:r>
      <w:r>
        <w:rPr>
          <w:spacing w:val="-1"/>
          <w:sz w:val="16"/>
        </w:rPr>
        <w:t xml:space="preserve"> </w:t>
      </w:r>
      <w:r>
        <w:rPr>
          <w:sz w:val="16"/>
        </w:rPr>
        <w:t>ACT</w:t>
      </w:r>
      <w:r>
        <w:rPr>
          <w:spacing w:val="-6"/>
          <w:sz w:val="16"/>
        </w:rPr>
        <w:t xml:space="preserve"> </w:t>
      </w:r>
      <w:r>
        <w:rPr>
          <w:sz w:val="16"/>
        </w:rPr>
        <w:t>2600</w:t>
      </w:r>
      <w:r>
        <w:rPr>
          <w:spacing w:val="-4"/>
          <w:sz w:val="16"/>
        </w:rPr>
        <w:t xml:space="preserve"> </w:t>
      </w:r>
      <w:r>
        <w:rPr>
          <w:sz w:val="16"/>
        </w:rPr>
        <w:t>•</w:t>
      </w:r>
      <w:r>
        <w:rPr>
          <w:spacing w:val="-4"/>
          <w:sz w:val="16"/>
        </w:rPr>
        <w:t xml:space="preserve"> </w:t>
      </w:r>
      <w:r>
        <w:rPr>
          <w:sz w:val="16"/>
        </w:rPr>
        <w:t>Telephone</w:t>
      </w:r>
      <w:r>
        <w:rPr>
          <w:spacing w:val="-4"/>
          <w:sz w:val="16"/>
        </w:rPr>
        <w:t xml:space="preserve"> </w:t>
      </w:r>
      <w:r>
        <w:rPr>
          <w:sz w:val="16"/>
        </w:rPr>
        <w:t>02</w:t>
      </w:r>
      <w:r>
        <w:rPr>
          <w:spacing w:val="-5"/>
          <w:sz w:val="16"/>
        </w:rPr>
        <w:t xml:space="preserve"> </w:t>
      </w:r>
      <w:r>
        <w:rPr>
          <w:sz w:val="16"/>
        </w:rPr>
        <w:t>6271</w:t>
      </w:r>
      <w:r>
        <w:rPr>
          <w:spacing w:val="-4"/>
          <w:sz w:val="16"/>
        </w:rPr>
        <w:t xml:space="preserve"> </w:t>
      </w:r>
      <w:r>
        <w:rPr>
          <w:sz w:val="16"/>
        </w:rPr>
        <w:t>6270</w:t>
      </w:r>
      <w:r>
        <w:rPr>
          <w:spacing w:val="-4"/>
          <w:sz w:val="16"/>
        </w:rPr>
        <w:t xml:space="preserve"> </w:t>
      </w:r>
      <w:r>
        <w:rPr>
          <w:sz w:val="16"/>
        </w:rPr>
        <w:t>•</w:t>
      </w:r>
      <w:r>
        <w:rPr>
          <w:spacing w:val="-2"/>
          <w:sz w:val="16"/>
        </w:rPr>
        <w:t xml:space="preserve"> </w:t>
      </w:r>
      <w:r>
        <w:rPr>
          <w:sz w:val="16"/>
        </w:rPr>
        <w:t>Internet</w:t>
      </w:r>
      <w:r>
        <w:rPr>
          <w:spacing w:val="-2"/>
          <w:sz w:val="16"/>
        </w:rPr>
        <w:t xml:space="preserve"> obpr.pmc.gov.au</w:t>
      </w:r>
    </w:p>
    <w:sectPr w:rsidR="00D33603">
      <w:pgSz w:w="12240" w:h="15840"/>
      <w:pgMar w:top="1640" w:right="13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C89" w:rsidRDefault="00591C89" w:rsidP="00591C89">
      <w:r>
        <w:separator/>
      </w:r>
    </w:p>
  </w:endnote>
  <w:endnote w:type="continuationSeparator" w:id="0">
    <w:p w:rsidR="00591C89" w:rsidRDefault="00591C89" w:rsidP="0059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89" w:rsidRDefault="00591C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89" w:rsidRDefault="00591C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89" w:rsidRDefault="00591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C89" w:rsidRDefault="00591C89" w:rsidP="00591C89">
      <w:r>
        <w:separator/>
      </w:r>
    </w:p>
  </w:footnote>
  <w:footnote w:type="continuationSeparator" w:id="0">
    <w:p w:rsidR="00591C89" w:rsidRDefault="00591C89" w:rsidP="00591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89" w:rsidRDefault="00591C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89" w:rsidRDefault="00591C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89" w:rsidRDefault="00591C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628E2"/>
    <w:multiLevelType w:val="hybridMultilevel"/>
    <w:tmpl w:val="44FE47EA"/>
    <w:lvl w:ilvl="0" w:tplc="56F68FA4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1267314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2892D79C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04B03A40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2F287D5E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5" w:tplc="07DAA498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D632F214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9B188AD8">
      <w:numFmt w:val="bullet"/>
      <w:lvlText w:val="•"/>
      <w:lvlJc w:val="left"/>
      <w:pPr>
        <w:ind w:left="6752" w:hanging="360"/>
      </w:pPr>
      <w:rPr>
        <w:rFonts w:hint="default"/>
        <w:lang w:val="en-US" w:eastAsia="en-US" w:bidi="ar-SA"/>
      </w:rPr>
    </w:lvl>
    <w:lvl w:ilvl="8" w:tplc="E2800D4A"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33603"/>
    <w:rsid w:val="004B68EB"/>
    <w:rsid w:val="00591C89"/>
    <w:rsid w:val="00CC5CEE"/>
    <w:rsid w:val="00D3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36"/>
      <w:ind w:left="3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39" w:right="15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1C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C8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91C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C8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-obpr@pmc.gov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2024-12-22T22:25:00Z</dcterms:created>
  <dcterms:modified xsi:type="dcterms:W3CDTF">2024-12-22T22:25:00Z</dcterms:modified>
</cp:coreProperties>
</file>