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446EC" w14:textId="020AEDB9" w:rsidR="00E27C37" w:rsidRPr="00B16E6B" w:rsidRDefault="00E27C37" w:rsidP="009613E1">
      <w:pPr>
        <w:spacing w:line="271" w:lineRule="auto"/>
        <w:rPr>
          <w:rFonts w:cstheme="minorHAnsi"/>
          <w:sz w:val="28"/>
          <w:szCs w:val="30"/>
        </w:rPr>
      </w:pPr>
      <w:bookmarkStart w:id="0" w:name="_Toc96326909"/>
      <w:r w:rsidRPr="00B36BC3">
        <w:rPr>
          <w:rStyle w:val="ui-provider"/>
          <w:b/>
          <w:sz w:val="56"/>
        </w:rPr>
        <w:t>Transport Secu</w:t>
      </w:r>
      <w:r w:rsidRPr="00B16E6B">
        <w:rPr>
          <w:rStyle w:val="ui-provider"/>
          <w:b/>
          <w:sz w:val="56"/>
        </w:rPr>
        <w:t>rity</w:t>
      </w:r>
      <w:r w:rsidR="001034D3">
        <w:rPr>
          <w:rStyle w:val="ui-provider"/>
          <w:b/>
          <w:sz w:val="56"/>
        </w:rPr>
        <w:t xml:space="preserve"> </w:t>
      </w:r>
      <w:r w:rsidRPr="00B16E6B">
        <w:rPr>
          <w:rStyle w:val="ui-provider"/>
          <w:b/>
          <w:sz w:val="56"/>
        </w:rPr>
        <w:t>Amendment (Security of Australia’s Transport Sector) Bill 2024</w:t>
      </w:r>
    </w:p>
    <w:p w14:paraId="732194A3" w14:textId="35F32AAC" w:rsidR="00A62EF3" w:rsidRPr="00B16E6B" w:rsidRDefault="00BC19BB" w:rsidP="009613E1">
      <w:pPr>
        <w:pStyle w:val="Subtitle"/>
        <w:spacing w:line="271" w:lineRule="auto"/>
      </w:pPr>
      <w:r w:rsidRPr="00B16E6B">
        <w:t xml:space="preserve">Impact Analysis for </w:t>
      </w:r>
      <w:r w:rsidR="00515B3D" w:rsidRPr="00B16E6B">
        <w:t>Final (</w:t>
      </w:r>
      <w:r w:rsidR="00BE64C5" w:rsidRPr="00B16E6B">
        <w:t xml:space="preserve">Second </w:t>
      </w:r>
      <w:r w:rsidR="00515B3D" w:rsidRPr="00B16E6B">
        <w:t>Pass) Assessment</w:t>
      </w:r>
      <w:r w:rsidRPr="00B16E6B">
        <w:rPr>
          <w:color w:val="FF0000"/>
        </w:rPr>
        <w:t xml:space="preserve">  </w:t>
      </w:r>
    </w:p>
    <w:p w14:paraId="6A50274D" w14:textId="77777777" w:rsidR="00C76B32" w:rsidRPr="00B16E6B" w:rsidRDefault="009D3710" w:rsidP="009613E1">
      <w:pPr>
        <w:spacing w:line="271" w:lineRule="auto"/>
        <w:rPr>
          <w:iCs/>
        </w:rPr>
      </w:pPr>
      <w:r w:rsidRPr="00B16E6B">
        <w:rPr>
          <w:rStyle w:val="Emphasis"/>
          <w:i w:val="0"/>
        </w:rPr>
        <w:t xml:space="preserve">Prepared by </w:t>
      </w:r>
      <w:r w:rsidR="00BC19BB" w:rsidRPr="00B16E6B">
        <w:rPr>
          <w:rStyle w:val="Emphasis"/>
          <w:i w:val="0"/>
        </w:rPr>
        <w:t xml:space="preserve">the Department of Home Affairs </w:t>
      </w:r>
      <w:r w:rsidR="00031FF6" w:rsidRPr="00B16E6B">
        <w:rPr>
          <w:iCs/>
        </w:rPr>
        <w:br w:type="page"/>
      </w:r>
    </w:p>
    <w:p w14:paraId="20009901" w14:textId="77777777" w:rsidR="00084642" w:rsidRPr="00B16E6B" w:rsidRDefault="00084642" w:rsidP="009613E1">
      <w:pPr>
        <w:spacing w:line="271" w:lineRule="auto"/>
        <w:rPr>
          <w:iCs/>
        </w:rPr>
      </w:pPr>
      <w:r w:rsidRPr="00B16E6B">
        <w:rPr>
          <w:iCs/>
          <w:noProof/>
          <w:lang w:eastAsia="en-AU"/>
        </w:rPr>
        <w:lastRenderedPageBreak/>
        <w:drawing>
          <wp:anchor distT="0" distB="0" distL="114300" distR="114300" simplePos="0" relativeHeight="251660288" behindDoc="0" locked="0" layoutInCell="1" allowOverlap="1" wp14:anchorId="0831929A" wp14:editId="7423A118">
            <wp:simplePos x="0" y="0"/>
            <wp:positionH relativeFrom="margin">
              <wp:align>center</wp:align>
            </wp:positionH>
            <wp:positionV relativeFrom="paragraph">
              <wp:posOffset>352004</wp:posOffset>
            </wp:positionV>
            <wp:extent cx="3454400" cy="2070100"/>
            <wp:effectExtent l="0" t="0" r="0" b="0"/>
            <wp:wrapTopAndBottom/>
            <wp:docPr id="7" name="Picture 7">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4400" cy="2070100"/>
                    </a:xfrm>
                    <a:prstGeom prst="rect">
                      <a:avLst/>
                    </a:prstGeom>
                    <a:noFill/>
                    <a:ln>
                      <a:noFill/>
                    </a:ln>
                  </pic:spPr>
                </pic:pic>
              </a:graphicData>
            </a:graphic>
          </wp:anchor>
        </w:drawing>
      </w:r>
    </w:p>
    <w:p w14:paraId="51FA81A5" w14:textId="77777777" w:rsidR="00084642" w:rsidRPr="00B16E6B" w:rsidRDefault="00084642" w:rsidP="009613E1">
      <w:pPr>
        <w:spacing w:line="271" w:lineRule="auto"/>
        <w:rPr>
          <w:iCs/>
        </w:rPr>
      </w:pPr>
    </w:p>
    <w:p w14:paraId="124C7F52" w14:textId="77777777" w:rsidR="00084642" w:rsidRPr="00B16E6B" w:rsidRDefault="00084642" w:rsidP="009613E1">
      <w:pPr>
        <w:spacing w:line="271" w:lineRule="auto"/>
        <w:rPr>
          <w:iCs/>
        </w:rPr>
      </w:pPr>
    </w:p>
    <w:p w14:paraId="1BBD213E" w14:textId="77777777" w:rsidR="00BC19BB" w:rsidRPr="00B16E6B" w:rsidRDefault="00BC19BB" w:rsidP="009613E1">
      <w:pPr>
        <w:spacing w:line="271" w:lineRule="auto"/>
      </w:pPr>
      <w:r w:rsidRPr="00B16E6B">
        <w:t xml:space="preserve">This Impact Analysis (IA) </w:t>
      </w:r>
      <w:r w:rsidR="00896FCB" w:rsidRPr="00B16E6B">
        <w:t>analyses the outcomes of consultation conducted by the</w:t>
      </w:r>
      <w:r w:rsidRPr="00B16E6B">
        <w:t xml:space="preserve"> Department of Home Affairs with industry on the regulation of Australia’s aviation and maritime sector industry participants. </w:t>
      </w:r>
      <w:r w:rsidR="00896FCB" w:rsidRPr="00B16E6B">
        <w:t>This</w:t>
      </w:r>
      <w:r w:rsidRPr="00B16E6B">
        <w:t xml:space="preserve"> document aims to provide transparency on the </w:t>
      </w:r>
      <w:r w:rsidR="00487C6A" w:rsidRPr="00B16E6B">
        <w:t>government</w:t>
      </w:r>
      <w:r w:rsidRPr="00B16E6B">
        <w:t xml:space="preserve">’s decision-making process and </w:t>
      </w:r>
      <w:r w:rsidR="00896FCB" w:rsidRPr="00B16E6B">
        <w:t xml:space="preserve">has enabled the testing of </w:t>
      </w:r>
      <w:r w:rsidRPr="00B16E6B">
        <w:t xml:space="preserve">regulatory impacts of options under </w:t>
      </w:r>
      <w:r w:rsidR="00896FCB" w:rsidRPr="00B16E6B">
        <w:t xml:space="preserve">consideration </w:t>
      </w:r>
      <w:r w:rsidRPr="00B16E6B">
        <w:t xml:space="preserve">with stakeholders.  </w:t>
      </w:r>
    </w:p>
    <w:bookmarkEnd w:id="0"/>
    <w:p w14:paraId="41B100B2" w14:textId="77777777" w:rsidR="0014151F" w:rsidRPr="00B16E6B" w:rsidRDefault="0014151F" w:rsidP="009613E1">
      <w:pPr>
        <w:pStyle w:val="Heading1"/>
        <w:pageBreakBefore/>
        <w:spacing w:line="271" w:lineRule="auto"/>
        <w:rPr>
          <w:noProof/>
        </w:rPr>
      </w:pPr>
      <w:r w:rsidRPr="00B16E6B">
        <w:rPr>
          <w:noProof/>
        </w:rPr>
        <w:lastRenderedPageBreak/>
        <w:t>Contents</w:t>
      </w:r>
    </w:p>
    <w:p w14:paraId="3E7476D8" w14:textId="77777777" w:rsidR="00A62EF3" w:rsidRPr="00B16E6B" w:rsidRDefault="0014151F" w:rsidP="009E6358">
      <w:pPr>
        <w:pStyle w:val="Heading2"/>
      </w:pPr>
      <w:r w:rsidRPr="00B16E6B">
        <w:t>Executive Summary</w:t>
      </w:r>
    </w:p>
    <w:p w14:paraId="15000F91" w14:textId="77777777" w:rsidR="00BA3CF3" w:rsidRPr="00B16E6B" w:rsidRDefault="00BA3CF3" w:rsidP="009613E1">
      <w:pPr>
        <w:pStyle w:val="Heading3"/>
        <w:spacing w:line="271" w:lineRule="auto"/>
      </w:pPr>
      <w:r w:rsidRPr="00B16E6B">
        <w:t>Introduction</w:t>
      </w:r>
    </w:p>
    <w:p w14:paraId="3E61F203" w14:textId="77777777" w:rsidR="0014151F" w:rsidRPr="00B16E6B" w:rsidRDefault="0014151F" w:rsidP="009613E1">
      <w:pPr>
        <w:pStyle w:val="Heading3"/>
        <w:numPr>
          <w:ilvl w:val="0"/>
          <w:numId w:val="11"/>
        </w:numPr>
        <w:spacing w:line="271" w:lineRule="auto"/>
      </w:pPr>
      <w:r w:rsidRPr="00B16E6B">
        <w:t>What is the policy problem you are trying to solve and what data is available?</w:t>
      </w:r>
    </w:p>
    <w:p w14:paraId="4E8E29BE" w14:textId="77777777" w:rsidR="0014151F" w:rsidRPr="00B16E6B" w:rsidRDefault="0014151F" w:rsidP="009613E1">
      <w:pPr>
        <w:pStyle w:val="Heading3"/>
        <w:numPr>
          <w:ilvl w:val="0"/>
          <w:numId w:val="11"/>
        </w:numPr>
        <w:spacing w:line="271" w:lineRule="auto"/>
      </w:pPr>
      <w:r w:rsidRPr="00B16E6B">
        <w:t xml:space="preserve">What are the objectives, why is </w:t>
      </w:r>
      <w:r w:rsidR="00487C6A" w:rsidRPr="00B16E6B">
        <w:t>government</w:t>
      </w:r>
      <w:r w:rsidRPr="00B16E6B">
        <w:t xml:space="preserve"> intervention needed to achieve them, and how will success be measured</w:t>
      </w:r>
    </w:p>
    <w:p w14:paraId="3EE430E5" w14:textId="77777777" w:rsidR="0014151F" w:rsidRPr="00B16E6B" w:rsidRDefault="0014151F" w:rsidP="009613E1">
      <w:pPr>
        <w:pStyle w:val="Heading3"/>
        <w:numPr>
          <w:ilvl w:val="0"/>
          <w:numId w:val="11"/>
        </w:numPr>
        <w:spacing w:line="271" w:lineRule="auto"/>
      </w:pPr>
      <w:r w:rsidRPr="00B16E6B">
        <w:t>What policy options are you considering?</w:t>
      </w:r>
    </w:p>
    <w:p w14:paraId="533496FC" w14:textId="77777777" w:rsidR="0014151F" w:rsidRPr="00B16E6B" w:rsidRDefault="0014151F" w:rsidP="009613E1">
      <w:pPr>
        <w:pStyle w:val="Heading3"/>
        <w:numPr>
          <w:ilvl w:val="0"/>
          <w:numId w:val="11"/>
        </w:numPr>
        <w:spacing w:line="271" w:lineRule="auto"/>
      </w:pPr>
      <w:r w:rsidRPr="00B16E6B">
        <w:t>What is the likely net benefit of each option?</w:t>
      </w:r>
    </w:p>
    <w:p w14:paraId="23911A90" w14:textId="77777777" w:rsidR="0014151F" w:rsidRPr="00B16E6B" w:rsidRDefault="0014151F" w:rsidP="009613E1">
      <w:pPr>
        <w:pStyle w:val="Heading3"/>
        <w:numPr>
          <w:ilvl w:val="0"/>
          <w:numId w:val="11"/>
        </w:numPr>
        <w:spacing w:line="271" w:lineRule="auto"/>
      </w:pPr>
      <w:r w:rsidRPr="00B16E6B">
        <w:t>Who did you consult and how did you incorporate their feedback?</w:t>
      </w:r>
    </w:p>
    <w:p w14:paraId="10B4D810" w14:textId="77777777" w:rsidR="0014151F" w:rsidRPr="00B16E6B" w:rsidRDefault="0014151F" w:rsidP="009613E1">
      <w:pPr>
        <w:pStyle w:val="Heading3"/>
        <w:numPr>
          <w:ilvl w:val="0"/>
          <w:numId w:val="11"/>
        </w:numPr>
        <w:spacing w:line="271" w:lineRule="auto"/>
      </w:pPr>
      <w:r w:rsidRPr="00B16E6B">
        <w:t>What is the best option from those you have considered and how will it be implemented?</w:t>
      </w:r>
    </w:p>
    <w:p w14:paraId="04D197D0" w14:textId="77777777" w:rsidR="002A5B13" w:rsidRPr="00B16E6B" w:rsidRDefault="0014151F" w:rsidP="009613E1">
      <w:pPr>
        <w:pStyle w:val="Heading3"/>
        <w:numPr>
          <w:ilvl w:val="0"/>
          <w:numId w:val="11"/>
        </w:numPr>
        <w:spacing w:line="271" w:lineRule="auto"/>
      </w:pPr>
      <w:r w:rsidRPr="00B16E6B">
        <w:t>How will you evaluate you</w:t>
      </w:r>
      <w:r w:rsidR="00CE46CD" w:rsidRPr="00B16E6B">
        <w:t>r</w:t>
      </w:r>
      <w:r w:rsidRPr="00B16E6B">
        <w:t xml:space="preserve"> chosen option against the success metrics?</w:t>
      </w:r>
    </w:p>
    <w:p w14:paraId="77B9AA4D" w14:textId="77777777" w:rsidR="002A5B13" w:rsidRPr="00B16E6B" w:rsidRDefault="002A5B13" w:rsidP="009613E1">
      <w:pPr>
        <w:spacing w:line="271" w:lineRule="auto"/>
      </w:pPr>
    </w:p>
    <w:p w14:paraId="28C73E77" w14:textId="77777777" w:rsidR="00084642" w:rsidRPr="00B16E6B" w:rsidRDefault="00084642" w:rsidP="009613E1">
      <w:pPr>
        <w:spacing w:after="200" w:line="271" w:lineRule="auto"/>
        <w:rPr>
          <w:rFonts w:asciiTheme="majorHAnsi" w:eastAsiaTheme="majorEastAsia" w:hAnsiTheme="majorHAnsi" w:cstheme="majorBidi"/>
          <w:color w:val="1C2B39" w:themeColor="accent1"/>
          <w:sz w:val="48"/>
          <w:szCs w:val="40"/>
        </w:rPr>
      </w:pPr>
      <w:r w:rsidRPr="00B16E6B">
        <w:br w:type="page"/>
      </w:r>
    </w:p>
    <w:p w14:paraId="7EB423AF" w14:textId="77777777" w:rsidR="0014151F" w:rsidRPr="00B16E6B" w:rsidRDefault="0014151F" w:rsidP="009613E1">
      <w:pPr>
        <w:pStyle w:val="Heading1"/>
        <w:spacing w:line="271" w:lineRule="auto"/>
      </w:pPr>
      <w:r w:rsidRPr="00B16E6B">
        <w:lastRenderedPageBreak/>
        <w:t xml:space="preserve">Executive Summary </w:t>
      </w:r>
    </w:p>
    <w:p w14:paraId="5FC9E337" w14:textId="77777777" w:rsidR="00BC19BB" w:rsidRPr="00B16E6B" w:rsidRDefault="00BC19BB" w:rsidP="009613E1">
      <w:pPr>
        <w:spacing w:line="271" w:lineRule="auto"/>
      </w:pPr>
      <w:r w:rsidRPr="00B16E6B">
        <w:t xml:space="preserve">Australia’s transport sector, is essential for the nation’s social and economic prosperity, national security, and defence, and for facilitating the provision of essential goods and services.  </w:t>
      </w:r>
    </w:p>
    <w:p w14:paraId="5F1E8B85" w14:textId="77777777" w:rsidR="00BC19BB" w:rsidRPr="00B16E6B" w:rsidRDefault="00BC19BB" w:rsidP="009613E1">
      <w:pPr>
        <w:spacing w:line="271" w:lineRule="auto"/>
      </w:pPr>
      <w:r w:rsidRPr="00B16E6B">
        <w:t xml:space="preserve">The 2023 Critical Infrastructure Resilience Strategy defines critical infrastructure as:  </w:t>
      </w:r>
    </w:p>
    <w:p w14:paraId="31DB65A7" w14:textId="77777777" w:rsidR="00BC19BB" w:rsidRPr="00B16E6B" w:rsidRDefault="00BC19BB" w:rsidP="009613E1">
      <w:pPr>
        <w:spacing w:line="271" w:lineRule="auto"/>
        <w:ind w:left="720"/>
      </w:pPr>
      <w:r w:rsidRPr="00B16E6B">
        <w:t xml:space="preserve">“…physical facilities, systems, assets, supply chains, information technologies and communication networks which, if destroyed, degraded, compromised or rendered unavailable for an extended period, would significantly impact the social or economic wellbeing of Australia as a nation or its states or territories, or affect Australia’s ability to conduct national defence and ensure national security.” </w:t>
      </w:r>
      <w:r w:rsidR="006821D7" w:rsidRPr="00B16E6B">
        <w:rPr>
          <w:rStyle w:val="FootnoteReference"/>
        </w:rPr>
        <w:footnoteReference w:id="1"/>
      </w:r>
      <w:r w:rsidRPr="00B16E6B">
        <w:t xml:space="preserve"> </w:t>
      </w:r>
    </w:p>
    <w:p w14:paraId="48D78691" w14:textId="77777777" w:rsidR="00BC19BB" w:rsidRPr="00B16E6B" w:rsidRDefault="00BC19BB" w:rsidP="009613E1">
      <w:pPr>
        <w:spacing w:line="271" w:lineRule="auto"/>
      </w:pPr>
      <w:r w:rsidRPr="00B16E6B">
        <w:t xml:space="preserve">The evolving, dynamic and heightened geopolitical and cyber threat environment facing Australia requires regular review of current legal parameters to ensure the integrity and resilience of critical infrastructure.  </w:t>
      </w:r>
    </w:p>
    <w:p w14:paraId="0F524CC9" w14:textId="77777777" w:rsidR="00BC19BB" w:rsidRPr="00B16E6B" w:rsidRDefault="00BC19BB" w:rsidP="009613E1">
      <w:pPr>
        <w:spacing w:line="271" w:lineRule="auto"/>
      </w:pPr>
      <w:r w:rsidRPr="00B16E6B">
        <w:t>The Department of Home Affairs (the department) remains focused on ensuring the security and resilience of Australia’s critical infrastructure, including for Australia’s transport sector (comprising</w:t>
      </w:r>
      <w:r w:rsidR="000A6F9B" w:rsidRPr="00B16E6B">
        <w:t xml:space="preserve"> </w:t>
      </w:r>
      <w:r w:rsidRPr="00B16E6B">
        <w:t>aviation</w:t>
      </w:r>
      <w:r w:rsidR="0006482F" w:rsidRPr="00B16E6B">
        <w:t xml:space="preserve">, </w:t>
      </w:r>
      <w:r w:rsidRPr="00B16E6B">
        <w:t>maritime</w:t>
      </w:r>
      <w:r w:rsidR="0006482F" w:rsidRPr="00B16E6B">
        <w:t xml:space="preserve"> and offshore facility</w:t>
      </w:r>
      <w:r w:rsidRPr="00B16E6B">
        <w:t xml:space="preserve"> industry participants). This involves providing ongoing</w:t>
      </w:r>
      <w:r w:rsidR="00774FBA" w:rsidRPr="00B16E6B">
        <w:t xml:space="preserve"> assurance that the Australian </w:t>
      </w:r>
      <w:r w:rsidR="00487C6A" w:rsidRPr="00B16E6B">
        <w:t>government</w:t>
      </w:r>
      <w:r w:rsidRPr="00B16E6B">
        <w:t xml:space="preserve"> is managing critical infrastructure in a manner which reflects an inherently complex risk environment. </w:t>
      </w:r>
    </w:p>
    <w:p w14:paraId="635861E8" w14:textId="77777777" w:rsidR="00BC19BB" w:rsidRPr="00B16E6B" w:rsidRDefault="00BC19BB" w:rsidP="009613E1">
      <w:pPr>
        <w:spacing w:line="271" w:lineRule="auto"/>
      </w:pPr>
      <w:r w:rsidRPr="00B16E6B">
        <w:t xml:space="preserve">Australia’s transport sector is </w:t>
      </w:r>
      <w:r w:rsidR="00CE46CD" w:rsidRPr="00B16E6B">
        <w:t>security-</w:t>
      </w:r>
      <w:r w:rsidRPr="00B16E6B">
        <w:t xml:space="preserve">regulated through the </w:t>
      </w:r>
      <w:r w:rsidRPr="00B16E6B">
        <w:rPr>
          <w:i/>
        </w:rPr>
        <w:t>Aviation Transport Security Act 2004</w:t>
      </w:r>
      <w:r w:rsidRPr="00B16E6B">
        <w:t xml:space="preserve"> (ATSA) and the </w:t>
      </w:r>
      <w:r w:rsidRPr="00B16E6B">
        <w:rPr>
          <w:i/>
        </w:rPr>
        <w:t>Maritime Transport and Offshore Facilities Security Act 2003</w:t>
      </w:r>
      <w:r w:rsidRPr="00B16E6B">
        <w:t xml:space="preserve"> (MTOFSA) and supporting regulations (transport security legislative frameworks). The transport security legi</w:t>
      </w:r>
      <w:r w:rsidR="00E75DD1" w:rsidRPr="00B16E6B">
        <w:t xml:space="preserve">slative frameworks require the transport </w:t>
      </w:r>
      <w:r w:rsidRPr="00B16E6B">
        <w:t>s</w:t>
      </w:r>
      <w:r w:rsidR="00E75DD1" w:rsidRPr="00B16E6B">
        <w:t>ector to</w:t>
      </w:r>
      <w:r w:rsidR="00BB08D9" w:rsidRPr="00B16E6B">
        <w:t xml:space="preserve"> </w:t>
      </w:r>
      <w:r w:rsidRPr="00B16E6B">
        <w:t>mitigate the threat of unlawful interference</w:t>
      </w:r>
      <w:r w:rsidR="009C568E" w:rsidRPr="00B16E6B">
        <w:t>,</w:t>
      </w:r>
      <w:r w:rsidRPr="00B16E6B">
        <w:t xml:space="preserve"> terrorism</w:t>
      </w:r>
      <w:r w:rsidR="009C568E" w:rsidRPr="00B16E6B">
        <w:t>,</w:t>
      </w:r>
      <w:r w:rsidRPr="00B16E6B">
        <w:t xml:space="preserve"> and serious crime within an entity’s physical bo</w:t>
      </w:r>
      <w:r w:rsidR="009C568E" w:rsidRPr="00B16E6B">
        <w:t>undary or geographical location</w:t>
      </w:r>
      <w:r w:rsidRPr="00B16E6B">
        <w:t xml:space="preserve">. However, the limited focus of </w:t>
      </w:r>
      <w:r w:rsidR="009C568E" w:rsidRPr="00B16E6B">
        <w:t xml:space="preserve">the transport security legislative frameworks </w:t>
      </w:r>
      <w:r w:rsidRPr="00B16E6B">
        <w:t>does not reflect the</w:t>
      </w:r>
      <w:r w:rsidR="009C568E" w:rsidRPr="00B16E6B">
        <w:t xml:space="preserve"> current</w:t>
      </w:r>
      <w:r w:rsidRPr="00B16E6B">
        <w:t xml:space="preserve"> </w:t>
      </w:r>
      <w:r w:rsidR="009C568E" w:rsidRPr="00B16E6B">
        <w:t>or emerging</w:t>
      </w:r>
      <w:r w:rsidRPr="00B16E6B">
        <w:t xml:space="preserve"> threat environment nor the range of risks </w:t>
      </w:r>
      <w:r w:rsidR="009C568E" w:rsidRPr="00B16E6B">
        <w:t>the</w:t>
      </w:r>
      <w:r w:rsidRPr="00B16E6B">
        <w:t xml:space="preserve"> Australia’s transport sector</w:t>
      </w:r>
      <w:r w:rsidR="009C568E" w:rsidRPr="00B16E6B">
        <w:t xml:space="preserve"> faces</w:t>
      </w:r>
      <w:r w:rsidRPr="00B16E6B">
        <w:t xml:space="preserve">.  </w:t>
      </w:r>
    </w:p>
    <w:p w14:paraId="2D6293F5" w14:textId="35FD2E89" w:rsidR="00BC19BB" w:rsidRPr="00B16E6B" w:rsidRDefault="00BC19BB" w:rsidP="009613E1">
      <w:pPr>
        <w:spacing w:after="200" w:line="271" w:lineRule="auto"/>
      </w:pPr>
      <w:r w:rsidRPr="00B16E6B">
        <w:t xml:space="preserve">The department’s role in assuring the security of the transport sector involves ongoing assessment </w:t>
      </w:r>
      <w:r w:rsidR="00BB08D9" w:rsidRPr="00B16E6B">
        <w:t>of</w:t>
      </w:r>
      <w:r w:rsidRPr="00B16E6B">
        <w:t xml:space="preserve"> whether </w:t>
      </w:r>
      <w:r w:rsidR="00BB08D9" w:rsidRPr="00B16E6B">
        <w:t xml:space="preserve">the </w:t>
      </w:r>
      <w:r w:rsidRPr="00B16E6B">
        <w:t>applicable legislation remains fit</w:t>
      </w:r>
      <w:r w:rsidR="0006482F" w:rsidRPr="00B16E6B">
        <w:t xml:space="preserve"> </w:t>
      </w:r>
      <w:r w:rsidRPr="00B16E6B">
        <w:t>for</w:t>
      </w:r>
      <w:r w:rsidR="0006482F" w:rsidRPr="00B16E6B">
        <w:t xml:space="preserve"> </w:t>
      </w:r>
      <w:r w:rsidRPr="00B16E6B">
        <w:t xml:space="preserve">purpose. It also requires engagement with industry to understand and address areas of concern. As such, the department is </w:t>
      </w:r>
      <w:r w:rsidR="009C568E" w:rsidRPr="00B16E6B">
        <w:t>proposing to amend the</w:t>
      </w:r>
      <w:r w:rsidRPr="00B16E6B">
        <w:t xml:space="preserve"> existing transport security legislative frameworks to ensure that it: </w:t>
      </w:r>
    </w:p>
    <w:p w14:paraId="39D2FA04" w14:textId="6C18F5F7" w:rsidR="00F017E9" w:rsidRPr="00B16E6B" w:rsidRDefault="00F017E9" w:rsidP="009613E1">
      <w:pPr>
        <w:pStyle w:val="BulletedList-Level1"/>
        <w:spacing w:after="120" w:line="271" w:lineRule="auto"/>
        <w:ind w:left="568" w:hanging="284"/>
        <w:contextualSpacing w:val="0"/>
        <w:rPr>
          <w:b/>
        </w:rPr>
      </w:pPr>
      <w:r w:rsidRPr="00B16E6B">
        <w:rPr>
          <w:b/>
        </w:rPr>
        <w:t>o</w:t>
      </w:r>
      <w:r w:rsidR="00BC19BB" w:rsidRPr="00B16E6B">
        <w:rPr>
          <w:b/>
        </w:rPr>
        <w:t>perates on a</w:t>
      </w:r>
      <w:r w:rsidR="00BE0C08" w:rsidRPr="00B16E6B">
        <w:rPr>
          <w:b/>
        </w:rPr>
        <w:t xml:space="preserve"> flexible,</w:t>
      </w:r>
      <w:r w:rsidR="00BC19BB" w:rsidRPr="00B16E6B">
        <w:rPr>
          <w:b/>
        </w:rPr>
        <w:t xml:space="preserve"> risk-based</w:t>
      </w:r>
      <w:r w:rsidR="00BE0C08" w:rsidRPr="00B16E6B">
        <w:rPr>
          <w:b/>
        </w:rPr>
        <w:t xml:space="preserve"> and </w:t>
      </w:r>
      <w:r w:rsidR="00BC19BB" w:rsidRPr="00B16E6B">
        <w:rPr>
          <w:b/>
        </w:rPr>
        <w:t xml:space="preserve">scalable basis, </w:t>
      </w:r>
      <w:r w:rsidR="00BC19BB" w:rsidRPr="00B16E6B">
        <w:t xml:space="preserve">ensuring obligations are </w:t>
      </w:r>
      <w:r w:rsidR="009C568E" w:rsidRPr="00B16E6B">
        <w:t xml:space="preserve">adaptable and flexibly </w:t>
      </w:r>
      <w:r w:rsidR="00BC19BB" w:rsidRPr="00B16E6B">
        <w:t>applied to a</w:t>
      </w:r>
      <w:r w:rsidR="00C37DEE" w:rsidRPr="00B16E6B">
        <w:t>n appropriate</w:t>
      </w:r>
      <w:r w:rsidR="00C1711B" w:rsidRPr="00B16E6B">
        <w:t xml:space="preserve"> </w:t>
      </w:r>
      <w:r w:rsidR="00BC19BB" w:rsidRPr="00B16E6B">
        <w:t>range of entities and their specific risk environments</w:t>
      </w:r>
    </w:p>
    <w:p w14:paraId="6DCE4763" w14:textId="75FF2F3C" w:rsidR="00BC19BB" w:rsidRPr="00B16E6B" w:rsidRDefault="00F017E9" w:rsidP="009613E1">
      <w:pPr>
        <w:pStyle w:val="BulletedList-Level1"/>
        <w:spacing w:after="120" w:line="271" w:lineRule="auto"/>
        <w:ind w:left="568" w:hanging="284"/>
        <w:contextualSpacing w:val="0"/>
        <w:rPr>
          <w:b/>
        </w:rPr>
      </w:pPr>
      <w:r w:rsidRPr="00B16E6B">
        <w:rPr>
          <w:b/>
        </w:rPr>
        <w:t>h</w:t>
      </w:r>
      <w:r w:rsidR="00BC19BB" w:rsidRPr="00B16E6B">
        <w:rPr>
          <w:b/>
        </w:rPr>
        <w:t xml:space="preserve">olistically </w:t>
      </w:r>
      <w:r w:rsidR="00BE0C08" w:rsidRPr="00B16E6B">
        <w:rPr>
          <w:b/>
        </w:rPr>
        <w:t xml:space="preserve">addresses </w:t>
      </w:r>
      <w:r w:rsidR="00BC19BB" w:rsidRPr="00B16E6B">
        <w:rPr>
          <w:b/>
        </w:rPr>
        <w:t xml:space="preserve">potential vulnerabilities </w:t>
      </w:r>
      <w:r w:rsidR="00BC19BB" w:rsidRPr="00B16E6B">
        <w:t xml:space="preserve">which could have a relevant impact on </w:t>
      </w:r>
      <w:r w:rsidR="00BB08D9" w:rsidRPr="00B16E6B">
        <w:t xml:space="preserve">aviation </w:t>
      </w:r>
      <w:r w:rsidR="00BC19BB" w:rsidRPr="00B16E6B">
        <w:t xml:space="preserve">and </w:t>
      </w:r>
      <w:r w:rsidR="00BB08D9" w:rsidRPr="00B16E6B">
        <w:t>maritime</w:t>
      </w:r>
      <w:r w:rsidR="00BC19BB" w:rsidRPr="00B16E6B">
        <w:t xml:space="preserve"> entities and flow-on effects for Austra</w:t>
      </w:r>
      <w:r w:rsidR="00EE0D76" w:rsidRPr="00B16E6B">
        <w:t>lia’s critical infrastructure, which</w:t>
      </w:r>
      <w:r w:rsidR="00BC19BB" w:rsidRPr="00B16E6B">
        <w:t xml:space="preserve"> will result in security </w:t>
      </w:r>
      <w:r w:rsidR="0058307A" w:rsidRPr="00B16E6B">
        <w:t xml:space="preserve">requirements </w:t>
      </w:r>
      <w:r w:rsidR="00EE0D76" w:rsidRPr="00B16E6B">
        <w:t>that</w:t>
      </w:r>
      <w:r w:rsidR="00BC19BB" w:rsidRPr="00B16E6B">
        <w:t xml:space="preserve"> support </w:t>
      </w:r>
      <w:r w:rsidR="00EE0D76" w:rsidRPr="00B16E6B">
        <w:t xml:space="preserve">the </w:t>
      </w:r>
      <w:r w:rsidR="00BC19BB" w:rsidRPr="00B16E6B">
        <w:t>delivery of dynamic</w:t>
      </w:r>
      <w:r w:rsidR="009D723E" w:rsidRPr="00B16E6B">
        <w:t xml:space="preserve"> and</w:t>
      </w:r>
      <w:r w:rsidR="00BC19BB" w:rsidRPr="00B16E6B">
        <w:t xml:space="preserve"> modernised transport </w:t>
      </w:r>
      <w:r w:rsidR="00E81C6F" w:rsidRPr="00B16E6B">
        <w:t>security legislative frameworks</w:t>
      </w:r>
    </w:p>
    <w:p w14:paraId="1D959C4D" w14:textId="77777777" w:rsidR="00BC19BB" w:rsidRPr="00B16E6B" w:rsidRDefault="00F017E9" w:rsidP="009613E1">
      <w:pPr>
        <w:pStyle w:val="BulletedList-Level1"/>
        <w:spacing w:after="120" w:line="271" w:lineRule="auto"/>
        <w:ind w:left="568" w:hanging="284"/>
        <w:contextualSpacing w:val="0"/>
      </w:pPr>
      <w:r w:rsidRPr="00B16E6B">
        <w:rPr>
          <w:b/>
        </w:rPr>
        <w:lastRenderedPageBreak/>
        <w:t>a</w:t>
      </w:r>
      <w:r w:rsidR="00375B5B" w:rsidRPr="00B16E6B">
        <w:rPr>
          <w:b/>
        </w:rPr>
        <w:t>chieves</w:t>
      </w:r>
      <w:r w:rsidR="00BC19BB" w:rsidRPr="00B16E6B">
        <w:rPr>
          <w:b/>
        </w:rPr>
        <w:t xml:space="preserve"> desired security outcomes</w:t>
      </w:r>
      <w:r w:rsidR="00BC19BB" w:rsidRPr="00B16E6B">
        <w:t xml:space="preserve"> through ensuring industry participants </w:t>
      </w:r>
      <w:r w:rsidR="00036CD7" w:rsidRPr="00B16E6B">
        <w:t xml:space="preserve">in the transport sector </w:t>
      </w:r>
      <w:r w:rsidR="00BC19BB" w:rsidRPr="00B16E6B">
        <w:t>are subject to s</w:t>
      </w:r>
      <w:r w:rsidR="00036CD7" w:rsidRPr="00B16E6B">
        <w:t>imilar</w:t>
      </w:r>
      <w:r w:rsidR="00BC19BB" w:rsidRPr="00B16E6B">
        <w:t xml:space="preserve"> legislative </w:t>
      </w:r>
      <w:r w:rsidR="007E5D53" w:rsidRPr="00B16E6B">
        <w:t>requirements</w:t>
      </w:r>
      <w:r w:rsidR="00BC19BB" w:rsidRPr="00B16E6B">
        <w:t xml:space="preserve">, creating consistency in security </w:t>
      </w:r>
      <w:r w:rsidR="00074F06" w:rsidRPr="00B16E6B">
        <w:t xml:space="preserve">requirements </w:t>
      </w:r>
      <w:r w:rsidR="00036CD7" w:rsidRPr="00B16E6B">
        <w:t>across Australia’s critical infrastructure sectors</w:t>
      </w:r>
    </w:p>
    <w:p w14:paraId="0F99E8DA" w14:textId="77777777" w:rsidR="00BC19BB" w:rsidRPr="00B16E6B" w:rsidRDefault="00F017E9" w:rsidP="009613E1">
      <w:pPr>
        <w:pStyle w:val="BulletedList-Level1"/>
        <w:spacing w:after="120" w:line="271" w:lineRule="auto"/>
        <w:ind w:left="568" w:hanging="284"/>
      </w:pPr>
      <w:r w:rsidRPr="00B16E6B">
        <w:rPr>
          <w:b/>
        </w:rPr>
        <w:t>s</w:t>
      </w:r>
      <w:r w:rsidR="00BC19BB" w:rsidRPr="00B16E6B">
        <w:rPr>
          <w:b/>
        </w:rPr>
        <w:t>upport</w:t>
      </w:r>
      <w:r w:rsidR="00CE46CD" w:rsidRPr="00B16E6B">
        <w:rPr>
          <w:b/>
        </w:rPr>
        <w:t>s</w:t>
      </w:r>
      <w:r w:rsidR="00BC19BB" w:rsidRPr="00B16E6B">
        <w:rPr>
          <w:b/>
        </w:rPr>
        <w:t xml:space="preserve"> coordination and collaboration</w:t>
      </w:r>
      <w:r w:rsidR="00774FBA" w:rsidRPr="00B16E6B">
        <w:t xml:space="preserve"> between </w:t>
      </w:r>
      <w:r w:rsidR="00487C6A" w:rsidRPr="00B16E6B">
        <w:t>government</w:t>
      </w:r>
      <w:r w:rsidR="00BC19BB" w:rsidRPr="00B16E6B">
        <w:t xml:space="preserve"> and industry, to enable an agile response</w:t>
      </w:r>
      <w:r w:rsidR="00036CD7" w:rsidRPr="00B16E6B">
        <w:t xml:space="preserve"> to incidents where possible and appropriate.</w:t>
      </w:r>
      <w:r w:rsidR="00BC19BB" w:rsidRPr="00B16E6B">
        <w:t xml:space="preserve">  </w:t>
      </w:r>
    </w:p>
    <w:p w14:paraId="1E86B37C" w14:textId="4980AB27" w:rsidR="00BC19BB" w:rsidRPr="00B16E6B" w:rsidRDefault="00BC19BB" w:rsidP="009613E1">
      <w:pPr>
        <w:spacing w:line="271" w:lineRule="auto"/>
      </w:pPr>
      <w:r w:rsidRPr="00B16E6B">
        <w:t xml:space="preserve">The department has previously consulted </w:t>
      </w:r>
      <w:r w:rsidR="00045C33" w:rsidRPr="00B16E6B">
        <w:t xml:space="preserve">aviation and maritime </w:t>
      </w:r>
      <w:r w:rsidRPr="00B16E6B">
        <w:t xml:space="preserve">industry </w:t>
      </w:r>
      <w:r w:rsidR="00045C33" w:rsidRPr="00B16E6B">
        <w:t>participants between March and May 2023</w:t>
      </w:r>
      <w:r w:rsidR="002E3453" w:rsidRPr="00B16E6B">
        <w:t>, February 2024, and between May and July 2024 on</w:t>
      </w:r>
      <w:r w:rsidRPr="00B16E6B">
        <w:t xml:space="preserve"> components of the reforms considered in this </w:t>
      </w:r>
      <w:r w:rsidR="00896FCB" w:rsidRPr="00B16E6B">
        <w:t>IA</w:t>
      </w:r>
      <w:r w:rsidRPr="00B16E6B">
        <w:t xml:space="preserve">. This consultation period followed </w:t>
      </w:r>
      <w:r w:rsidR="00D61DB9" w:rsidRPr="00B16E6B">
        <w:t xml:space="preserve">an </w:t>
      </w:r>
      <w:r w:rsidRPr="00B16E6B">
        <w:t xml:space="preserve">Independent Review of Australia’s Aviation and Maritime Security Settings </w:t>
      </w:r>
      <w:r w:rsidR="00736EA3" w:rsidRPr="00B16E6B">
        <w:t>(the Independent Review)</w:t>
      </w:r>
      <w:r w:rsidR="00D61DB9" w:rsidRPr="00B16E6B">
        <w:t xml:space="preserve"> </w:t>
      </w:r>
      <w:r w:rsidR="002E3453" w:rsidRPr="00B16E6B">
        <w:t>that was delivered to government</w:t>
      </w:r>
      <w:r w:rsidR="00D61DB9" w:rsidRPr="00B16E6B">
        <w:t xml:space="preserve"> </w:t>
      </w:r>
      <w:r w:rsidR="002E3453" w:rsidRPr="00B16E6B">
        <w:t xml:space="preserve">July </w:t>
      </w:r>
      <w:r w:rsidR="00D61DB9" w:rsidRPr="00B16E6B">
        <w:t>202</w:t>
      </w:r>
      <w:r w:rsidR="002E3453" w:rsidRPr="00B16E6B">
        <w:t xml:space="preserve">2 recommending the legislative and policy frameworks be updated to enable iterative, risk-based, and </w:t>
      </w:r>
      <w:proofErr w:type="spellStart"/>
      <w:r w:rsidR="002E3453" w:rsidRPr="00B16E6B">
        <w:t>scaleable</w:t>
      </w:r>
      <w:proofErr w:type="spellEnd"/>
      <w:r w:rsidR="002E3453" w:rsidRPr="00B16E6B">
        <w:t xml:space="preserve"> regulation, as well as opportunities to improve government and industry capability and partnerships</w:t>
      </w:r>
      <w:r w:rsidR="00596E71" w:rsidRPr="00B16E6B">
        <w:t>.</w:t>
      </w:r>
    </w:p>
    <w:p w14:paraId="15F7213A" w14:textId="054858E8" w:rsidR="00BE0C08" w:rsidRPr="00B16E6B" w:rsidRDefault="00BE0C08" w:rsidP="009613E1">
      <w:pPr>
        <w:spacing w:line="271" w:lineRule="auto"/>
      </w:pPr>
      <w:r w:rsidRPr="00B16E6B">
        <w:t xml:space="preserve">This IA argues that two problem elements exist in relation to the transport security legislative frameworks as outlined below. </w:t>
      </w:r>
    </w:p>
    <w:p w14:paraId="44C26FA2" w14:textId="77777777" w:rsidR="00BE0C08" w:rsidRPr="00B16E6B" w:rsidRDefault="00BE0C08" w:rsidP="009613E1">
      <w:pPr>
        <w:spacing w:after="60" w:line="271" w:lineRule="auto"/>
        <w:textAlignment w:val="baseline"/>
        <w:rPr>
          <w:rFonts w:ascii="Segoe UI" w:eastAsia="Times New Roman" w:hAnsi="Segoe UI" w:cs="Segoe UI"/>
          <w:i/>
          <w:color w:val="44546A"/>
          <w:sz w:val="18"/>
          <w:szCs w:val="18"/>
          <w:lang w:eastAsia="en-AU"/>
        </w:rPr>
      </w:pPr>
      <w:r w:rsidRPr="00B16E6B">
        <w:rPr>
          <w:rFonts w:ascii="Arial" w:eastAsia="Times New Roman" w:hAnsi="Arial" w:cs="Arial"/>
          <w:b/>
          <w:bCs/>
          <w:i/>
          <w:iCs/>
          <w:color w:val="44546A"/>
          <w:sz w:val="18"/>
          <w:szCs w:val="18"/>
          <w:lang w:eastAsia="en-AU"/>
        </w:rPr>
        <w:t xml:space="preserve">Table 1: </w:t>
      </w:r>
      <w:r w:rsidRPr="00B16E6B">
        <w:rPr>
          <w:rFonts w:ascii="Arial" w:eastAsia="Times New Roman" w:hAnsi="Arial" w:cs="Arial"/>
          <w:i/>
          <w:iCs/>
          <w:color w:val="44546A"/>
          <w:sz w:val="18"/>
          <w:szCs w:val="18"/>
          <w:lang w:eastAsia="en-AU"/>
        </w:rPr>
        <w:t xml:space="preserve">Problem elements and </w:t>
      </w:r>
      <w:r w:rsidR="00487C6A" w:rsidRPr="00B16E6B">
        <w:rPr>
          <w:rFonts w:ascii="Arial" w:eastAsia="Times New Roman" w:hAnsi="Arial" w:cs="Arial"/>
          <w:i/>
          <w:iCs/>
          <w:color w:val="44546A"/>
          <w:sz w:val="18"/>
          <w:szCs w:val="18"/>
          <w:lang w:eastAsia="en-AU"/>
        </w:rPr>
        <w:t>government</w:t>
      </w:r>
      <w:r w:rsidRPr="00B16E6B">
        <w:rPr>
          <w:rFonts w:ascii="Arial" w:eastAsia="Times New Roman" w:hAnsi="Arial" w:cs="Arial"/>
          <w:i/>
          <w:iCs/>
          <w:color w:val="44546A"/>
          <w:sz w:val="18"/>
          <w:szCs w:val="18"/>
          <w:lang w:eastAsia="en-AU"/>
        </w:rPr>
        <w:t xml:space="preserve"> objectives </w:t>
      </w:r>
    </w:p>
    <w:tbl>
      <w:tblPr>
        <w:tblW w:w="9132"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627"/>
        <w:gridCol w:w="4170"/>
        <w:gridCol w:w="4335"/>
      </w:tblGrid>
      <w:tr w:rsidR="00BE0C08" w:rsidRPr="00B16E6B" w14:paraId="6C9D6987" w14:textId="77777777" w:rsidTr="00865D73">
        <w:trPr>
          <w:trHeight w:val="300"/>
        </w:trPr>
        <w:tc>
          <w:tcPr>
            <w:tcW w:w="4797" w:type="dxa"/>
            <w:gridSpan w:val="2"/>
            <w:tcBorders>
              <w:top w:val="single" w:sz="6" w:space="0" w:color="BFBFBF" w:themeColor="background2" w:themeShade="BF"/>
              <w:left w:val="nil"/>
              <w:bottom w:val="single" w:sz="4" w:space="0" w:color="BFBFBF" w:themeColor="background2" w:themeShade="BF"/>
              <w:right w:val="single" w:sz="6" w:space="0" w:color="BFBFBF" w:themeColor="background2" w:themeShade="BF"/>
            </w:tcBorders>
            <w:shd w:val="clear" w:color="auto" w:fill="1C2B39" w:themeFill="accent1"/>
            <w:vAlign w:val="center"/>
          </w:tcPr>
          <w:p w14:paraId="72417137" w14:textId="77777777" w:rsidR="00BE0C08" w:rsidRPr="00B16E6B" w:rsidRDefault="00BE0C08" w:rsidP="009613E1">
            <w:pPr>
              <w:spacing w:before="60" w:after="60" w:line="271" w:lineRule="auto"/>
              <w:textAlignment w:val="baseline"/>
              <w:rPr>
                <w:sz w:val="20"/>
                <w:szCs w:val="20"/>
              </w:rPr>
            </w:pPr>
            <w:r w:rsidRPr="00B16E6B">
              <w:rPr>
                <w:sz w:val="20"/>
                <w:szCs w:val="20"/>
              </w:rPr>
              <w:t>What is the problem?</w:t>
            </w:r>
          </w:p>
        </w:tc>
        <w:tc>
          <w:tcPr>
            <w:tcW w:w="4335" w:type="dxa"/>
            <w:tcBorders>
              <w:top w:val="single" w:sz="6" w:space="0" w:color="BFBFBF" w:themeColor="background2" w:themeShade="BF"/>
              <w:left w:val="single" w:sz="6" w:space="0" w:color="BFBFBF" w:themeColor="background2" w:themeShade="BF"/>
              <w:bottom w:val="single" w:sz="4" w:space="0" w:color="BFBFBF" w:themeColor="background2" w:themeShade="BF"/>
              <w:right w:val="nil"/>
            </w:tcBorders>
            <w:shd w:val="clear" w:color="auto" w:fill="1C2B39" w:themeFill="accent1"/>
            <w:vAlign w:val="center"/>
          </w:tcPr>
          <w:p w14:paraId="53A1433D" w14:textId="77777777" w:rsidR="00BE0C08" w:rsidRPr="00B16E6B" w:rsidRDefault="00BE0C08" w:rsidP="009613E1">
            <w:pPr>
              <w:spacing w:after="120" w:line="271" w:lineRule="auto"/>
              <w:textAlignment w:val="baseline"/>
              <w:rPr>
                <w:sz w:val="20"/>
                <w:szCs w:val="20"/>
              </w:rPr>
            </w:pPr>
            <w:r w:rsidRPr="00B16E6B">
              <w:rPr>
                <w:sz w:val="20"/>
                <w:szCs w:val="20"/>
              </w:rPr>
              <w:t xml:space="preserve">What are </w:t>
            </w:r>
            <w:r w:rsidR="00487C6A" w:rsidRPr="00B16E6B">
              <w:rPr>
                <w:sz w:val="20"/>
                <w:szCs w:val="20"/>
              </w:rPr>
              <w:t>government</w:t>
            </w:r>
            <w:r w:rsidRPr="00B16E6B">
              <w:rPr>
                <w:sz w:val="20"/>
                <w:szCs w:val="20"/>
              </w:rPr>
              <w:t>’s objectives?</w:t>
            </w:r>
          </w:p>
        </w:tc>
      </w:tr>
      <w:tr w:rsidR="00BE0C08" w:rsidRPr="00B16E6B" w14:paraId="04C80F84" w14:textId="77777777" w:rsidTr="00BE0C08">
        <w:trPr>
          <w:trHeight w:val="300"/>
        </w:trPr>
        <w:tc>
          <w:tcPr>
            <w:tcW w:w="627" w:type="dxa"/>
            <w:tcBorders>
              <w:top w:val="single" w:sz="4" w:space="0" w:color="BFBFBF" w:themeColor="background2" w:themeShade="BF"/>
              <w:left w:val="nil"/>
              <w:bottom w:val="single" w:sz="6" w:space="0" w:color="BFBFBF" w:themeColor="background2" w:themeShade="BF"/>
              <w:right w:val="single" w:sz="6" w:space="0" w:color="BFBFBF" w:themeColor="background2" w:themeShade="BF"/>
            </w:tcBorders>
            <w:shd w:val="clear" w:color="auto" w:fill="F2F2F2" w:themeFill="background2" w:themeFillShade="F2"/>
            <w:vAlign w:val="center"/>
            <w:hideMark/>
          </w:tcPr>
          <w:p w14:paraId="6DE64F3C" w14:textId="77777777" w:rsidR="00BE0C08" w:rsidRPr="00B16E6B" w:rsidRDefault="00BE0C08" w:rsidP="009613E1">
            <w:pPr>
              <w:spacing w:after="120" w:line="271" w:lineRule="auto"/>
              <w:textAlignment w:val="baseline"/>
              <w:rPr>
                <w:b/>
                <w:sz w:val="20"/>
                <w:szCs w:val="20"/>
              </w:rPr>
            </w:pPr>
            <w:r w:rsidRPr="00B16E6B">
              <w:rPr>
                <w:b/>
                <w:sz w:val="20"/>
                <w:szCs w:val="20"/>
              </w:rPr>
              <w:t>1.1.1 </w:t>
            </w:r>
          </w:p>
        </w:tc>
        <w:tc>
          <w:tcPr>
            <w:tcW w:w="4170" w:type="dxa"/>
            <w:tcBorders>
              <w:top w:val="single" w:sz="4"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vAlign w:val="center"/>
            <w:hideMark/>
          </w:tcPr>
          <w:p w14:paraId="377A9FEB" w14:textId="77777777" w:rsidR="00BE0C08" w:rsidRPr="00B16E6B" w:rsidRDefault="00BE0C08" w:rsidP="009613E1">
            <w:pPr>
              <w:spacing w:before="60" w:after="60" w:line="271" w:lineRule="auto"/>
              <w:textAlignment w:val="baseline"/>
              <w:rPr>
                <w:sz w:val="20"/>
                <w:szCs w:val="20"/>
              </w:rPr>
            </w:pPr>
            <w:r w:rsidRPr="00B16E6B">
              <w:rPr>
                <w:sz w:val="20"/>
                <w:szCs w:val="20"/>
              </w:rPr>
              <w:t>There are a growing number of threats to Australia’s transport sector, including an increasing risk of cyber incidents </w:t>
            </w:r>
          </w:p>
        </w:tc>
        <w:tc>
          <w:tcPr>
            <w:tcW w:w="4335" w:type="dxa"/>
            <w:vMerge w:val="restart"/>
            <w:tcBorders>
              <w:top w:val="single" w:sz="4" w:space="0" w:color="BFBFBF" w:themeColor="background2" w:themeShade="BF"/>
              <w:left w:val="single" w:sz="6" w:space="0" w:color="BFBFBF" w:themeColor="background2" w:themeShade="BF"/>
              <w:bottom w:val="single" w:sz="4" w:space="0" w:color="BFBFBF" w:themeColor="background2" w:themeShade="BF"/>
              <w:right w:val="nil"/>
            </w:tcBorders>
            <w:vAlign w:val="center"/>
            <w:hideMark/>
          </w:tcPr>
          <w:p w14:paraId="7655BC3B" w14:textId="77777777" w:rsidR="00BE0C08" w:rsidRPr="00B16E6B" w:rsidRDefault="00BE0C08" w:rsidP="009613E1">
            <w:pPr>
              <w:numPr>
                <w:ilvl w:val="0"/>
                <w:numId w:val="16"/>
              </w:numPr>
              <w:spacing w:after="120" w:line="271" w:lineRule="auto"/>
              <w:textAlignment w:val="baseline"/>
              <w:rPr>
                <w:sz w:val="20"/>
                <w:szCs w:val="20"/>
              </w:rPr>
            </w:pPr>
            <w:r w:rsidRPr="00B16E6B">
              <w:rPr>
                <w:sz w:val="20"/>
                <w:szCs w:val="20"/>
              </w:rPr>
              <w:t xml:space="preserve">Ensure </w:t>
            </w:r>
            <w:r w:rsidR="00487C6A" w:rsidRPr="00B16E6B">
              <w:rPr>
                <w:sz w:val="20"/>
                <w:szCs w:val="20"/>
              </w:rPr>
              <w:t>government</w:t>
            </w:r>
            <w:r w:rsidRPr="00B16E6B">
              <w:rPr>
                <w:sz w:val="20"/>
                <w:szCs w:val="20"/>
              </w:rPr>
              <w:t xml:space="preserve"> and industry are equipped to respond to current and emerging threats  </w:t>
            </w:r>
          </w:p>
          <w:p w14:paraId="522316AC" w14:textId="77777777" w:rsidR="00BE0C08" w:rsidRPr="00B16E6B" w:rsidRDefault="00BE0C08" w:rsidP="009613E1">
            <w:pPr>
              <w:numPr>
                <w:ilvl w:val="0"/>
                <w:numId w:val="16"/>
              </w:numPr>
              <w:spacing w:after="120" w:line="271" w:lineRule="auto"/>
              <w:textAlignment w:val="baseline"/>
              <w:rPr>
                <w:sz w:val="20"/>
                <w:szCs w:val="20"/>
              </w:rPr>
            </w:pPr>
            <w:r w:rsidRPr="00B16E6B">
              <w:rPr>
                <w:sz w:val="20"/>
                <w:szCs w:val="20"/>
              </w:rPr>
              <w:t>Ensure industry can meet desired security outcomes, including through identifying, mitigating, and responding to all hazards threats</w:t>
            </w:r>
          </w:p>
          <w:p w14:paraId="2729AC69" w14:textId="77777777" w:rsidR="00BE0C08" w:rsidRPr="00B16E6B" w:rsidRDefault="00BE0C08" w:rsidP="009613E1">
            <w:pPr>
              <w:pStyle w:val="ListParagraph"/>
              <w:numPr>
                <w:ilvl w:val="0"/>
                <w:numId w:val="16"/>
              </w:numPr>
              <w:spacing w:after="0" w:line="271" w:lineRule="auto"/>
              <w:rPr>
                <w:rFonts w:ascii="Times New Roman" w:hAnsi="Times New Roman" w:cs="Times New Roman"/>
                <w:sz w:val="24"/>
                <w:szCs w:val="24"/>
                <w:lang w:eastAsia="en-AU"/>
              </w:rPr>
            </w:pPr>
            <w:r w:rsidRPr="00B16E6B">
              <w:rPr>
                <w:rStyle w:val="ui-provider"/>
                <w:sz w:val="20"/>
                <w:szCs w:val="20"/>
              </w:rPr>
              <w:t xml:space="preserve">Ensure Australia is proactive and adaptive to evolving international aviation and maritime security </w:t>
            </w:r>
            <w:r w:rsidR="00487C6A" w:rsidRPr="00B16E6B">
              <w:rPr>
                <w:rStyle w:val="ui-provider"/>
                <w:sz w:val="20"/>
                <w:szCs w:val="20"/>
              </w:rPr>
              <w:t>obligations</w:t>
            </w:r>
          </w:p>
        </w:tc>
      </w:tr>
      <w:tr w:rsidR="00BE0C08" w:rsidRPr="00B16E6B" w14:paraId="09AB9E55" w14:textId="77777777" w:rsidTr="00BE0C08">
        <w:trPr>
          <w:trHeight w:val="300"/>
        </w:trPr>
        <w:tc>
          <w:tcPr>
            <w:tcW w:w="627" w:type="dxa"/>
            <w:tcBorders>
              <w:top w:val="single" w:sz="6" w:space="0" w:color="BFBFBF" w:themeColor="background2" w:themeShade="BF"/>
              <w:left w:val="nil"/>
              <w:bottom w:val="single" w:sz="4" w:space="0" w:color="BFBFBF" w:themeColor="background2" w:themeShade="BF"/>
              <w:right w:val="single" w:sz="6" w:space="0" w:color="BFBFBF" w:themeColor="background2" w:themeShade="BF"/>
            </w:tcBorders>
            <w:shd w:val="clear" w:color="auto" w:fill="F2F2F2" w:themeFill="background2" w:themeFillShade="F2"/>
            <w:vAlign w:val="center"/>
            <w:hideMark/>
          </w:tcPr>
          <w:p w14:paraId="0A07E67D" w14:textId="77777777" w:rsidR="00BE0C08" w:rsidRPr="00B16E6B" w:rsidRDefault="00BE0C08" w:rsidP="009613E1">
            <w:pPr>
              <w:spacing w:after="120" w:line="271" w:lineRule="auto"/>
              <w:textAlignment w:val="baseline"/>
              <w:rPr>
                <w:b/>
                <w:sz w:val="20"/>
                <w:szCs w:val="20"/>
              </w:rPr>
            </w:pPr>
            <w:r w:rsidRPr="00B16E6B">
              <w:rPr>
                <w:b/>
                <w:sz w:val="20"/>
                <w:szCs w:val="20"/>
              </w:rPr>
              <w:t>1.1.2</w:t>
            </w:r>
          </w:p>
        </w:tc>
        <w:tc>
          <w:tcPr>
            <w:tcW w:w="4170" w:type="dxa"/>
            <w:tcBorders>
              <w:top w:val="single" w:sz="6" w:space="0" w:color="BFBFBF" w:themeColor="background2" w:themeShade="BF"/>
              <w:left w:val="single" w:sz="6" w:space="0" w:color="BFBFBF" w:themeColor="background2" w:themeShade="BF"/>
              <w:bottom w:val="single" w:sz="4" w:space="0" w:color="BFBFBF" w:themeColor="background2" w:themeShade="BF"/>
              <w:right w:val="single" w:sz="6" w:space="0" w:color="BFBFBF" w:themeColor="background2" w:themeShade="BF"/>
            </w:tcBorders>
            <w:vAlign w:val="center"/>
            <w:hideMark/>
          </w:tcPr>
          <w:p w14:paraId="6C221157" w14:textId="77777777" w:rsidR="00BE0C08" w:rsidRPr="00B16E6B" w:rsidRDefault="00BE0C08" w:rsidP="009613E1">
            <w:pPr>
              <w:spacing w:before="60" w:after="60" w:line="271" w:lineRule="auto"/>
              <w:textAlignment w:val="baseline"/>
              <w:rPr>
                <w:sz w:val="20"/>
                <w:szCs w:val="20"/>
              </w:rPr>
            </w:pPr>
            <w:r w:rsidRPr="00B16E6B">
              <w:rPr>
                <w:sz w:val="20"/>
                <w:szCs w:val="20"/>
              </w:rPr>
              <w:t>The dynamic and uncertain nature of these threats means the transport sector faces challenges in preparing for, mitigating, and responding to the realisation of these threats </w:t>
            </w:r>
          </w:p>
        </w:tc>
        <w:tc>
          <w:tcPr>
            <w:tcW w:w="0" w:type="auto"/>
            <w:vMerge/>
            <w:tcBorders>
              <w:top w:val="single" w:sz="6" w:space="0" w:color="BFBFBF" w:themeColor="background2" w:themeShade="BF"/>
              <w:bottom w:val="single" w:sz="4" w:space="0" w:color="BFBFBF" w:themeColor="background2" w:themeShade="BF"/>
              <w:right w:val="nil"/>
            </w:tcBorders>
            <w:vAlign w:val="center"/>
            <w:hideMark/>
          </w:tcPr>
          <w:p w14:paraId="72001ED4" w14:textId="77777777" w:rsidR="00BE0C08" w:rsidRPr="00B16E6B" w:rsidRDefault="00BE0C08" w:rsidP="009613E1">
            <w:pPr>
              <w:spacing w:after="0" w:line="271" w:lineRule="auto"/>
            </w:pPr>
          </w:p>
        </w:tc>
      </w:tr>
    </w:tbl>
    <w:p w14:paraId="5221588E" w14:textId="4D43E9ED" w:rsidR="004C7418" w:rsidRPr="00B16E6B" w:rsidRDefault="0011349E" w:rsidP="009613E1">
      <w:pPr>
        <w:spacing w:before="240" w:after="200" w:line="271" w:lineRule="auto"/>
      </w:pPr>
      <w:r w:rsidRPr="00B16E6B">
        <w:t xml:space="preserve">This </w:t>
      </w:r>
      <w:r w:rsidR="00EE74A7">
        <w:t>IA</w:t>
      </w:r>
      <w:r w:rsidRPr="00B16E6B">
        <w:t xml:space="preserve"> considers the regulatory impacts of four broad policy options to solve the problem identified in Table 1. </w:t>
      </w:r>
    </w:p>
    <w:p w14:paraId="62AD2274" w14:textId="77777777" w:rsidR="005E5430" w:rsidRPr="00B16E6B" w:rsidRDefault="005E5430" w:rsidP="009613E1">
      <w:pPr>
        <w:pStyle w:val="BulletedList-Level1"/>
        <w:spacing w:after="120" w:line="271" w:lineRule="auto"/>
        <w:ind w:left="568" w:hanging="284"/>
        <w:contextualSpacing w:val="0"/>
      </w:pPr>
      <w:r w:rsidRPr="00B16E6B">
        <w:rPr>
          <w:b/>
        </w:rPr>
        <w:t>option 1</w:t>
      </w:r>
      <w:r w:rsidRPr="00B16E6B">
        <w:t>: maintain the status quo</w:t>
      </w:r>
    </w:p>
    <w:p w14:paraId="252B081E" w14:textId="77777777" w:rsidR="005E5430" w:rsidRPr="00B16E6B" w:rsidRDefault="005E5430" w:rsidP="009613E1">
      <w:pPr>
        <w:pStyle w:val="BulletedList-Level1"/>
        <w:spacing w:after="120" w:line="271" w:lineRule="auto"/>
        <w:ind w:left="568" w:hanging="284"/>
        <w:contextualSpacing w:val="0"/>
      </w:pPr>
      <w:r w:rsidRPr="00B16E6B">
        <w:rPr>
          <w:b/>
        </w:rPr>
        <w:t>option 2</w:t>
      </w:r>
      <w:r w:rsidRPr="00B16E6B">
        <w:t>: encourage industry to voluntarily uptake all hazards risk management</w:t>
      </w:r>
    </w:p>
    <w:p w14:paraId="3BA4EB29" w14:textId="1E171D0A" w:rsidR="005E5430" w:rsidRPr="00B16E6B" w:rsidRDefault="005E5430" w:rsidP="009613E1">
      <w:pPr>
        <w:pStyle w:val="BulletedList-Level1"/>
        <w:spacing w:after="120" w:line="271" w:lineRule="auto"/>
        <w:ind w:left="568" w:hanging="284"/>
        <w:contextualSpacing w:val="0"/>
      </w:pPr>
      <w:r w:rsidRPr="00B16E6B">
        <w:rPr>
          <w:b/>
        </w:rPr>
        <w:t>option 3</w:t>
      </w:r>
      <w:r w:rsidRPr="00B16E6B">
        <w:t xml:space="preserve">: switch on Critical Infrastructure Risk Management Program (CIRMP) obligations for ‘critical aviation assets’ and ‘critical ports’ under the </w:t>
      </w:r>
      <w:r w:rsidRPr="00B16E6B">
        <w:rPr>
          <w:i/>
        </w:rPr>
        <w:t xml:space="preserve">Security of Critical Infrastructure Act 2018 </w:t>
      </w:r>
      <w:r w:rsidRPr="00B16E6B">
        <w:t>(SOCI Act) or</w:t>
      </w:r>
    </w:p>
    <w:p w14:paraId="4D3A577E" w14:textId="2C10B9C7" w:rsidR="005E5430" w:rsidRPr="00B16E6B" w:rsidRDefault="005E5430" w:rsidP="009613E1">
      <w:pPr>
        <w:pStyle w:val="BulletedList-Level1"/>
        <w:spacing w:before="120" w:after="120" w:line="271" w:lineRule="auto"/>
        <w:ind w:left="568" w:hanging="284"/>
        <w:contextualSpacing w:val="0"/>
      </w:pPr>
      <w:r w:rsidRPr="00B16E6B">
        <w:rPr>
          <w:b/>
        </w:rPr>
        <w:t>option 4</w:t>
      </w:r>
      <w:r w:rsidRPr="00B16E6B">
        <w:t>: amend ATSA, MTOFSA and their associated regulations to enact mandatory obligations.</w:t>
      </w:r>
    </w:p>
    <w:p w14:paraId="18B3E1F5" w14:textId="0800B2C9" w:rsidR="002E321A" w:rsidRPr="00B16E6B" w:rsidRDefault="002E321A" w:rsidP="009613E1">
      <w:pPr>
        <w:pStyle w:val="BulletedList-Level1"/>
        <w:numPr>
          <w:ilvl w:val="0"/>
          <w:numId w:val="0"/>
        </w:numPr>
        <w:spacing w:before="120" w:after="120" w:line="271" w:lineRule="auto"/>
        <w:contextualSpacing w:val="0"/>
      </w:pPr>
      <w:r w:rsidRPr="00B16E6B">
        <w:lastRenderedPageBreak/>
        <w:t>Following analysis of the options, including</w:t>
      </w:r>
      <w:r w:rsidR="00CF7696" w:rsidRPr="00B16E6B">
        <w:t xml:space="preserve"> consideration of</w:t>
      </w:r>
      <w:r w:rsidRPr="00B16E6B">
        <w:t xml:space="preserve"> which option would </w:t>
      </w:r>
      <w:r w:rsidR="00CF7696" w:rsidRPr="00B16E6B">
        <w:t xml:space="preserve">best </w:t>
      </w:r>
      <w:r w:rsidRPr="00B16E6B">
        <w:t xml:space="preserve">achieve the government’s objectives, the </w:t>
      </w:r>
      <w:r w:rsidR="00CF7696" w:rsidRPr="00B16E6B">
        <w:t>associated costs and benefits, and</w:t>
      </w:r>
      <w:r w:rsidRPr="00B16E6B">
        <w:t xml:space="preserve"> industry feedback, Option 4 has been identified as the preferred option.</w:t>
      </w:r>
    </w:p>
    <w:p w14:paraId="22BC8261" w14:textId="3F3377F9" w:rsidR="00C1711B" w:rsidRPr="00B16E6B" w:rsidRDefault="00E77947" w:rsidP="009613E1">
      <w:pPr>
        <w:spacing w:line="271" w:lineRule="auto"/>
        <w:rPr>
          <w:rFonts w:eastAsiaTheme="minorHAnsi"/>
        </w:rPr>
      </w:pPr>
      <w:r w:rsidRPr="00B16E6B">
        <w:t xml:space="preserve">The </w:t>
      </w:r>
      <w:r w:rsidR="00CA789E" w:rsidRPr="00B16E6B">
        <w:t xml:space="preserve">costs and benefits of </w:t>
      </w:r>
      <w:r w:rsidR="00D61DB9" w:rsidRPr="00B16E6B">
        <w:t xml:space="preserve">all four </w:t>
      </w:r>
      <w:r w:rsidR="00CA789E" w:rsidRPr="00B16E6B">
        <w:t xml:space="preserve">options </w:t>
      </w:r>
      <w:r w:rsidRPr="00B16E6B">
        <w:t xml:space="preserve">are assessed in this IA </w:t>
      </w:r>
      <w:r w:rsidR="00CA789E" w:rsidRPr="00B16E6B">
        <w:t xml:space="preserve">by </w:t>
      </w:r>
      <w:r w:rsidR="00BA4356" w:rsidRPr="00B16E6B">
        <w:t xml:space="preserve">considering </w:t>
      </w:r>
      <w:r w:rsidR="00CA789E" w:rsidRPr="00B16E6B">
        <w:t xml:space="preserve">a </w:t>
      </w:r>
      <w:r w:rsidR="00C1711B" w:rsidRPr="00B16E6B">
        <w:t xml:space="preserve">mixture of cost quantification (where possible) and evaluation of actual or hypothetical case studies (where the cost impact </w:t>
      </w:r>
      <w:r w:rsidR="00CA789E" w:rsidRPr="00B16E6B">
        <w:t xml:space="preserve">was </w:t>
      </w:r>
      <w:r w:rsidR="00C1711B" w:rsidRPr="00B16E6B">
        <w:t>uncertain or highly variable in magnitude and frequency)</w:t>
      </w:r>
      <w:r w:rsidR="00BA4356" w:rsidRPr="00B16E6B">
        <w:t>.</w:t>
      </w:r>
      <w:r w:rsidR="00CA789E" w:rsidRPr="00B16E6B">
        <w:t xml:space="preserve"> </w:t>
      </w:r>
      <w:r w:rsidR="00BA4356" w:rsidRPr="00B16E6B">
        <w:t xml:space="preserve">In assessing the costs and benefits of the proposed reforms, the marginal impact of each option </w:t>
      </w:r>
      <w:r w:rsidR="001D7ACD" w:rsidRPr="00B16E6B">
        <w:t xml:space="preserve">on industry </w:t>
      </w:r>
      <w:r w:rsidR="00BA4356" w:rsidRPr="00B16E6B">
        <w:t xml:space="preserve">was considered. </w:t>
      </w:r>
      <w:r w:rsidR="00CA789E" w:rsidRPr="00B16E6B">
        <w:t>The specific marginal costs</w:t>
      </w:r>
      <w:r w:rsidR="009656A2" w:rsidRPr="00B16E6B">
        <w:t xml:space="preserve"> and benefits</w:t>
      </w:r>
      <w:r w:rsidR="00CA789E" w:rsidRPr="00B16E6B">
        <w:t xml:space="preserve"> associated with each option is </w:t>
      </w:r>
      <w:r w:rsidR="005E5430" w:rsidRPr="00B16E6B">
        <w:t xml:space="preserve">summarised below and is </w:t>
      </w:r>
      <w:r w:rsidR="00CA789E" w:rsidRPr="00B16E6B">
        <w:t>detailed in section 4</w:t>
      </w:r>
      <w:r w:rsidR="009656A2" w:rsidRPr="00B16E6B">
        <w:t>.</w:t>
      </w:r>
      <w:r w:rsidR="00BA4356" w:rsidRPr="00B16E6B">
        <w:t xml:space="preserve"> </w:t>
      </w:r>
    </w:p>
    <w:p w14:paraId="6BF63912" w14:textId="11E10933" w:rsidR="004C7418" w:rsidRPr="00B16E6B" w:rsidRDefault="00CA789E" w:rsidP="009613E1">
      <w:pPr>
        <w:spacing w:after="200" w:line="271" w:lineRule="auto"/>
      </w:pPr>
      <w:r w:rsidRPr="00B16E6B">
        <w:t>To support the analysis, a C</w:t>
      </w:r>
      <w:r w:rsidR="004C7418" w:rsidRPr="00B16E6B">
        <w:t xml:space="preserve">omputable General Equilibrium (CGE) modelling approach </w:t>
      </w:r>
      <w:r w:rsidRPr="00B16E6B">
        <w:t xml:space="preserve">was used </w:t>
      </w:r>
      <w:r w:rsidR="004C7418" w:rsidRPr="00B16E6B">
        <w:t>to consider the direct and indirect impacts of the proposed changes to the broader economy</w:t>
      </w:r>
      <w:r w:rsidR="009656A2" w:rsidRPr="00B16E6B">
        <w:t xml:space="preserve"> where quantification of the impact of the reforms was possible</w:t>
      </w:r>
      <w:r w:rsidR="004C7418" w:rsidRPr="00B16E6B">
        <w:t xml:space="preserve">. This approach modelled the economy as a system of interrelated economic agents operating in competitive markets. The modelling framework </w:t>
      </w:r>
      <w:r w:rsidRPr="00B16E6B">
        <w:t>was</w:t>
      </w:r>
      <w:r w:rsidR="004C7418" w:rsidRPr="00B16E6B">
        <w:t xml:space="preserve"> </w:t>
      </w:r>
      <w:r w:rsidR="009656A2" w:rsidRPr="00B16E6B">
        <w:t>appropriate for</w:t>
      </w:r>
      <w:r w:rsidR="004C7418" w:rsidRPr="00B16E6B">
        <w:t xml:space="preserve"> analysing the economic impact of a</w:t>
      </w:r>
      <w:r w:rsidR="001D7ACD" w:rsidRPr="00B16E6B">
        <w:t xml:space="preserve"> </w:t>
      </w:r>
      <w:r w:rsidR="004C7418" w:rsidRPr="00B16E6B">
        <w:t>disruption</w:t>
      </w:r>
      <w:r w:rsidR="001D7ACD" w:rsidRPr="00B16E6B">
        <w:t xml:space="preserve"> to the aviation and maritime sectors</w:t>
      </w:r>
      <w:r w:rsidR="004C7418" w:rsidRPr="00B16E6B">
        <w:t xml:space="preserve"> as it explicitly captures supply chain linkages</w:t>
      </w:r>
      <w:r w:rsidR="009656A2" w:rsidRPr="00B16E6B">
        <w:t>,</w:t>
      </w:r>
      <w:r w:rsidR="004C7418" w:rsidRPr="00B16E6B">
        <w:t xml:space="preserve"> </w:t>
      </w:r>
      <w:r w:rsidR="001D7ACD" w:rsidRPr="00B16E6B">
        <w:t xml:space="preserve">and the </w:t>
      </w:r>
      <w:r w:rsidR="004C7418" w:rsidRPr="00B16E6B">
        <w:t>flow-on effects both upstream and downstream of the incident.</w:t>
      </w:r>
    </w:p>
    <w:p w14:paraId="01F589CD" w14:textId="38B7F3EB" w:rsidR="009A0315" w:rsidRPr="00B16E6B" w:rsidRDefault="00CA789E" w:rsidP="009613E1">
      <w:pPr>
        <w:spacing w:line="271" w:lineRule="auto"/>
      </w:pPr>
      <w:r w:rsidRPr="00B16E6B">
        <w:t>To assess the</w:t>
      </w:r>
      <w:r w:rsidR="009A0315" w:rsidRPr="00B16E6B">
        <w:t xml:space="preserve"> </w:t>
      </w:r>
      <w:r w:rsidR="00C1711B" w:rsidRPr="00B16E6B">
        <w:t xml:space="preserve">benefits of </w:t>
      </w:r>
      <w:r w:rsidR="00D61DB9" w:rsidRPr="00B16E6B">
        <w:t>the</w:t>
      </w:r>
      <w:r w:rsidR="00C1711B" w:rsidRPr="00B16E6B">
        <w:t xml:space="preserve"> proposed</w:t>
      </w:r>
      <w:r w:rsidR="009A0315" w:rsidRPr="00B16E6B">
        <w:t xml:space="preserve"> reform</w:t>
      </w:r>
      <w:r w:rsidR="00D61DB9" w:rsidRPr="00B16E6B">
        <w:t>s</w:t>
      </w:r>
      <w:r w:rsidR="00984D4A" w:rsidRPr="00B16E6B">
        <w:t>,</w:t>
      </w:r>
      <w:r w:rsidRPr="00B16E6B">
        <w:t xml:space="preserve"> this IA </w:t>
      </w:r>
      <w:r w:rsidR="00C1711B" w:rsidRPr="00B16E6B">
        <w:t>examin</w:t>
      </w:r>
      <w:r w:rsidRPr="00B16E6B">
        <w:t>ed the</w:t>
      </w:r>
      <w:r w:rsidR="00C1711B" w:rsidRPr="00B16E6B">
        <w:t xml:space="preserve"> potential disruptions arising from an all hazards security threat materialising. The avoidance of these potential events </w:t>
      </w:r>
      <w:r w:rsidRPr="00B16E6B">
        <w:t xml:space="preserve">was </w:t>
      </w:r>
      <w:r w:rsidR="00C1711B" w:rsidRPr="00B16E6B">
        <w:t xml:space="preserve">the principal benefit expected from the </w:t>
      </w:r>
      <w:r w:rsidR="00D61DB9" w:rsidRPr="00B16E6B">
        <w:t>proposed</w:t>
      </w:r>
      <w:r w:rsidR="00C1711B" w:rsidRPr="00B16E6B">
        <w:t xml:space="preserve"> reform</w:t>
      </w:r>
      <w:r w:rsidRPr="00B16E6B">
        <w:t>s</w:t>
      </w:r>
      <w:r w:rsidR="00D61DB9" w:rsidRPr="00B16E6B">
        <w:t>,</w:t>
      </w:r>
      <w:r w:rsidRPr="00B16E6B">
        <w:t xml:space="preserve"> </w:t>
      </w:r>
      <w:r w:rsidR="009A0315" w:rsidRPr="00B16E6B">
        <w:t>as d</w:t>
      </w:r>
      <w:r w:rsidR="00C1711B" w:rsidRPr="00B16E6B">
        <w:t>isruption to the supply of goods</w:t>
      </w:r>
      <w:r w:rsidR="004409E8" w:rsidRPr="00B16E6B">
        <w:t xml:space="preserve"> and services</w:t>
      </w:r>
      <w:r w:rsidR="00C1711B" w:rsidRPr="00B16E6B">
        <w:t xml:space="preserve">, compromise of business operations, or other impacts can have a significant cost to the economy. </w:t>
      </w:r>
    </w:p>
    <w:p w14:paraId="67AC09B3" w14:textId="7025919F" w:rsidR="00621EF8" w:rsidRPr="00B16E6B" w:rsidRDefault="005E5430" w:rsidP="009613E1">
      <w:pPr>
        <w:spacing w:line="271" w:lineRule="auto"/>
      </w:pPr>
      <w:r w:rsidRPr="00B16E6B">
        <w:t xml:space="preserve">This IA identified the following costs and benefits </w:t>
      </w:r>
      <w:r w:rsidR="00D61DB9" w:rsidRPr="00B16E6B">
        <w:t xml:space="preserve">for </w:t>
      </w:r>
      <w:r w:rsidRPr="00B16E6B">
        <w:t xml:space="preserve">each of the </w:t>
      </w:r>
      <w:r w:rsidR="00CF7696" w:rsidRPr="00B16E6B">
        <w:t>four</w:t>
      </w:r>
      <w:r w:rsidRPr="00B16E6B">
        <w:t xml:space="preserve"> options:</w:t>
      </w:r>
    </w:p>
    <w:p w14:paraId="699A3C26" w14:textId="16F557F2" w:rsidR="00BE0C08" w:rsidRPr="00B16E6B" w:rsidRDefault="00621EF8" w:rsidP="009613E1">
      <w:pPr>
        <w:pStyle w:val="BulletedList-Level1"/>
        <w:numPr>
          <w:ilvl w:val="0"/>
          <w:numId w:val="0"/>
        </w:numPr>
        <w:spacing w:after="120" w:line="271" w:lineRule="auto"/>
        <w:ind w:left="425" w:hanging="283"/>
        <w:contextualSpacing w:val="0"/>
      </w:pPr>
      <w:r w:rsidRPr="00B16E6B">
        <w:rPr>
          <w:b/>
        </w:rPr>
        <w:t>O</w:t>
      </w:r>
      <w:r w:rsidR="00BE0C08" w:rsidRPr="00B16E6B">
        <w:rPr>
          <w:b/>
        </w:rPr>
        <w:t>ption 1</w:t>
      </w:r>
      <w:r w:rsidR="00BE0C08" w:rsidRPr="00B16E6B">
        <w:t>: maintain the status quo</w:t>
      </w:r>
      <w:r w:rsidR="005E5430" w:rsidRPr="00B16E6B">
        <w:t>:</w:t>
      </w:r>
    </w:p>
    <w:p w14:paraId="0BF3400B" w14:textId="356E2749" w:rsidR="009A0315" w:rsidRPr="00B16E6B" w:rsidRDefault="009A0315" w:rsidP="009613E1">
      <w:pPr>
        <w:pStyle w:val="BulletedList-Level1"/>
        <w:spacing w:after="120" w:line="271" w:lineRule="auto"/>
        <w:ind w:left="568" w:hanging="284"/>
        <w:contextualSpacing w:val="0"/>
      </w:pPr>
      <w:r w:rsidRPr="00B16E6B">
        <w:rPr>
          <w:b/>
        </w:rPr>
        <w:t>Cost</w:t>
      </w:r>
      <w:r w:rsidR="004E3441" w:rsidRPr="00B16E6B">
        <w:t xml:space="preserve">: </w:t>
      </w:r>
      <w:r w:rsidR="00621EF8" w:rsidRPr="00B16E6B">
        <w:t xml:space="preserve">this option would see </w:t>
      </w:r>
      <w:r w:rsidR="00E6756B" w:rsidRPr="00B16E6B">
        <w:t xml:space="preserve">industry </w:t>
      </w:r>
      <w:r w:rsidR="00621EF8" w:rsidRPr="00B16E6B">
        <w:t>continu</w:t>
      </w:r>
      <w:r w:rsidR="00E6756B" w:rsidRPr="00B16E6B">
        <w:t>ing to be</w:t>
      </w:r>
      <w:r w:rsidR="00621EF8" w:rsidRPr="00B16E6B">
        <w:t xml:space="preserve"> </w:t>
      </w:r>
      <w:r w:rsidR="00F720EF" w:rsidRPr="00B16E6B">
        <w:t>expos</w:t>
      </w:r>
      <w:r w:rsidR="00E6756B" w:rsidRPr="00B16E6B">
        <w:t>ed</w:t>
      </w:r>
      <w:r w:rsidR="00F720EF" w:rsidRPr="00B16E6B">
        <w:t xml:space="preserve"> to threats and</w:t>
      </w:r>
      <w:r w:rsidR="00E6756B" w:rsidRPr="00B16E6B">
        <w:t xml:space="preserve"> the</w:t>
      </w:r>
      <w:r w:rsidR="00F720EF" w:rsidRPr="00B16E6B">
        <w:t xml:space="preserve"> </w:t>
      </w:r>
      <w:r w:rsidR="00621EF8" w:rsidRPr="00B16E6B">
        <w:t>increasing</w:t>
      </w:r>
      <w:r w:rsidR="00F720EF" w:rsidRPr="00B16E6B">
        <w:t xml:space="preserve"> </w:t>
      </w:r>
      <w:r w:rsidR="00E6756B" w:rsidRPr="00B16E6B">
        <w:t>likelihood</w:t>
      </w:r>
      <w:r w:rsidR="00F720EF" w:rsidRPr="00B16E6B">
        <w:t xml:space="preserve"> that an incident </w:t>
      </w:r>
      <w:r w:rsidR="00621EF8" w:rsidRPr="00B16E6B">
        <w:t xml:space="preserve">may occur as </w:t>
      </w:r>
      <w:r w:rsidR="00F720EF" w:rsidRPr="00B16E6B">
        <w:t>insufficient mitigations are in place.</w:t>
      </w:r>
      <w:r w:rsidR="009F2F2D" w:rsidRPr="00B16E6B">
        <w:t xml:space="preserve"> Section 4 provides case studies demonstrating the potential costs associated with the realisation of all</w:t>
      </w:r>
      <w:r w:rsidR="00865AA6" w:rsidRPr="00B16E6B">
        <w:t xml:space="preserve"> </w:t>
      </w:r>
      <w:r w:rsidR="009F2F2D" w:rsidRPr="00B16E6B">
        <w:t xml:space="preserve">hazard threats to which Australia’s transport sector would continue to be exposed under </w:t>
      </w:r>
      <w:r w:rsidR="00460973" w:rsidRPr="00B16E6B">
        <w:t>option</w:t>
      </w:r>
      <w:r w:rsidR="009F2F2D" w:rsidRPr="00B16E6B">
        <w:t xml:space="preserve"> 1.</w:t>
      </w:r>
    </w:p>
    <w:p w14:paraId="488754DF" w14:textId="74D15470" w:rsidR="009A0315" w:rsidRPr="00B16E6B" w:rsidRDefault="009A0315" w:rsidP="009613E1">
      <w:pPr>
        <w:pStyle w:val="BulletedList-Level1"/>
        <w:spacing w:after="120" w:line="271" w:lineRule="auto"/>
        <w:ind w:left="568" w:hanging="284"/>
        <w:contextualSpacing w:val="0"/>
      </w:pPr>
      <w:r w:rsidRPr="00B16E6B">
        <w:rPr>
          <w:b/>
        </w:rPr>
        <w:t>Benefit</w:t>
      </w:r>
      <w:r w:rsidR="004E3441" w:rsidRPr="00B16E6B">
        <w:t xml:space="preserve">: </w:t>
      </w:r>
      <w:r w:rsidR="00F720EF" w:rsidRPr="00B16E6B">
        <w:t>industry may benefit from ongoing operation in a familiar environment</w:t>
      </w:r>
      <w:r w:rsidR="00FC4542" w:rsidRPr="00B16E6B">
        <w:t>,</w:t>
      </w:r>
      <w:r w:rsidR="00F720EF" w:rsidRPr="00B16E6B">
        <w:t xml:space="preserve"> with no additional regulatory </w:t>
      </w:r>
      <w:r w:rsidR="00FC4542" w:rsidRPr="00B16E6B">
        <w:t xml:space="preserve">requirements or </w:t>
      </w:r>
      <w:r w:rsidR="00F720EF" w:rsidRPr="00B16E6B">
        <w:t>costs.</w:t>
      </w:r>
    </w:p>
    <w:p w14:paraId="5D027B4F" w14:textId="54E12A98" w:rsidR="00BE0C08" w:rsidRPr="00B16E6B" w:rsidRDefault="00621EF8" w:rsidP="009613E1">
      <w:pPr>
        <w:pStyle w:val="BulletedList-Level1"/>
        <w:numPr>
          <w:ilvl w:val="0"/>
          <w:numId w:val="0"/>
        </w:numPr>
        <w:spacing w:after="120" w:line="271" w:lineRule="auto"/>
        <w:ind w:left="425" w:hanging="283"/>
        <w:contextualSpacing w:val="0"/>
      </w:pPr>
      <w:r w:rsidRPr="00B16E6B">
        <w:rPr>
          <w:b/>
        </w:rPr>
        <w:t>O</w:t>
      </w:r>
      <w:r w:rsidR="00BE0C08" w:rsidRPr="00B16E6B">
        <w:rPr>
          <w:b/>
        </w:rPr>
        <w:t>ption 2</w:t>
      </w:r>
      <w:r w:rsidR="00BE0C08" w:rsidRPr="00B16E6B">
        <w:t>: encourage industry to voluntarily uptake all hazards risk management</w:t>
      </w:r>
      <w:r w:rsidR="005E5430" w:rsidRPr="00B16E6B">
        <w:t>:</w:t>
      </w:r>
    </w:p>
    <w:p w14:paraId="32D9525D" w14:textId="225332D8" w:rsidR="00F720EF" w:rsidRPr="00B16E6B" w:rsidRDefault="00F720EF" w:rsidP="009613E1">
      <w:pPr>
        <w:pStyle w:val="BulletedList-Level1"/>
        <w:spacing w:after="120" w:line="271" w:lineRule="auto"/>
        <w:ind w:left="568" w:hanging="284"/>
        <w:contextualSpacing w:val="0"/>
      </w:pPr>
      <w:r w:rsidRPr="00B16E6B">
        <w:rPr>
          <w:b/>
        </w:rPr>
        <w:t>Cost</w:t>
      </w:r>
      <w:r w:rsidR="004E3441" w:rsidRPr="00B16E6B">
        <w:t>:</w:t>
      </w:r>
      <w:r w:rsidRPr="00B16E6B">
        <w:t xml:space="preserve"> </w:t>
      </w:r>
      <w:r w:rsidR="00621EF8" w:rsidRPr="00B16E6B">
        <w:t xml:space="preserve">the effectiveness of voluntary uptake </w:t>
      </w:r>
      <w:r w:rsidR="004E3441" w:rsidRPr="00B16E6B">
        <w:t xml:space="preserve">would </w:t>
      </w:r>
      <w:r w:rsidR="00730ACC" w:rsidRPr="00B16E6B">
        <w:t>vary</w:t>
      </w:r>
      <w:r w:rsidR="004E3441" w:rsidRPr="00B16E6B">
        <w:t xml:space="preserve"> depending </w:t>
      </w:r>
      <w:r w:rsidR="009F2F2D" w:rsidRPr="00B16E6B">
        <w:t xml:space="preserve">on the degree to which entities choose to enhance their practices </w:t>
      </w:r>
      <w:r w:rsidR="004E3441" w:rsidRPr="00B16E6B">
        <w:t>to address all hazard</w:t>
      </w:r>
      <w:r w:rsidR="00621EF8" w:rsidRPr="00B16E6B">
        <w:t xml:space="preserve"> security </w:t>
      </w:r>
      <w:r w:rsidR="004E3441" w:rsidRPr="00B16E6B">
        <w:t>threats.</w:t>
      </w:r>
      <w:r w:rsidR="005E5430" w:rsidRPr="00B16E6B">
        <w:t xml:space="preserve"> </w:t>
      </w:r>
      <w:r w:rsidR="009F2F2D" w:rsidRPr="00B16E6B">
        <w:t>For industry participants who choose not to consider the guidance</w:t>
      </w:r>
      <w:r w:rsidR="001D7ACD" w:rsidRPr="00B16E6B">
        <w:t xml:space="preserve"> or implement recommendations</w:t>
      </w:r>
      <w:r w:rsidR="009F2F2D" w:rsidRPr="00B16E6B">
        <w:t xml:space="preserve"> distributed through various engagement forums, the costs incurred will be the same as those costs associated with option 1. </w:t>
      </w:r>
      <w:r w:rsidR="00DC034B" w:rsidRPr="00B16E6B">
        <w:t>These</w:t>
      </w:r>
      <w:r w:rsidR="009F2F2D" w:rsidRPr="00B16E6B">
        <w:t xml:space="preserve"> costs </w:t>
      </w:r>
      <w:r w:rsidR="00DC034B" w:rsidRPr="00B16E6B">
        <w:t xml:space="preserve">will be </w:t>
      </w:r>
      <w:r w:rsidR="009F2F2D" w:rsidRPr="00B16E6B">
        <w:t>dependent on the severity and frequency of future all</w:t>
      </w:r>
      <w:r w:rsidR="00865AA6" w:rsidRPr="00B16E6B">
        <w:t xml:space="preserve"> </w:t>
      </w:r>
      <w:r w:rsidR="009F2F2D" w:rsidRPr="00B16E6B">
        <w:t>hazard</w:t>
      </w:r>
      <w:r w:rsidR="00CF7696" w:rsidRPr="00B16E6B">
        <w:t xml:space="preserve"> security</w:t>
      </w:r>
      <w:r w:rsidR="009F2F2D" w:rsidRPr="00B16E6B">
        <w:t xml:space="preserve"> incidents. </w:t>
      </w:r>
    </w:p>
    <w:p w14:paraId="5CD0BADA" w14:textId="77777777" w:rsidR="00CF7696" w:rsidRPr="00B16E6B" w:rsidRDefault="00CF7696" w:rsidP="009613E1">
      <w:pPr>
        <w:spacing w:after="200" w:line="271" w:lineRule="auto"/>
        <w:rPr>
          <w:b/>
        </w:rPr>
      </w:pPr>
      <w:r w:rsidRPr="00B16E6B">
        <w:rPr>
          <w:b/>
        </w:rPr>
        <w:br w:type="page"/>
      </w:r>
    </w:p>
    <w:p w14:paraId="797420FB" w14:textId="2129EF89" w:rsidR="00F720EF" w:rsidRPr="00B16E6B" w:rsidRDefault="00F720EF" w:rsidP="009613E1">
      <w:pPr>
        <w:pStyle w:val="BulletedList-Level1"/>
        <w:spacing w:after="120" w:line="271" w:lineRule="auto"/>
        <w:ind w:left="568" w:hanging="284"/>
        <w:contextualSpacing w:val="0"/>
      </w:pPr>
      <w:r w:rsidRPr="00B16E6B">
        <w:rPr>
          <w:b/>
        </w:rPr>
        <w:lastRenderedPageBreak/>
        <w:t>Benefi</w:t>
      </w:r>
      <w:r w:rsidR="004E3441" w:rsidRPr="00B16E6B">
        <w:rPr>
          <w:b/>
        </w:rPr>
        <w:t>t</w:t>
      </w:r>
      <w:r w:rsidR="004E3441" w:rsidRPr="00B16E6B">
        <w:t xml:space="preserve">: </w:t>
      </w:r>
      <w:r w:rsidR="00621EF8" w:rsidRPr="00B16E6B">
        <w:t>variable benefits may arise and</w:t>
      </w:r>
      <w:r w:rsidR="004E3441" w:rsidRPr="00B16E6B">
        <w:t xml:space="preserve"> depend on the extent to which </w:t>
      </w:r>
      <w:r w:rsidR="005F5DF5" w:rsidRPr="00B16E6B">
        <w:t xml:space="preserve">industry </w:t>
      </w:r>
      <w:r w:rsidR="004E3441" w:rsidRPr="00B16E6B">
        <w:t xml:space="preserve">participants voluntarily choose to </w:t>
      </w:r>
      <w:r w:rsidR="00CF7696" w:rsidRPr="00B16E6B">
        <w:t>mitigate</w:t>
      </w:r>
      <w:r w:rsidR="004E3441" w:rsidRPr="00B16E6B">
        <w:t xml:space="preserve"> all hazard </w:t>
      </w:r>
      <w:r w:rsidR="00CF7696" w:rsidRPr="00B16E6B">
        <w:t>security risks</w:t>
      </w:r>
      <w:r w:rsidR="004E3441" w:rsidRPr="00B16E6B">
        <w:t>.</w:t>
      </w:r>
      <w:r w:rsidR="005F5DF5" w:rsidRPr="00B16E6B">
        <w:t xml:space="preserve"> Industry will experience some of the benefits of avoiding future incidents depending on the extent of voluntary participation. The realisation of benefits is, however, inherently limited because participation is voluntary under option 2.</w:t>
      </w:r>
    </w:p>
    <w:p w14:paraId="4341690E" w14:textId="03E6CBD9" w:rsidR="00BE0C08" w:rsidRPr="00B16E6B" w:rsidRDefault="00621EF8" w:rsidP="009613E1">
      <w:pPr>
        <w:pStyle w:val="BulletedList-Level1"/>
        <w:numPr>
          <w:ilvl w:val="0"/>
          <w:numId w:val="0"/>
        </w:numPr>
        <w:spacing w:after="120" w:line="271" w:lineRule="auto"/>
        <w:ind w:left="425" w:hanging="283"/>
        <w:contextualSpacing w:val="0"/>
      </w:pPr>
      <w:r w:rsidRPr="00B16E6B">
        <w:rPr>
          <w:b/>
        </w:rPr>
        <w:t>O</w:t>
      </w:r>
      <w:r w:rsidR="00BE0C08" w:rsidRPr="00B16E6B">
        <w:rPr>
          <w:b/>
        </w:rPr>
        <w:t>ption 3</w:t>
      </w:r>
      <w:r w:rsidR="00BE0C08" w:rsidRPr="00B16E6B">
        <w:t>: switch on C</w:t>
      </w:r>
      <w:r w:rsidRPr="00B16E6B">
        <w:t xml:space="preserve">IRMP </w:t>
      </w:r>
      <w:r w:rsidR="00BE0C08" w:rsidRPr="00B16E6B">
        <w:t>obligations for ‘critical aviation assets’ and ‘critical ports’ under the SOCI Act</w:t>
      </w:r>
      <w:r w:rsidR="005E5430" w:rsidRPr="00B16E6B">
        <w:t>:</w:t>
      </w:r>
    </w:p>
    <w:p w14:paraId="31F8B1EF" w14:textId="35DCF1F7" w:rsidR="00F720EF" w:rsidRPr="00B16E6B" w:rsidRDefault="00F720EF" w:rsidP="009613E1">
      <w:pPr>
        <w:pStyle w:val="BulletedList-Level1"/>
        <w:spacing w:after="120" w:line="271" w:lineRule="auto"/>
        <w:ind w:left="568" w:hanging="284"/>
        <w:contextualSpacing w:val="0"/>
      </w:pPr>
      <w:r w:rsidRPr="00B16E6B">
        <w:rPr>
          <w:b/>
        </w:rPr>
        <w:t>Cost</w:t>
      </w:r>
      <w:r w:rsidR="009A6F27" w:rsidRPr="00B16E6B">
        <w:t>:</w:t>
      </w:r>
      <w:r w:rsidRPr="00B16E6B">
        <w:t xml:space="preserve"> </w:t>
      </w:r>
      <w:r w:rsidR="0009376E" w:rsidRPr="00B16E6B">
        <w:t xml:space="preserve">there may be </w:t>
      </w:r>
      <w:r w:rsidR="009A6F27" w:rsidRPr="00B16E6B">
        <w:t>additional cost</w:t>
      </w:r>
      <w:r w:rsidR="0009376E" w:rsidRPr="00B16E6B">
        <w:t>s</w:t>
      </w:r>
      <w:r w:rsidR="009A6F27" w:rsidRPr="00B16E6B">
        <w:t xml:space="preserve"> to industry participants that are in scope to comply with the CIRMP obligations. </w:t>
      </w:r>
      <w:r w:rsidR="008E6CA8" w:rsidRPr="00B16E6B">
        <w:t>Further, i</w:t>
      </w:r>
      <w:r w:rsidR="009A6F27" w:rsidRPr="00B16E6B">
        <w:t>ndustry would have to respond to the security obligations across different legislative frameworks</w:t>
      </w:r>
      <w:r w:rsidR="005E5430" w:rsidRPr="00B16E6B">
        <w:t xml:space="preserve"> (SOCI Act </w:t>
      </w:r>
      <w:r w:rsidR="009A4827" w:rsidRPr="00B16E6B">
        <w:t>vs.</w:t>
      </w:r>
      <w:r w:rsidR="005E5430" w:rsidRPr="00B16E6B">
        <w:t xml:space="preserve"> ATSA/MTOFSA)</w:t>
      </w:r>
      <w:r w:rsidR="00203248" w:rsidRPr="00B16E6B">
        <w:t>, imposing additional cost</w:t>
      </w:r>
      <w:r w:rsidR="008E6CA8" w:rsidRPr="00B16E6B">
        <w:t>s</w:t>
      </w:r>
      <w:r w:rsidR="009A6F27" w:rsidRPr="00B16E6B">
        <w:t xml:space="preserve">. </w:t>
      </w:r>
      <w:r w:rsidR="005F5DF5" w:rsidRPr="00B16E6B">
        <w:t xml:space="preserve">While the CIRMP framework will allow for </w:t>
      </w:r>
      <w:r w:rsidR="00DC034B" w:rsidRPr="00B16E6B">
        <w:t xml:space="preserve">a </w:t>
      </w:r>
      <w:r w:rsidR="005F5DF5" w:rsidRPr="00B16E6B">
        <w:t>consistent increase in the risk management practices amongst certain transport sector entities, it does not reflect the diversified nature of the sector. Consequently, there will</w:t>
      </w:r>
      <w:r w:rsidR="008E6CA8" w:rsidRPr="00B16E6B">
        <w:t xml:space="preserve"> be</w:t>
      </w:r>
      <w:r w:rsidR="005F5DF5" w:rsidRPr="00B16E6B">
        <w:t xml:space="preserve"> a cohort of industry participants (such as tier</w:t>
      </w:r>
      <w:r w:rsidR="00CF7696" w:rsidRPr="00B16E6B">
        <w:t xml:space="preserve"> 1 and</w:t>
      </w:r>
      <w:r w:rsidR="005F5DF5" w:rsidRPr="00B16E6B">
        <w:t xml:space="preserve"> 2 airports or ship operators) that are not required to identify and mitigate all hazards </w:t>
      </w:r>
      <w:r w:rsidR="004409E8" w:rsidRPr="00B16E6B">
        <w:t xml:space="preserve">risks </w:t>
      </w:r>
      <w:r w:rsidR="005F5DF5" w:rsidRPr="00B16E6B">
        <w:t>under this option.</w:t>
      </w:r>
    </w:p>
    <w:p w14:paraId="415B64DE" w14:textId="7966FAE0" w:rsidR="00F720EF" w:rsidRPr="00B16E6B" w:rsidRDefault="00F720EF" w:rsidP="00A11AF5">
      <w:pPr>
        <w:pStyle w:val="ListParagraph"/>
        <w:numPr>
          <w:ilvl w:val="0"/>
          <w:numId w:val="65"/>
        </w:numPr>
        <w:spacing w:after="200" w:line="271" w:lineRule="auto"/>
        <w:ind w:left="567"/>
      </w:pPr>
      <w:r w:rsidRPr="00B16E6B">
        <w:rPr>
          <w:b/>
        </w:rPr>
        <w:t>Benefit</w:t>
      </w:r>
      <w:r w:rsidR="009A6F27" w:rsidRPr="00B16E6B">
        <w:t xml:space="preserve">: </w:t>
      </w:r>
      <w:r w:rsidR="008E6CA8" w:rsidRPr="00B16E6B">
        <w:t>t</w:t>
      </w:r>
      <w:r w:rsidR="005F5DF5" w:rsidRPr="00B16E6B">
        <w:t xml:space="preserve">here may be some benefit arising from option 3, where </w:t>
      </w:r>
      <w:r w:rsidR="008E6CA8" w:rsidRPr="00B16E6B">
        <w:t xml:space="preserve">the </w:t>
      </w:r>
      <w:r w:rsidR="005F5DF5" w:rsidRPr="00B16E6B">
        <w:t xml:space="preserve">application of the </w:t>
      </w:r>
      <w:r w:rsidR="001D7ACD" w:rsidRPr="00B16E6B">
        <w:t xml:space="preserve">CIRMP obligations </w:t>
      </w:r>
      <w:r w:rsidR="005F5DF5" w:rsidRPr="00B16E6B">
        <w:t xml:space="preserve">can contribute to the avoidance of incidents that may otherwise disrupt operation and lead to economic loss. However, this benefit will only extend to those industry participants captured under the SOCI Act, rather than creating a potential benefit for the whole </w:t>
      </w:r>
      <w:r w:rsidR="00203248" w:rsidRPr="00B16E6B">
        <w:t>of Australia’s transport sector</w:t>
      </w:r>
      <w:r w:rsidR="009A6F27" w:rsidRPr="00B16E6B">
        <w:t>.</w:t>
      </w:r>
      <w:r w:rsidR="005E5430" w:rsidRPr="00B16E6B">
        <w:t xml:space="preserve"> Benefits would likely be greater than under </w:t>
      </w:r>
      <w:r w:rsidR="00460973" w:rsidRPr="00B16E6B">
        <w:t>option</w:t>
      </w:r>
      <w:r w:rsidR="005E5430" w:rsidRPr="00B16E6B">
        <w:t xml:space="preserve"> 2 but would be less than under </w:t>
      </w:r>
      <w:r w:rsidR="00460973" w:rsidRPr="00B16E6B">
        <w:t>option</w:t>
      </w:r>
      <w:r w:rsidR="005E5430" w:rsidRPr="00B16E6B">
        <w:t xml:space="preserve"> 4.</w:t>
      </w:r>
    </w:p>
    <w:p w14:paraId="2E93DF61" w14:textId="2F568F06" w:rsidR="0058523A" w:rsidRPr="00B16E6B" w:rsidRDefault="00621EF8" w:rsidP="009613E1">
      <w:pPr>
        <w:pStyle w:val="BulletedList-Level1"/>
        <w:keepNext/>
        <w:numPr>
          <w:ilvl w:val="0"/>
          <w:numId w:val="0"/>
        </w:numPr>
        <w:spacing w:after="120" w:line="271" w:lineRule="auto"/>
        <w:ind w:left="425" w:hanging="283"/>
        <w:contextualSpacing w:val="0"/>
      </w:pPr>
      <w:r w:rsidRPr="00B16E6B">
        <w:rPr>
          <w:b/>
        </w:rPr>
        <w:t>O</w:t>
      </w:r>
      <w:r w:rsidR="00BE0C08" w:rsidRPr="00B16E6B">
        <w:rPr>
          <w:b/>
        </w:rPr>
        <w:t>ption 4</w:t>
      </w:r>
      <w:r w:rsidR="00BE0C08" w:rsidRPr="00B16E6B">
        <w:t>: amend ATSA, MTOFSA and their associated regulations to enact mandatory obligations</w:t>
      </w:r>
      <w:r w:rsidR="005E5430" w:rsidRPr="00B16E6B">
        <w:t>:</w:t>
      </w:r>
    </w:p>
    <w:p w14:paraId="2A46D154" w14:textId="692CCD8D" w:rsidR="00F720EF" w:rsidRPr="00B16E6B" w:rsidRDefault="00F720EF" w:rsidP="009613E1">
      <w:pPr>
        <w:pStyle w:val="BulletedList-Level1"/>
        <w:spacing w:after="120" w:line="271" w:lineRule="auto"/>
        <w:ind w:left="568" w:hanging="284"/>
        <w:contextualSpacing w:val="0"/>
      </w:pPr>
      <w:r w:rsidRPr="00B16E6B">
        <w:rPr>
          <w:b/>
        </w:rPr>
        <w:t>Cost</w:t>
      </w:r>
      <w:r w:rsidR="00CB4B94" w:rsidRPr="00B16E6B">
        <w:t>: an anticipated one-off cost to industry of $190 million and an ongoing cost of $115 million per year across the aviation and maritime sectors</w:t>
      </w:r>
      <w:r w:rsidR="001D7ACD" w:rsidRPr="00B16E6B">
        <w:t xml:space="preserve"> is expected</w:t>
      </w:r>
      <w:r w:rsidR="00AB293B" w:rsidRPr="00B16E6B">
        <w:t>;</w:t>
      </w:r>
      <w:r w:rsidR="00CB4B94" w:rsidRPr="00B16E6B">
        <w:t xml:space="preserve"> however</w:t>
      </w:r>
      <w:r w:rsidR="00AB293B" w:rsidRPr="00B16E6B">
        <w:t>,</w:t>
      </w:r>
      <w:r w:rsidR="00CB4B94" w:rsidRPr="00B16E6B">
        <w:t xml:space="preserve"> it is anticipated that a proportion of these costs will </w:t>
      </w:r>
      <w:r w:rsidR="001D7ACD" w:rsidRPr="00B16E6B">
        <w:t xml:space="preserve">likely </w:t>
      </w:r>
      <w:r w:rsidR="00CB4B94" w:rsidRPr="00B16E6B">
        <w:t>be pass</w:t>
      </w:r>
      <w:r w:rsidR="008E6CA8" w:rsidRPr="00B16E6B">
        <w:t>ed</w:t>
      </w:r>
      <w:r w:rsidR="00CB4B94" w:rsidRPr="00B16E6B">
        <w:t xml:space="preserve"> on to consumers.</w:t>
      </w:r>
      <w:r w:rsidR="009613E1" w:rsidRPr="00B16E6B">
        <w:t xml:space="preserve"> Further information can be found in section 4.5.</w:t>
      </w:r>
    </w:p>
    <w:p w14:paraId="01BC38D9" w14:textId="6666FDD3" w:rsidR="008E6CA8" w:rsidRPr="00B16E6B" w:rsidRDefault="00F720EF" w:rsidP="009613E1">
      <w:pPr>
        <w:pStyle w:val="BulletedList-Level1"/>
        <w:spacing w:after="120" w:line="271" w:lineRule="auto"/>
        <w:ind w:left="568" w:hanging="284"/>
        <w:contextualSpacing w:val="0"/>
      </w:pPr>
      <w:r w:rsidRPr="00B16E6B">
        <w:rPr>
          <w:b/>
        </w:rPr>
        <w:t>Benefit</w:t>
      </w:r>
      <w:r w:rsidR="00CB4B94" w:rsidRPr="00B16E6B">
        <w:t xml:space="preserve">: proactively addressing and mitigating risks and hazards would reduce the likelihood and severity of incidents and disruption to supply chains across the economy. </w:t>
      </w:r>
      <w:r w:rsidR="00203248" w:rsidRPr="00B16E6B">
        <w:t xml:space="preserve">The proposed reforms can address the </w:t>
      </w:r>
      <w:r w:rsidR="00185AB6" w:rsidRPr="00B16E6B">
        <w:t>material risks</w:t>
      </w:r>
      <w:r w:rsidR="00203248" w:rsidRPr="00B16E6B">
        <w:t xml:space="preserve"> to Australia’s transport sector through </w:t>
      </w:r>
      <w:r w:rsidR="008E6CA8" w:rsidRPr="00B16E6B">
        <w:t>the</w:t>
      </w:r>
      <w:r w:rsidR="00185AB6" w:rsidRPr="00B16E6B">
        <w:t xml:space="preserve"> adoption of the all hazards security framework for all</w:t>
      </w:r>
      <w:r w:rsidR="004409E8" w:rsidRPr="00B16E6B">
        <w:t xml:space="preserve"> regulated</w:t>
      </w:r>
      <w:r w:rsidR="00185AB6" w:rsidRPr="00B16E6B">
        <w:t xml:space="preserve"> aviation and maritime industry participants</w:t>
      </w:r>
      <w:r w:rsidR="008E6CA8" w:rsidRPr="00B16E6B">
        <w:t>.</w:t>
      </w:r>
      <w:r w:rsidR="00185AB6" w:rsidRPr="00B16E6B">
        <w:t xml:space="preserve"> </w:t>
      </w:r>
      <w:r w:rsidR="008E6CA8" w:rsidRPr="00B16E6B">
        <w:t xml:space="preserve">This would occur </w:t>
      </w:r>
      <w:r w:rsidR="004409E8" w:rsidRPr="00B16E6B">
        <w:t xml:space="preserve">through </w:t>
      </w:r>
      <w:r w:rsidR="001D7ACD" w:rsidRPr="00B16E6B">
        <w:t>legislative requirements</w:t>
      </w:r>
      <w:r w:rsidR="009613E1" w:rsidRPr="00B16E6B">
        <w:t>,</w:t>
      </w:r>
      <w:r w:rsidR="00185AB6" w:rsidRPr="00B16E6B">
        <w:t xml:space="preserve"> which </w:t>
      </w:r>
      <w:r w:rsidR="001D7ACD" w:rsidRPr="00B16E6B">
        <w:t xml:space="preserve">are </w:t>
      </w:r>
      <w:r w:rsidR="0042205E" w:rsidRPr="00B16E6B">
        <w:t>robust, fit for purpose,</w:t>
      </w:r>
      <w:r w:rsidR="00185AB6" w:rsidRPr="00B16E6B">
        <w:t xml:space="preserve"> proportionate to </w:t>
      </w:r>
      <w:r w:rsidR="001D7ACD" w:rsidRPr="00B16E6B">
        <w:t>an industry participant’s unique operating environment and size</w:t>
      </w:r>
      <w:r w:rsidR="00094E1A" w:rsidRPr="00B16E6B">
        <w:t xml:space="preserve"> and</w:t>
      </w:r>
      <w:r w:rsidR="008E6CA8" w:rsidRPr="00B16E6B">
        <w:t xml:space="preserve"> </w:t>
      </w:r>
      <w:r w:rsidR="00185AB6" w:rsidRPr="00B16E6B">
        <w:t xml:space="preserve">by facilitating a coordinated uplift in </w:t>
      </w:r>
      <w:r w:rsidR="001D7ACD" w:rsidRPr="00B16E6B">
        <w:t>their</w:t>
      </w:r>
      <w:r w:rsidR="00185AB6" w:rsidRPr="00B16E6B">
        <w:t xml:space="preserve"> compliance with relevant standards.</w:t>
      </w:r>
    </w:p>
    <w:p w14:paraId="7FC8B722" w14:textId="77777777" w:rsidR="009613E1" w:rsidRPr="00B16E6B" w:rsidRDefault="009613E1">
      <w:pPr>
        <w:spacing w:after="200" w:line="288" w:lineRule="auto"/>
      </w:pPr>
      <w:r w:rsidRPr="00B16E6B">
        <w:br w:type="page"/>
      </w:r>
    </w:p>
    <w:p w14:paraId="42C280C3" w14:textId="5B93B709" w:rsidR="008E6CA8" w:rsidRPr="00B16E6B" w:rsidRDefault="00185AB6" w:rsidP="009613E1">
      <w:pPr>
        <w:pStyle w:val="BulletedList-Level1"/>
        <w:numPr>
          <w:ilvl w:val="0"/>
          <w:numId w:val="0"/>
        </w:numPr>
        <w:spacing w:after="120" w:line="271" w:lineRule="auto"/>
        <w:ind w:left="568"/>
        <w:contextualSpacing w:val="0"/>
      </w:pPr>
      <w:r w:rsidRPr="00B16E6B">
        <w:lastRenderedPageBreak/>
        <w:t xml:space="preserve">The likely benefits of option 4 will be at least (and are expected to be more than) the costs of the regulation. This is because the frequency and severity of all hazard </w:t>
      </w:r>
      <w:r w:rsidR="00501BB7" w:rsidRPr="00B16E6B">
        <w:t>threats</w:t>
      </w:r>
      <w:r w:rsidRPr="00B16E6B">
        <w:t xml:space="preserve"> for the </w:t>
      </w:r>
      <w:r w:rsidR="00BE64C5" w:rsidRPr="00B16E6B">
        <w:t>transport sector</w:t>
      </w:r>
      <w:r w:rsidRPr="00B16E6B">
        <w:t xml:space="preserve"> </w:t>
      </w:r>
      <w:r w:rsidR="00BE64C5" w:rsidRPr="00B16E6B">
        <w:t xml:space="preserve">is </w:t>
      </w:r>
      <w:r w:rsidR="00AB293B" w:rsidRPr="00B16E6B">
        <w:t>increasing</w:t>
      </w:r>
      <w:r w:rsidRPr="00B16E6B">
        <w:t>. While some events of the magnitude described in th</w:t>
      </w:r>
      <w:r w:rsidR="00DC034B" w:rsidRPr="00B16E6B">
        <w:t>is</w:t>
      </w:r>
      <w:r w:rsidRPr="00B16E6B">
        <w:t xml:space="preserve"> IA have previously been considered to represent the worst-case disruption scenarios in Australia, the increasing severity and frequency of similar incidents, particularly in the context of growing cyber security incidents represents a risk to the whole economy. The increasing frequency of incidents makes the </w:t>
      </w:r>
      <w:r w:rsidR="00501BB7" w:rsidRPr="00B16E6B">
        <w:t>benefits associated with option 4</w:t>
      </w:r>
      <w:r w:rsidRPr="00B16E6B">
        <w:t xml:space="preserve"> more likely to exceed the anticipated costs over time.</w:t>
      </w:r>
    </w:p>
    <w:p w14:paraId="1AC3B38B" w14:textId="4665833C" w:rsidR="004C7418" w:rsidRPr="00B16E6B" w:rsidRDefault="00E77947" w:rsidP="009613E1">
      <w:pPr>
        <w:spacing w:after="200" w:line="271" w:lineRule="auto"/>
      </w:pPr>
      <w:r w:rsidRPr="00B16E6B">
        <w:t xml:space="preserve">This IA considers industry feedback </w:t>
      </w:r>
      <w:r w:rsidR="00501BB7" w:rsidRPr="00B16E6B">
        <w:t>previously</w:t>
      </w:r>
      <w:r w:rsidRPr="00B16E6B">
        <w:t xml:space="preserve"> collected on the costs and benefits associated with each of these options and will provide a further opportunity for discussion with industry. This engagement </w:t>
      </w:r>
      <w:r w:rsidR="00501BB7" w:rsidRPr="00B16E6B">
        <w:t>has</w:t>
      </w:r>
      <w:r w:rsidRPr="00B16E6B">
        <w:t xml:space="preserve"> provide</w:t>
      </w:r>
      <w:r w:rsidR="00501BB7" w:rsidRPr="00B16E6B">
        <w:t>d</w:t>
      </w:r>
      <w:r w:rsidRPr="00B16E6B">
        <w:t xml:space="preserve"> a key input for informing decisions by</w:t>
      </w:r>
      <w:r w:rsidR="008E6CA8" w:rsidRPr="00B16E6B">
        <w:t xml:space="preserve"> </w:t>
      </w:r>
      <w:r w:rsidR="002F409B" w:rsidRPr="00B16E6B">
        <w:t>g</w:t>
      </w:r>
      <w:r w:rsidRPr="00B16E6B">
        <w:t>overnment on the nature of potential reforms. Industry consultation to date</w:t>
      </w:r>
      <w:r w:rsidR="008D1D6E" w:rsidRPr="00B16E6B">
        <w:t xml:space="preserve"> is comprehensively </w:t>
      </w:r>
      <w:r w:rsidRPr="00B16E6B">
        <w:t xml:space="preserve">discussed </w:t>
      </w:r>
      <w:r w:rsidR="008D1D6E" w:rsidRPr="00B16E6B">
        <w:t xml:space="preserve">in </w:t>
      </w:r>
      <w:r w:rsidR="002C5755" w:rsidRPr="00B16E6B">
        <w:t>question</w:t>
      </w:r>
      <w:r w:rsidR="008D1D6E" w:rsidRPr="00B16E6B">
        <w:t xml:space="preserve"> 5.</w:t>
      </w:r>
      <w:r w:rsidR="00BE0C08" w:rsidRPr="00B16E6B">
        <w:t xml:space="preserve"> </w:t>
      </w:r>
      <w:r w:rsidR="00DC034B" w:rsidRPr="00B16E6B">
        <w:t>Implementation consid</w:t>
      </w:r>
      <w:r w:rsidR="009613E1" w:rsidRPr="00B16E6B">
        <w:t>erations and associated risks are</w:t>
      </w:r>
      <w:r w:rsidR="00DC034B" w:rsidRPr="00B16E6B">
        <w:t xml:space="preserve"> discussed in question 7.</w:t>
      </w:r>
    </w:p>
    <w:p w14:paraId="1695FA58" w14:textId="63B46641" w:rsidR="00BE0C08" w:rsidRPr="00B16E6B" w:rsidRDefault="008D1D6E" w:rsidP="009613E1">
      <w:pPr>
        <w:spacing w:after="200" w:line="271" w:lineRule="auto"/>
      </w:pPr>
      <w:r w:rsidRPr="00B16E6B">
        <w:br w:type="page"/>
      </w:r>
    </w:p>
    <w:p w14:paraId="12B1B30D" w14:textId="77777777" w:rsidR="0014151F" w:rsidRPr="00B16E6B" w:rsidRDefault="006821D7" w:rsidP="00D23889">
      <w:pPr>
        <w:pStyle w:val="Heading2"/>
      </w:pPr>
      <w:r w:rsidRPr="00B16E6B">
        <w:lastRenderedPageBreak/>
        <w:t>Introduction</w:t>
      </w:r>
    </w:p>
    <w:p w14:paraId="462EAC39" w14:textId="77777777" w:rsidR="006821D7" w:rsidRPr="00B16E6B" w:rsidRDefault="006821D7" w:rsidP="00DD3F9A">
      <w:pPr>
        <w:pStyle w:val="Heading3"/>
        <w:rPr>
          <w:rFonts w:eastAsia="Times New Roman"/>
        </w:rPr>
      </w:pPr>
      <w:r w:rsidRPr="00B16E6B">
        <w:rPr>
          <w:rFonts w:eastAsia="Times New Roman"/>
        </w:rPr>
        <w:t>Purpose of this document </w:t>
      </w:r>
    </w:p>
    <w:p w14:paraId="0791F0E2" w14:textId="5C362041" w:rsidR="006821D7" w:rsidRPr="00B16E6B" w:rsidRDefault="00896FCB" w:rsidP="009613E1">
      <w:pPr>
        <w:spacing w:after="120" w:line="271" w:lineRule="auto"/>
        <w:textAlignment w:val="baseline"/>
        <w:rPr>
          <w:rFonts w:eastAsia="Times New Roman" w:cs="Segoe UI"/>
          <w:szCs w:val="22"/>
          <w:lang w:eastAsia="en-AU"/>
        </w:rPr>
      </w:pPr>
      <w:r w:rsidRPr="00B16E6B">
        <w:rPr>
          <w:rFonts w:eastAsia="Times New Roman" w:cs="Arial"/>
          <w:szCs w:val="22"/>
          <w:lang w:eastAsia="en-AU"/>
        </w:rPr>
        <w:t xml:space="preserve">This </w:t>
      </w:r>
      <w:r w:rsidR="008D1D6E" w:rsidRPr="00B16E6B">
        <w:rPr>
          <w:rFonts w:eastAsia="Times New Roman" w:cs="Arial"/>
          <w:szCs w:val="22"/>
          <w:lang w:eastAsia="en-AU"/>
        </w:rPr>
        <w:t>IA</w:t>
      </w:r>
      <w:r w:rsidR="006821D7" w:rsidRPr="00B16E6B">
        <w:rPr>
          <w:rFonts w:eastAsia="Times New Roman" w:cs="Arial"/>
          <w:szCs w:val="22"/>
          <w:lang w:eastAsia="en-AU"/>
        </w:rPr>
        <w:t xml:space="preserve"> examines the costs and benefits associated with </w:t>
      </w:r>
      <w:r w:rsidR="00DB546B" w:rsidRPr="00B16E6B">
        <w:rPr>
          <w:rFonts w:eastAsia="Times New Roman" w:cs="Arial"/>
          <w:szCs w:val="22"/>
          <w:lang w:eastAsia="en-AU"/>
        </w:rPr>
        <w:t>four</w:t>
      </w:r>
      <w:r w:rsidR="00774379" w:rsidRPr="00B16E6B">
        <w:rPr>
          <w:rFonts w:eastAsia="Times New Roman" w:cs="Arial"/>
          <w:szCs w:val="22"/>
          <w:lang w:eastAsia="en-AU"/>
        </w:rPr>
        <w:t xml:space="preserve"> </w:t>
      </w:r>
      <w:r w:rsidR="006821D7" w:rsidRPr="00B16E6B">
        <w:rPr>
          <w:rFonts w:eastAsia="Times New Roman" w:cs="Arial"/>
          <w:szCs w:val="22"/>
          <w:lang w:eastAsia="en-AU"/>
        </w:rPr>
        <w:t xml:space="preserve">potential options for reform to Australia’s transport sector, comprising aviation, and maritime </w:t>
      </w:r>
      <w:r w:rsidR="00036CD7" w:rsidRPr="00B16E6B">
        <w:rPr>
          <w:rFonts w:eastAsia="Times New Roman" w:cs="Arial"/>
          <w:szCs w:val="22"/>
          <w:lang w:eastAsia="en-AU"/>
        </w:rPr>
        <w:t xml:space="preserve">transport </w:t>
      </w:r>
      <w:r w:rsidR="006821D7" w:rsidRPr="00B16E6B">
        <w:rPr>
          <w:rFonts w:eastAsia="Times New Roman" w:cs="Arial"/>
          <w:szCs w:val="22"/>
          <w:lang w:eastAsia="en-AU"/>
        </w:rPr>
        <w:t xml:space="preserve">and offshore facility security legislation. The reforms </w:t>
      </w:r>
      <w:r w:rsidR="00036CD7" w:rsidRPr="00B16E6B">
        <w:rPr>
          <w:rFonts w:eastAsia="Times New Roman" w:cs="Arial"/>
          <w:szCs w:val="22"/>
          <w:lang w:eastAsia="en-AU"/>
        </w:rPr>
        <w:t xml:space="preserve">discussed </w:t>
      </w:r>
      <w:r w:rsidR="006821D7" w:rsidRPr="00B16E6B">
        <w:rPr>
          <w:rFonts w:eastAsia="Times New Roman" w:cs="Arial"/>
          <w:szCs w:val="22"/>
          <w:lang w:eastAsia="en-AU"/>
        </w:rPr>
        <w:t xml:space="preserve">in this IA seek to strengthen the capabilities of the existing </w:t>
      </w:r>
      <w:r w:rsidR="0022690C" w:rsidRPr="00B16E6B">
        <w:rPr>
          <w:rFonts w:eastAsia="Times New Roman" w:cs="Arial"/>
          <w:szCs w:val="22"/>
          <w:lang w:eastAsia="en-AU"/>
        </w:rPr>
        <w:t xml:space="preserve">transport security </w:t>
      </w:r>
      <w:r w:rsidR="006821D7" w:rsidRPr="00B16E6B">
        <w:rPr>
          <w:rFonts w:eastAsia="Times New Roman" w:cs="Arial"/>
          <w:szCs w:val="22"/>
          <w:lang w:eastAsia="en-AU"/>
        </w:rPr>
        <w:t>legislative frameworks, through expanding the hazards which entities are requi</w:t>
      </w:r>
      <w:r w:rsidR="008F0C3F" w:rsidRPr="00B16E6B">
        <w:rPr>
          <w:rFonts w:eastAsia="Times New Roman" w:cs="Arial"/>
          <w:szCs w:val="22"/>
          <w:lang w:eastAsia="en-AU"/>
        </w:rPr>
        <w:t>red to plan for, mitigate</w:t>
      </w:r>
      <w:r w:rsidR="00CE46CD" w:rsidRPr="00B16E6B">
        <w:rPr>
          <w:rFonts w:eastAsia="Times New Roman" w:cs="Arial"/>
          <w:szCs w:val="22"/>
          <w:lang w:eastAsia="en-AU"/>
        </w:rPr>
        <w:t>,</w:t>
      </w:r>
      <w:r w:rsidR="006821D7" w:rsidRPr="00B16E6B">
        <w:rPr>
          <w:rFonts w:eastAsia="Times New Roman" w:cs="Arial"/>
          <w:szCs w:val="22"/>
          <w:lang w:eastAsia="en-AU"/>
        </w:rPr>
        <w:t xml:space="preserve"> and respond to.  </w:t>
      </w:r>
    </w:p>
    <w:p w14:paraId="04D2D058" w14:textId="77777777" w:rsidR="006821D7" w:rsidRPr="00B16E6B" w:rsidRDefault="006821D7" w:rsidP="00046969">
      <w:pPr>
        <w:pStyle w:val="Custom2"/>
        <w:rPr>
          <w:rFonts w:eastAsia="Times New Roman"/>
          <w:lang w:eastAsia="en-AU"/>
        </w:rPr>
      </w:pPr>
      <w:r w:rsidRPr="00B16E6B">
        <w:rPr>
          <w:rFonts w:eastAsia="Times New Roman"/>
          <w:lang w:eastAsia="en-AU"/>
        </w:rPr>
        <w:t>Transport security legislative frameworks </w:t>
      </w:r>
    </w:p>
    <w:p w14:paraId="268F62F6" w14:textId="77777777" w:rsidR="008D1D6E" w:rsidRPr="00B16E6B" w:rsidRDefault="008D1D6E" w:rsidP="009613E1">
      <w:pPr>
        <w:spacing w:after="120" w:line="271" w:lineRule="auto"/>
        <w:textAlignment w:val="baseline"/>
        <w:rPr>
          <w:rFonts w:eastAsia="Times New Roman" w:cs="Segoe UI"/>
          <w:szCs w:val="22"/>
          <w:lang w:eastAsia="en-AU"/>
        </w:rPr>
      </w:pPr>
      <w:r w:rsidRPr="00B16E6B">
        <w:rPr>
          <w:rFonts w:eastAsia="Times New Roman" w:cs="Segoe UI"/>
          <w:szCs w:val="22"/>
          <w:lang w:eastAsia="en-AU"/>
        </w:rPr>
        <w:t xml:space="preserve">The Australian </w:t>
      </w:r>
      <w:r w:rsidR="00487C6A" w:rsidRPr="00B16E6B">
        <w:rPr>
          <w:rFonts w:eastAsia="Times New Roman" w:cs="Segoe UI"/>
          <w:szCs w:val="22"/>
          <w:lang w:eastAsia="en-AU"/>
        </w:rPr>
        <w:t>Government</w:t>
      </w:r>
      <w:r w:rsidRPr="00B16E6B">
        <w:rPr>
          <w:rFonts w:eastAsia="Times New Roman" w:cs="Segoe UI"/>
          <w:szCs w:val="22"/>
          <w:lang w:eastAsia="en-AU"/>
        </w:rPr>
        <w:t xml:space="preserve"> must maintain legislation to safeguard the aviation and maritime sectors against unlawful interference. These are requirements of </w:t>
      </w:r>
      <w:r w:rsidRPr="00B16E6B">
        <w:rPr>
          <w:rFonts w:eastAsia="Times New Roman" w:cs="Arial"/>
          <w:szCs w:val="22"/>
          <w:lang w:eastAsia="en-AU"/>
        </w:rPr>
        <w:t>the International Civil Aviation Organization (ICAO) and the International Maritime O</w:t>
      </w:r>
      <w:r w:rsidR="00C44EEF" w:rsidRPr="00B16E6B">
        <w:rPr>
          <w:rFonts w:eastAsia="Times New Roman" w:cs="Arial"/>
          <w:szCs w:val="22"/>
          <w:lang w:eastAsia="en-AU"/>
        </w:rPr>
        <w:t>rganiz</w:t>
      </w:r>
      <w:r w:rsidRPr="00B16E6B">
        <w:rPr>
          <w:rFonts w:eastAsia="Times New Roman" w:cs="Arial"/>
          <w:szCs w:val="22"/>
          <w:lang w:eastAsia="en-AU"/>
        </w:rPr>
        <w:t xml:space="preserve">ation (IMO) </w:t>
      </w:r>
      <w:r w:rsidR="00C44EEF" w:rsidRPr="00B16E6B">
        <w:rPr>
          <w:rFonts w:eastAsia="Times New Roman" w:cs="Arial"/>
          <w:szCs w:val="22"/>
          <w:lang w:eastAsia="en-AU"/>
        </w:rPr>
        <w:t xml:space="preserve">respectively. Ensuring Australia’s legislation reflects the standards administered by ICAO and the IMO is one of Australia’s international obligations. </w:t>
      </w:r>
    </w:p>
    <w:p w14:paraId="42331D31" w14:textId="1904A5C3" w:rsidR="002E0F96" w:rsidRPr="00B16E6B" w:rsidRDefault="006821D7" w:rsidP="00046969">
      <w:pPr>
        <w:rPr>
          <w:rFonts w:eastAsia="Times New Roman"/>
          <w:lang w:eastAsia="en-AU"/>
        </w:rPr>
      </w:pPr>
      <w:r w:rsidRPr="00B16E6B">
        <w:rPr>
          <w:rFonts w:eastAsia="Times New Roman"/>
          <w:lang w:eastAsia="en-AU"/>
        </w:rPr>
        <w:t xml:space="preserve">Under the current legislative frameworks, </w:t>
      </w:r>
      <w:r w:rsidR="008D1D6E" w:rsidRPr="00B16E6B">
        <w:rPr>
          <w:rFonts w:eastAsia="Times New Roman"/>
          <w:lang w:eastAsia="en-AU"/>
        </w:rPr>
        <w:t xml:space="preserve">the responsibility for managing the risk of unlawful interference is that of the </w:t>
      </w:r>
      <w:r w:rsidRPr="00B16E6B">
        <w:rPr>
          <w:rFonts w:eastAsia="Times New Roman"/>
          <w:lang w:eastAsia="en-AU"/>
        </w:rPr>
        <w:t>entities which form part of Australia’s transport sector. This includes a requirement that regulated entities mitigate terrorism</w:t>
      </w:r>
      <w:r w:rsidR="008D1D6E" w:rsidRPr="00B16E6B">
        <w:rPr>
          <w:rFonts w:eastAsia="Times New Roman"/>
          <w:lang w:eastAsia="en-AU"/>
        </w:rPr>
        <w:t>,</w:t>
      </w:r>
      <w:r w:rsidRPr="00B16E6B">
        <w:rPr>
          <w:rFonts w:eastAsia="Times New Roman"/>
          <w:lang w:eastAsia="en-AU"/>
        </w:rPr>
        <w:t xml:space="preserve"> and serious crime. </w:t>
      </w:r>
    </w:p>
    <w:p w14:paraId="65D44A89" w14:textId="02EFBD05" w:rsidR="006821D7" w:rsidRPr="00B16E6B" w:rsidRDefault="006821D7" w:rsidP="009613E1">
      <w:pPr>
        <w:pStyle w:val="Heading4"/>
        <w:spacing w:line="271" w:lineRule="auto"/>
        <w:rPr>
          <w:rFonts w:eastAsia="Times New Roman" w:cs="Segoe UI"/>
          <w:i/>
          <w:lang w:eastAsia="en-AU"/>
        </w:rPr>
      </w:pPr>
      <w:r w:rsidRPr="00B16E6B">
        <w:rPr>
          <w:rFonts w:eastAsia="Times New Roman"/>
          <w:i/>
          <w:lang w:eastAsia="en-AU"/>
        </w:rPr>
        <w:t xml:space="preserve">Aviation Transport Security Act 2004 </w:t>
      </w:r>
    </w:p>
    <w:p w14:paraId="1C3C5B70" w14:textId="77777777" w:rsidR="006821D7" w:rsidRPr="00B16E6B" w:rsidRDefault="006821D7" w:rsidP="009613E1">
      <w:pPr>
        <w:spacing w:after="120" w:line="271" w:lineRule="auto"/>
        <w:textAlignment w:val="baseline"/>
        <w:rPr>
          <w:rFonts w:eastAsia="Times New Roman" w:cs="Arial"/>
          <w:szCs w:val="22"/>
          <w:lang w:eastAsia="en-AU"/>
        </w:rPr>
      </w:pPr>
      <w:r w:rsidRPr="00B16E6B">
        <w:rPr>
          <w:rFonts w:eastAsia="Times New Roman" w:cs="Arial"/>
          <w:szCs w:val="22"/>
          <w:lang w:eastAsia="en-AU"/>
        </w:rPr>
        <w:t>The department regulates aviation security through ATSA and the</w:t>
      </w:r>
      <w:r w:rsidRPr="00B16E6B">
        <w:rPr>
          <w:rFonts w:eastAsia="Times New Roman" w:cs="Arial"/>
          <w:i/>
          <w:szCs w:val="22"/>
          <w:lang w:eastAsia="en-AU"/>
        </w:rPr>
        <w:t xml:space="preserve"> Aviation Transport Security Regulations 2005 </w:t>
      </w:r>
      <w:r w:rsidRPr="00B16E6B">
        <w:rPr>
          <w:rFonts w:eastAsia="Times New Roman" w:cs="Arial"/>
          <w:szCs w:val="22"/>
          <w:lang w:eastAsia="en-AU"/>
        </w:rPr>
        <w:t xml:space="preserve">(ATSR). The purpose of ATSA is to establish a legislative framework which safeguards against unlawful interference with civil aviation and to enforce </w:t>
      </w:r>
      <w:r w:rsidRPr="00B16E6B">
        <w:rPr>
          <w:rFonts w:eastAsia="Arial" w:cs="Arial"/>
          <w:szCs w:val="22"/>
        </w:rPr>
        <w:t>aviation security, including the protection of air navigation, airport facilities, aircraft, and personnel</w:t>
      </w:r>
      <w:r w:rsidRPr="00B16E6B">
        <w:rPr>
          <w:rFonts w:eastAsia="Times New Roman" w:cs="Arial"/>
          <w:szCs w:val="22"/>
          <w:lang w:eastAsia="en-AU"/>
        </w:rPr>
        <w:t xml:space="preserve">. </w:t>
      </w:r>
    </w:p>
    <w:p w14:paraId="528CA038" w14:textId="77777777" w:rsidR="006821D7" w:rsidRPr="00B16E6B" w:rsidRDefault="006821D7" w:rsidP="009613E1">
      <w:pPr>
        <w:spacing w:after="120" w:line="271" w:lineRule="auto"/>
        <w:textAlignment w:val="baseline"/>
        <w:rPr>
          <w:rFonts w:eastAsia="Times New Roman" w:cs="Arial"/>
          <w:szCs w:val="22"/>
          <w:lang w:eastAsia="en-AU"/>
        </w:rPr>
      </w:pPr>
      <w:r w:rsidRPr="00B16E6B">
        <w:rPr>
          <w:rFonts w:eastAsia="Times New Roman" w:cs="Arial"/>
          <w:szCs w:val="22"/>
          <w:lang w:eastAsia="en-AU"/>
        </w:rPr>
        <w:t>ATSA provides a framework for entities to meet Australia’s obligations under Annex 17 to the Convention on International Civil Aviation administered by</w:t>
      </w:r>
      <w:r w:rsidR="00C44EEF" w:rsidRPr="00B16E6B">
        <w:rPr>
          <w:rFonts w:eastAsia="Times New Roman" w:cs="Arial"/>
          <w:szCs w:val="22"/>
          <w:lang w:eastAsia="en-AU"/>
        </w:rPr>
        <w:t xml:space="preserve"> </w:t>
      </w:r>
      <w:r w:rsidRPr="00B16E6B">
        <w:rPr>
          <w:rFonts w:eastAsia="Times New Roman" w:cs="Arial"/>
          <w:szCs w:val="22"/>
          <w:lang w:eastAsia="en-AU"/>
        </w:rPr>
        <w:t>ICAO. Annex 17 establishes standards that must be implemented by contracting states and recommends best practices to do so.  </w:t>
      </w:r>
    </w:p>
    <w:p w14:paraId="39C78883" w14:textId="77777777" w:rsidR="000A140E" w:rsidRPr="00B16E6B" w:rsidRDefault="006821D7" w:rsidP="00046969">
      <w:pPr>
        <w:rPr>
          <w:rFonts w:eastAsia="Times New Roman"/>
          <w:lang w:eastAsia="en-AU"/>
        </w:rPr>
      </w:pPr>
      <w:r w:rsidRPr="00B16E6B">
        <w:rPr>
          <w:rFonts w:eastAsia="Times New Roman"/>
          <w:lang w:eastAsia="en-AU"/>
        </w:rPr>
        <w:t>ATSA also requires regulated aviation industry participants to submit a security program to the department which sets out the measures and procedures regulated entities are required to implement to mitigate security risks. </w:t>
      </w:r>
    </w:p>
    <w:p w14:paraId="60839A3E" w14:textId="7EF5E10C" w:rsidR="000A140E" w:rsidRPr="00B16E6B" w:rsidRDefault="000A140E" w:rsidP="00046969">
      <w:pPr>
        <w:pStyle w:val="Custom2"/>
        <w:rPr>
          <w:rFonts w:eastAsia="Times New Roman"/>
          <w:lang w:eastAsia="en-AU"/>
        </w:rPr>
      </w:pPr>
      <w:r w:rsidRPr="00B16E6B">
        <w:rPr>
          <w:rFonts w:eastAsia="Times New Roman"/>
          <w:lang w:eastAsia="en-AU"/>
        </w:rPr>
        <w:t xml:space="preserve">Maritime Transport and Offshore Facilities Security Act 2003 </w:t>
      </w:r>
    </w:p>
    <w:p w14:paraId="33C1141E" w14:textId="77777777" w:rsidR="000A140E" w:rsidRPr="00B16E6B" w:rsidRDefault="000A140E" w:rsidP="009613E1">
      <w:pPr>
        <w:keepNext/>
        <w:keepLines/>
        <w:spacing w:after="120" w:line="271" w:lineRule="auto"/>
        <w:textAlignment w:val="baseline"/>
        <w:rPr>
          <w:rFonts w:eastAsia="Times New Roman" w:cs="Arial"/>
          <w:szCs w:val="22"/>
          <w:lang w:eastAsia="en-AU"/>
        </w:rPr>
      </w:pPr>
      <w:r w:rsidRPr="00B16E6B">
        <w:rPr>
          <w:rFonts w:eastAsia="Times New Roman" w:cs="Arial"/>
          <w:szCs w:val="22"/>
          <w:lang w:eastAsia="en-AU"/>
        </w:rPr>
        <w:t xml:space="preserve">The department regulates maritime transport and offshore facility security through MTOFSA and the </w:t>
      </w:r>
      <w:r w:rsidRPr="00B16E6B">
        <w:rPr>
          <w:rFonts w:eastAsia="Times New Roman" w:cs="Arial"/>
          <w:i/>
          <w:szCs w:val="22"/>
          <w:lang w:eastAsia="en-AU"/>
        </w:rPr>
        <w:t>Maritime Transport and Offshore Facilities Security Regulations 2003</w:t>
      </w:r>
      <w:r w:rsidRPr="00B16E6B">
        <w:rPr>
          <w:rFonts w:eastAsia="Times New Roman" w:cs="Arial"/>
          <w:szCs w:val="22"/>
          <w:lang w:eastAsia="en-AU"/>
        </w:rPr>
        <w:t xml:space="preserve"> (MTOFSR). MTOFSA supports Australia in meeting its obligations under Chapter XI-2 of the International Convention for the Safety of Life at Sea (SOLAS) and the International Ship and Port Facility Security Code (ISPS Code). </w:t>
      </w:r>
    </w:p>
    <w:p w14:paraId="24B9BD1F" w14:textId="644C9B7A" w:rsidR="002E3453" w:rsidRPr="00B16E6B" w:rsidRDefault="002E3453" w:rsidP="009613E1">
      <w:pPr>
        <w:tabs>
          <w:tab w:val="left" w:pos="1702"/>
        </w:tabs>
        <w:spacing w:line="271" w:lineRule="auto"/>
        <w:rPr>
          <w:rFonts w:eastAsia="Times New Roman" w:cs="Arial"/>
          <w:szCs w:val="22"/>
          <w:lang w:eastAsia="en-AU"/>
        </w:rPr>
      </w:pPr>
    </w:p>
    <w:p w14:paraId="0A06CC8D" w14:textId="17A2B52D" w:rsidR="00A32EB4" w:rsidRPr="00B16E6B" w:rsidRDefault="006821D7" w:rsidP="009613E1">
      <w:pPr>
        <w:keepNext/>
        <w:keepLines/>
        <w:spacing w:after="120" w:line="271" w:lineRule="auto"/>
        <w:textAlignment w:val="baseline"/>
        <w:rPr>
          <w:rFonts w:eastAsia="Times New Roman" w:cs="Arial"/>
          <w:szCs w:val="22"/>
          <w:lang w:eastAsia="en-AU"/>
        </w:rPr>
      </w:pPr>
      <w:r w:rsidRPr="00B16E6B">
        <w:rPr>
          <w:rFonts w:eastAsia="Times New Roman" w:cs="Arial"/>
          <w:szCs w:val="22"/>
          <w:lang w:eastAsia="en-AU"/>
        </w:rPr>
        <w:lastRenderedPageBreak/>
        <w:t xml:space="preserve">The SOLAS and the ISPS Code establish an international framework between contracting </w:t>
      </w:r>
      <w:r w:rsidR="00487C6A" w:rsidRPr="00B16E6B">
        <w:rPr>
          <w:rFonts w:eastAsia="Times New Roman" w:cs="Arial"/>
          <w:szCs w:val="22"/>
          <w:lang w:eastAsia="en-AU"/>
        </w:rPr>
        <w:t>government</w:t>
      </w:r>
      <w:r w:rsidRPr="00B16E6B">
        <w:rPr>
          <w:rFonts w:eastAsia="Times New Roman" w:cs="Arial"/>
          <w:szCs w:val="22"/>
          <w:lang w:eastAsia="en-AU"/>
        </w:rPr>
        <w:t>s and the maritime industry</w:t>
      </w:r>
      <w:r w:rsidR="00C44EEF" w:rsidRPr="00B16E6B">
        <w:rPr>
          <w:rFonts w:eastAsia="Times New Roman" w:cs="Arial"/>
          <w:szCs w:val="22"/>
          <w:lang w:eastAsia="en-AU"/>
        </w:rPr>
        <w:t>,</w:t>
      </w:r>
      <w:r w:rsidRPr="00B16E6B">
        <w:rPr>
          <w:rFonts w:eastAsia="Times New Roman" w:cs="Arial"/>
          <w:szCs w:val="22"/>
          <w:lang w:eastAsia="en-AU"/>
        </w:rPr>
        <w:t xml:space="preserve"> which aims to detect security threats and deter acts</w:t>
      </w:r>
      <w:r w:rsidR="00C44EEF" w:rsidRPr="00B16E6B">
        <w:rPr>
          <w:rFonts w:eastAsia="Times New Roman" w:cs="Arial"/>
          <w:szCs w:val="22"/>
          <w:lang w:eastAsia="en-AU"/>
        </w:rPr>
        <w:t xml:space="preserve"> of unlawful interference and organised crime</w:t>
      </w:r>
      <w:r w:rsidRPr="00B16E6B">
        <w:rPr>
          <w:rFonts w:eastAsia="Times New Roman" w:cs="Arial"/>
          <w:szCs w:val="22"/>
          <w:lang w:eastAsia="en-AU"/>
        </w:rPr>
        <w:t xml:space="preserve"> that threaten the security of ships and port facilitie</w:t>
      </w:r>
      <w:r w:rsidR="00C44EEF" w:rsidRPr="00B16E6B">
        <w:rPr>
          <w:rFonts w:eastAsia="Times New Roman" w:cs="Arial"/>
          <w:szCs w:val="22"/>
          <w:lang w:eastAsia="en-AU"/>
        </w:rPr>
        <w:t>s used in international trade. </w:t>
      </w:r>
    </w:p>
    <w:p w14:paraId="41E1F86B" w14:textId="77777777" w:rsidR="00004066" w:rsidRPr="00B16E6B" w:rsidRDefault="006821D7" w:rsidP="009613E1">
      <w:pPr>
        <w:spacing w:after="120" w:line="271" w:lineRule="auto"/>
        <w:textAlignment w:val="baseline"/>
        <w:rPr>
          <w:rFonts w:eastAsia="Times New Roman" w:cs="Arial"/>
          <w:lang w:eastAsia="en-AU"/>
        </w:rPr>
      </w:pPr>
      <w:r w:rsidRPr="00B16E6B">
        <w:rPr>
          <w:rFonts w:eastAsia="Times New Roman" w:cs="Arial"/>
          <w:lang w:eastAsia="en-AU"/>
        </w:rPr>
        <w:t xml:space="preserve">MTOFSA requires certain maritime industry participants to submit a security plan to the department which sets out the measures and procedures regulated entities are required to implement to mitigate security risks. </w:t>
      </w:r>
    </w:p>
    <w:p w14:paraId="1503E762" w14:textId="77777777" w:rsidR="00C167F3" w:rsidRPr="00B16E6B" w:rsidRDefault="006821D7" w:rsidP="009613E1">
      <w:pPr>
        <w:spacing w:after="120" w:line="271" w:lineRule="auto"/>
        <w:textAlignment w:val="baseline"/>
        <w:rPr>
          <w:rFonts w:eastAsia="Times New Roman" w:cs="Arial"/>
          <w:lang w:eastAsia="en-AU"/>
        </w:rPr>
      </w:pPr>
      <w:r w:rsidRPr="00B16E6B">
        <w:rPr>
          <w:rFonts w:eastAsia="Times New Roman" w:cs="Arial"/>
          <w:lang w:eastAsia="en-AU"/>
        </w:rPr>
        <w:t>Security programs and plans will be referred to collectively as security programs throughout this IA unless specified otherwise.  </w:t>
      </w:r>
    </w:p>
    <w:p w14:paraId="51D04B28" w14:textId="77777777" w:rsidR="006821D7" w:rsidRPr="00B16E6B" w:rsidRDefault="006821D7" w:rsidP="00046969">
      <w:pPr>
        <w:pStyle w:val="Custom2"/>
        <w:rPr>
          <w:rFonts w:eastAsia="Times New Roman"/>
          <w:lang w:eastAsia="en-AU"/>
        </w:rPr>
      </w:pPr>
      <w:r w:rsidRPr="00B16E6B">
        <w:rPr>
          <w:rFonts w:eastAsia="Times New Roman"/>
          <w:lang w:eastAsia="en-AU"/>
        </w:rPr>
        <w:t>Security of C</w:t>
      </w:r>
      <w:r w:rsidR="00EF0055" w:rsidRPr="00B16E6B">
        <w:rPr>
          <w:rFonts w:eastAsia="Times New Roman"/>
          <w:lang w:eastAsia="en-AU"/>
        </w:rPr>
        <w:t>ritical Infrastructure Act 2018</w:t>
      </w:r>
    </w:p>
    <w:p w14:paraId="3EE00BFB" w14:textId="77777777" w:rsidR="006821D7" w:rsidRPr="00B16E6B" w:rsidRDefault="006821D7" w:rsidP="009613E1">
      <w:pPr>
        <w:spacing w:after="120" w:line="271" w:lineRule="auto"/>
        <w:textAlignment w:val="baseline"/>
        <w:rPr>
          <w:rFonts w:eastAsia="Times New Roman" w:cs="Segoe UI"/>
          <w:szCs w:val="22"/>
          <w:lang w:eastAsia="en-AU"/>
        </w:rPr>
      </w:pPr>
      <w:r w:rsidRPr="00B16E6B">
        <w:rPr>
          <w:rFonts w:eastAsia="Times New Roman" w:cs="Arial"/>
          <w:szCs w:val="22"/>
          <w:lang w:eastAsia="en-AU"/>
        </w:rPr>
        <w:t>The SOCI Act introduces security obligations for the owners and operators of captured critical infrastructure assets. These include requirements to:  </w:t>
      </w:r>
    </w:p>
    <w:p w14:paraId="34387CD8" w14:textId="77777777" w:rsidR="006821D7" w:rsidRPr="00B16E6B" w:rsidRDefault="006821D7" w:rsidP="009613E1">
      <w:pPr>
        <w:pStyle w:val="BulletedList-Level1"/>
        <w:spacing w:after="120" w:line="271" w:lineRule="auto"/>
        <w:ind w:left="568" w:hanging="284"/>
        <w:contextualSpacing w:val="0"/>
      </w:pPr>
      <w:r w:rsidRPr="00B16E6B">
        <w:t>report information (such as operational information or interest and control information) to the Register of</w:t>
      </w:r>
      <w:r w:rsidR="00244A1B" w:rsidRPr="00B16E6B">
        <w:t xml:space="preserve"> Critical Infrastructure Assets</w:t>
      </w:r>
      <w:r w:rsidRPr="00B16E6B">
        <w:t>  </w:t>
      </w:r>
    </w:p>
    <w:p w14:paraId="761A2A14" w14:textId="77777777" w:rsidR="006821D7" w:rsidRPr="00B16E6B" w:rsidRDefault="00244A1B" w:rsidP="009613E1">
      <w:pPr>
        <w:pStyle w:val="BulletedList-Level1"/>
        <w:spacing w:after="120" w:line="271" w:lineRule="auto"/>
        <w:ind w:left="568" w:hanging="284"/>
        <w:contextualSpacing w:val="0"/>
      </w:pPr>
      <w:r w:rsidRPr="00B16E6B">
        <w:t>report cyber incidents</w:t>
      </w:r>
      <w:r w:rsidR="006821D7" w:rsidRPr="00B16E6B">
        <w:t> </w:t>
      </w:r>
    </w:p>
    <w:p w14:paraId="64CD49A2" w14:textId="77777777" w:rsidR="006821D7" w:rsidRPr="00B16E6B" w:rsidRDefault="006821D7" w:rsidP="009613E1">
      <w:pPr>
        <w:pStyle w:val="BulletedList-Level1"/>
        <w:spacing w:after="120" w:line="271" w:lineRule="auto"/>
        <w:ind w:left="568" w:hanging="284"/>
        <w:contextualSpacing w:val="0"/>
      </w:pPr>
      <w:r w:rsidRPr="00B16E6B">
        <w:t>develop a CIRMP, to identify and mitigate all hazards risks  </w:t>
      </w:r>
    </w:p>
    <w:p w14:paraId="328EBC2C" w14:textId="77777777" w:rsidR="006821D7" w:rsidRPr="00B16E6B" w:rsidRDefault="006821D7" w:rsidP="009613E1">
      <w:pPr>
        <w:pStyle w:val="BulletedList-Level1"/>
        <w:spacing w:after="120" w:line="271" w:lineRule="auto"/>
        <w:ind w:left="568" w:hanging="284"/>
        <w:contextualSpacing w:val="0"/>
      </w:pPr>
      <w:r w:rsidRPr="00B16E6B">
        <w:t xml:space="preserve">notify any data service providers whether they hold business critical data on behalf of </w:t>
      </w:r>
      <w:r w:rsidR="00244A1B" w:rsidRPr="00B16E6B">
        <w:t>a critical infrastructure asset</w:t>
      </w:r>
      <w:r w:rsidRPr="00B16E6B">
        <w:t> </w:t>
      </w:r>
    </w:p>
    <w:p w14:paraId="28D5A22D" w14:textId="77777777" w:rsidR="006821D7" w:rsidRPr="00B16E6B" w:rsidRDefault="006821D7" w:rsidP="009613E1">
      <w:pPr>
        <w:pStyle w:val="BulletedList-Level1"/>
        <w:spacing w:after="120" w:line="271" w:lineRule="auto"/>
        <w:ind w:left="568" w:hanging="284"/>
        <w:contextualSpacing w:val="0"/>
        <w:rPr>
          <w:rFonts w:eastAsia="Times New Roman" w:cs="Arial"/>
          <w:szCs w:val="22"/>
          <w:lang w:eastAsia="en-AU"/>
        </w:rPr>
      </w:pPr>
      <w:r w:rsidRPr="00B16E6B">
        <w:t xml:space="preserve">comply with cyber incident response </w:t>
      </w:r>
      <w:r w:rsidR="00487C6A" w:rsidRPr="00B16E6B">
        <w:t>government</w:t>
      </w:r>
      <w:r w:rsidRPr="00B16E6B">
        <w:t xml:space="preserve"> assistance measures</w:t>
      </w:r>
      <w:r w:rsidRPr="00B16E6B">
        <w:rPr>
          <w:rFonts w:eastAsia="Times New Roman" w:cs="Arial"/>
          <w:szCs w:val="22"/>
          <w:lang w:eastAsia="en-AU"/>
        </w:rPr>
        <w:t>.  </w:t>
      </w:r>
    </w:p>
    <w:p w14:paraId="26BB690C" w14:textId="77777777" w:rsidR="006821D7" w:rsidRPr="00B16E6B" w:rsidRDefault="006821D7" w:rsidP="009613E1">
      <w:pPr>
        <w:spacing w:after="120" w:line="271" w:lineRule="auto"/>
        <w:textAlignment w:val="baseline"/>
        <w:rPr>
          <w:rFonts w:eastAsia="Times New Roman" w:cs="Segoe UI"/>
          <w:szCs w:val="22"/>
          <w:lang w:eastAsia="en-AU"/>
        </w:rPr>
      </w:pPr>
      <w:r w:rsidRPr="00B16E6B">
        <w:rPr>
          <w:rFonts w:eastAsia="Times New Roman" w:cs="Arial"/>
          <w:szCs w:val="22"/>
          <w:lang w:eastAsia="en-AU"/>
        </w:rPr>
        <w:t>Under the SOCI Act</w:t>
      </w:r>
      <w:r w:rsidRPr="00B16E6B">
        <w:rPr>
          <w:rFonts w:eastAsia="Times New Roman" w:cs="Arial"/>
          <w:i/>
          <w:iCs/>
          <w:szCs w:val="22"/>
          <w:lang w:eastAsia="en-AU"/>
        </w:rPr>
        <w:t>,</w:t>
      </w:r>
      <w:r w:rsidRPr="00B16E6B">
        <w:rPr>
          <w:rFonts w:eastAsia="Times New Roman" w:cs="Arial"/>
          <w:szCs w:val="22"/>
          <w:lang w:eastAsia="en-AU"/>
        </w:rPr>
        <w:t xml:space="preserve"> captured critical infrastructure entities are required to proactively identify and mitigate all hazards, including: </w:t>
      </w:r>
    </w:p>
    <w:p w14:paraId="7EB9BCE2" w14:textId="7D33C309" w:rsidR="006821D7" w:rsidRPr="00B16E6B" w:rsidRDefault="00244A1B" w:rsidP="009613E1">
      <w:pPr>
        <w:pStyle w:val="BulletedList-Level1"/>
        <w:spacing w:after="120" w:line="271" w:lineRule="auto"/>
        <w:ind w:left="568" w:hanging="284"/>
        <w:contextualSpacing w:val="0"/>
      </w:pPr>
      <w:r w:rsidRPr="00B16E6B">
        <w:t>physical security</w:t>
      </w:r>
      <w:r w:rsidR="00DB546B" w:rsidRPr="00B16E6B">
        <w:t> and natural hazards</w:t>
      </w:r>
    </w:p>
    <w:p w14:paraId="36902DE7" w14:textId="77777777" w:rsidR="006821D7" w:rsidRPr="00B16E6B" w:rsidRDefault="006821D7" w:rsidP="009613E1">
      <w:pPr>
        <w:pStyle w:val="BulletedList-Level1"/>
        <w:spacing w:after="120" w:line="271" w:lineRule="auto"/>
        <w:ind w:left="568" w:hanging="284"/>
        <w:contextualSpacing w:val="0"/>
      </w:pPr>
      <w:r w:rsidRPr="00B16E6B">
        <w:t>personnel security</w:t>
      </w:r>
    </w:p>
    <w:p w14:paraId="543DBDE0" w14:textId="77777777" w:rsidR="006821D7" w:rsidRPr="00B16E6B" w:rsidRDefault="00244A1B" w:rsidP="009613E1">
      <w:pPr>
        <w:pStyle w:val="BulletedList-Level1"/>
        <w:spacing w:after="120" w:line="271" w:lineRule="auto"/>
        <w:ind w:left="568" w:hanging="284"/>
        <w:contextualSpacing w:val="0"/>
      </w:pPr>
      <w:r w:rsidRPr="00B16E6B">
        <w:t>cyber security</w:t>
      </w:r>
      <w:r w:rsidR="006821D7" w:rsidRPr="00B16E6B">
        <w:t>  </w:t>
      </w:r>
    </w:p>
    <w:p w14:paraId="1AEA72C0" w14:textId="3A30A6BA" w:rsidR="006821D7" w:rsidRPr="00B16E6B" w:rsidRDefault="00DB546B" w:rsidP="00DB546B">
      <w:pPr>
        <w:pStyle w:val="BulletedList-Level1"/>
        <w:spacing w:after="120" w:line="271" w:lineRule="auto"/>
        <w:ind w:left="568" w:hanging="284"/>
        <w:contextualSpacing w:val="0"/>
      </w:pPr>
      <w:r w:rsidRPr="00B16E6B">
        <w:t>supply chain security</w:t>
      </w:r>
      <w:r w:rsidR="006821D7" w:rsidRPr="00B16E6B">
        <w:t>. </w:t>
      </w:r>
    </w:p>
    <w:p w14:paraId="2F40EC4B" w14:textId="5F97063D" w:rsidR="00004066" w:rsidRPr="00B16E6B" w:rsidRDefault="006821D7" w:rsidP="009613E1">
      <w:pPr>
        <w:spacing w:after="120" w:line="271" w:lineRule="auto"/>
        <w:textAlignment w:val="baseline"/>
        <w:rPr>
          <w:rFonts w:eastAsia="Times New Roman" w:cs="Arial"/>
          <w:szCs w:val="22"/>
          <w:lang w:eastAsia="en-AU"/>
        </w:rPr>
      </w:pPr>
      <w:r w:rsidRPr="00B16E6B">
        <w:rPr>
          <w:rFonts w:eastAsia="Arial" w:cs="Arial"/>
          <w:szCs w:val="22"/>
        </w:rPr>
        <w:t>'Critical aviation assets’</w:t>
      </w:r>
      <w:r w:rsidR="00004066" w:rsidRPr="00B16E6B">
        <w:rPr>
          <w:rFonts w:eastAsia="Arial" w:cs="Arial"/>
          <w:szCs w:val="22"/>
          <w:vertAlign w:val="superscript"/>
        </w:rPr>
        <w:footnoteReference w:id="2"/>
      </w:r>
      <w:r w:rsidR="00004066" w:rsidRPr="00B16E6B">
        <w:rPr>
          <w:rFonts w:eastAsia="Arial" w:cs="Arial"/>
          <w:szCs w:val="22"/>
        </w:rPr>
        <w:t xml:space="preserve"> </w:t>
      </w:r>
      <w:r w:rsidRPr="00B16E6B">
        <w:rPr>
          <w:rFonts w:eastAsia="Arial" w:cs="Arial"/>
          <w:szCs w:val="22"/>
        </w:rPr>
        <w:t xml:space="preserve"> and ‘critical ports’</w:t>
      </w:r>
      <w:r w:rsidR="00004066" w:rsidRPr="00B16E6B">
        <w:rPr>
          <w:rFonts w:eastAsia="Arial" w:cs="Arial"/>
          <w:szCs w:val="22"/>
          <w:vertAlign w:val="superscript"/>
        </w:rPr>
        <w:footnoteReference w:id="3"/>
      </w:r>
      <w:r w:rsidRPr="00B16E6B">
        <w:rPr>
          <w:rFonts w:eastAsia="Arial" w:cs="Arial"/>
          <w:szCs w:val="22"/>
        </w:rPr>
        <w:t xml:space="preserve"> </w:t>
      </w:r>
      <w:r w:rsidRPr="00B16E6B">
        <w:rPr>
          <w:rFonts w:eastAsia="Times New Roman" w:cs="Arial"/>
          <w:szCs w:val="22"/>
          <w:lang w:eastAsia="en-AU"/>
        </w:rPr>
        <w:t xml:space="preserve">are subject to different security obligations under </w:t>
      </w:r>
      <w:r w:rsidR="00D72FDD" w:rsidRPr="00B16E6B">
        <w:rPr>
          <w:rFonts w:eastAsia="Times New Roman" w:cs="Arial"/>
          <w:szCs w:val="22"/>
          <w:lang w:eastAsia="en-AU"/>
        </w:rPr>
        <w:t xml:space="preserve">the </w:t>
      </w:r>
      <w:r w:rsidRPr="00B16E6B">
        <w:rPr>
          <w:rFonts w:eastAsia="Times New Roman" w:cs="Arial"/>
          <w:szCs w:val="22"/>
          <w:lang w:eastAsia="en-AU"/>
        </w:rPr>
        <w:t>SOCI</w:t>
      </w:r>
      <w:r w:rsidR="00D72FDD" w:rsidRPr="00B16E6B">
        <w:rPr>
          <w:rFonts w:eastAsia="Times New Roman" w:cs="Arial"/>
          <w:szCs w:val="22"/>
          <w:lang w:eastAsia="en-AU"/>
        </w:rPr>
        <w:t xml:space="preserve"> Act</w:t>
      </w:r>
      <w:r w:rsidRPr="00B16E6B">
        <w:rPr>
          <w:rFonts w:eastAsia="Times New Roman" w:cs="Arial"/>
          <w:szCs w:val="22"/>
          <w:lang w:eastAsia="en-AU"/>
        </w:rPr>
        <w:t xml:space="preserve">, as demonstrated in </w:t>
      </w:r>
      <w:r w:rsidR="00E2411D" w:rsidRPr="00B16E6B">
        <w:rPr>
          <w:rFonts w:eastAsia="Times New Roman" w:cs="Arial"/>
          <w:szCs w:val="22"/>
          <w:lang w:eastAsia="en-AU"/>
        </w:rPr>
        <w:t>table</w:t>
      </w:r>
      <w:r w:rsidRPr="00B16E6B">
        <w:rPr>
          <w:rFonts w:eastAsia="Times New Roman" w:cs="Arial"/>
          <w:szCs w:val="22"/>
          <w:lang w:eastAsia="en-AU"/>
        </w:rPr>
        <w:t xml:space="preserve"> 2 below. Neither asset class is required to maintain a CIRMP.</w:t>
      </w:r>
      <w:r w:rsidR="00004066" w:rsidRPr="00B16E6B">
        <w:rPr>
          <w:rFonts w:eastAsia="Times New Roman" w:cs="Arial"/>
          <w:szCs w:val="22"/>
          <w:lang w:eastAsia="en-AU"/>
        </w:rPr>
        <w:t xml:space="preserve"> </w:t>
      </w:r>
    </w:p>
    <w:p w14:paraId="68B5CA17" w14:textId="580D3106" w:rsidR="00A32EB4" w:rsidRPr="00B16E6B" w:rsidRDefault="00004066" w:rsidP="009613E1">
      <w:pPr>
        <w:spacing w:after="120" w:line="271" w:lineRule="auto"/>
        <w:textAlignment w:val="baseline"/>
        <w:rPr>
          <w:rFonts w:eastAsia="Times New Roman" w:cs="Arial"/>
          <w:szCs w:val="22"/>
          <w:lang w:eastAsia="en-AU"/>
        </w:rPr>
      </w:pPr>
      <w:r w:rsidRPr="00B16E6B">
        <w:rPr>
          <w:rFonts w:eastAsia="Times New Roman" w:cs="Arial"/>
          <w:szCs w:val="22"/>
          <w:lang w:eastAsia="en-AU"/>
        </w:rPr>
        <w:t xml:space="preserve">The department also administers the SOCI Act. The SOCI Act applies to 11 sectors of critical infrastructure and 22 asset classes, including </w:t>
      </w:r>
      <w:r w:rsidRPr="00B16E6B">
        <w:rPr>
          <w:rFonts w:eastAsia="Arial" w:cs="Arial"/>
          <w:szCs w:val="22"/>
        </w:rPr>
        <w:t>'critical aviation assets’</w:t>
      </w:r>
      <w:r w:rsidR="00735AFD" w:rsidRPr="00B16E6B">
        <w:rPr>
          <w:rFonts w:eastAsia="Arial" w:cs="Arial"/>
          <w:szCs w:val="22"/>
        </w:rPr>
        <w:t xml:space="preserve"> </w:t>
      </w:r>
      <w:r w:rsidRPr="00B16E6B">
        <w:rPr>
          <w:rFonts w:eastAsia="Arial" w:cs="Arial"/>
          <w:szCs w:val="22"/>
        </w:rPr>
        <w:t xml:space="preserve">and ‘critical ports’. The SOCI Act </w:t>
      </w:r>
      <w:r w:rsidRPr="00B16E6B">
        <w:rPr>
          <w:rFonts w:eastAsia="Times New Roman" w:cs="Arial"/>
          <w:szCs w:val="22"/>
          <w:lang w:eastAsia="en-AU"/>
        </w:rPr>
        <w:t xml:space="preserve">aims to strengthen the security and resilience of critical infrastructure. </w:t>
      </w:r>
    </w:p>
    <w:p w14:paraId="2116D42F" w14:textId="77777777" w:rsidR="001973C3" w:rsidRPr="00B16E6B" w:rsidRDefault="00C167F3" w:rsidP="009613E1">
      <w:pPr>
        <w:spacing w:after="60" w:line="271" w:lineRule="auto"/>
        <w:textAlignment w:val="baseline"/>
        <w:rPr>
          <w:rFonts w:ascii="Arial" w:eastAsia="Times New Roman" w:hAnsi="Arial" w:cs="Arial"/>
          <w:b/>
          <w:bCs/>
          <w:i/>
          <w:iCs/>
          <w:color w:val="44546A"/>
          <w:sz w:val="18"/>
          <w:szCs w:val="18"/>
          <w:lang w:eastAsia="en-AU"/>
        </w:rPr>
      </w:pPr>
      <w:r w:rsidRPr="00B16E6B">
        <w:rPr>
          <w:rFonts w:ascii="Arial" w:eastAsia="Times New Roman" w:hAnsi="Arial" w:cs="Arial"/>
          <w:b/>
          <w:bCs/>
          <w:i/>
          <w:iCs/>
          <w:color w:val="44546A"/>
          <w:sz w:val="18"/>
          <w:szCs w:val="18"/>
          <w:lang w:eastAsia="en-AU"/>
        </w:rPr>
        <w:lastRenderedPageBreak/>
        <w:t xml:space="preserve">Table 2: </w:t>
      </w:r>
      <w:r w:rsidRPr="00B16E6B">
        <w:rPr>
          <w:rFonts w:ascii="Arial" w:eastAsia="Times New Roman" w:hAnsi="Arial" w:cs="Arial"/>
          <w:bCs/>
          <w:i/>
          <w:iCs/>
          <w:color w:val="44546A"/>
          <w:sz w:val="18"/>
          <w:szCs w:val="18"/>
          <w:lang w:eastAsia="en-AU"/>
        </w:rPr>
        <w:t>Transport Security</w:t>
      </w:r>
      <w:r w:rsidR="001973C3" w:rsidRPr="00B16E6B">
        <w:rPr>
          <w:rFonts w:ascii="Arial" w:eastAsia="Times New Roman" w:hAnsi="Arial" w:cs="Arial"/>
          <w:bCs/>
          <w:i/>
          <w:iCs/>
          <w:color w:val="44546A"/>
          <w:sz w:val="18"/>
          <w:szCs w:val="18"/>
          <w:lang w:eastAsia="en-AU"/>
        </w:rPr>
        <w:t xml:space="preserve"> obligations under the SOCI Act</w:t>
      </w:r>
    </w:p>
    <w:tbl>
      <w:tblPr>
        <w:tblW w:w="9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845"/>
        <w:gridCol w:w="1845"/>
        <w:gridCol w:w="1845"/>
        <w:gridCol w:w="1845"/>
      </w:tblGrid>
      <w:tr w:rsidR="00C167F3" w:rsidRPr="00B16E6B" w14:paraId="6EA53983" w14:textId="77777777" w:rsidTr="00D82EEB">
        <w:trPr>
          <w:trHeight w:val="900"/>
        </w:trPr>
        <w:tc>
          <w:tcPr>
            <w:tcW w:w="1845" w:type="dxa"/>
            <w:tcBorders>
              <w:top w:val="single" w:sz="4" w:space="0" w:color="BFBFBF" w:themeColor="background2" w:themeShade="BF"/>
              <w:left w:val="nil"/>
              <w:bottom w:val="single" w:sz="6" w:space="0" w:color="D9D9D9"/>
              <w:right w:val="single" w:sz="6" w:space="0" w:color="D9D9D9"/>
            </w:tcBorders>
            <w:shd w:val="clear" w:color="auto" w:fill="1C2B39" w:themeFill="accent1"/>
            <w:vAlign w:val="center"/>
            <w:hideMark/>
          </w:tcPr>
          <w:p w14:paraId="03D6E446" w14:textId="77777777" w:rsidR="00C167F3" w:rsidRPr="00B16E6B" w:rsidRDefault="00C167F3" w:rsidP="009613E1">
            <w:pPr>
              <w:spacing w:before="120" w:after="120" w:line="271" w:lineRule="auto"/>
              <w:jc w:val="center"/>
              <w:textAlignment w:val="baseline"/>
              <w:rPr>
                <w:rFonts w:ascii="Times New Roman" w:eastAsia="Times New Roman" w:hAnsi="Times New Roman" w:cs="Times New Roman"/>
                <w:b/>
                <w:bCs/>
                <w:sz w:val="20"/>
                <w:szCs w:val="20"/>
                <w:lang w:eastAsia="en-AU"/>
              </w:rPr>
            </w:pPr>
            <w:r w:rsidRPr="00B16E6B">
              <w:rPr>
                <w:rFonts w:ascii="Arial" w:eastAsia="Times New Roman" w:hAnsi="Arial" w:cs="Arial"/>
                <w:b/>
                <w:sz w:val="20"/>
                <w:szCs w:val="20"/>
                <w:lang w:eastAsia="en-AU"/>
              </w:rPr>
              <w:t>Asset</w:t>
            </w:r>
            <w:r w:rsidRPr="00B16E6B">
              <w:rPr>
                <w:rFonts w:ascii="Arial" w:eastAsia="Times New Roman" w:hAnsi="Arial" w:cs="Arial"/>
                <w:b/>
                <w:bCs/>
                <w:sz w:val="20"/>
                <w:szCs w:val="20"/>
                <w:lang w:eastAsia="en-AU"/>
              </w:rPr>
              <w:t> </w:t>
            </w:r>
          </w:p>
        </w:tc>
        <w:tc>
          <w:tcPr>
            <w:tcW w:w="1845" w:type="dxa"/>
            <w:tcBorders>
              <w:top w:val="single" w:sz="4" w:space="0" w:color="BFBFBF" w:themeColor="background2" w:themeShade="BF"/>
              <w:left w:val="single" w:sz="6" w:space="0" w:color="D9D9D9"/>
              <w:bottom w:val="single" w:sz="6" w:space="0" w:color="D9D9D9"/>
              <w:right w:val="single" w:sz="6" w:space="0" w:color="D9D9D9"/>
            </w:tcBorders>
            <w:shd w:val="clear" w:color="auto" w:fill="1C2B39" w:themeFill="accent1"/>
            <w:vAlign w:val="center"/>
            <w:hideMark/>
          </w:tcPr>
          <w:p w14:paraId="65FFF2B2" w14:textId="77777777" w:rsidR="00C167F3" w:rsidRPr="00B16E6B" w:rsidRDefault="00C167F3" w:rsidP="009613E1">
            <w:pPr>
              <w:spacing w:before="120" w:after="120" w:line="271" w:lineRule="auto"/>
              <w:jc w:val="center"/>
              <w:textAlignment w:val="baseline"/>
              <w:rPr>
                <w:rFonts w:ascii="Times New Roman" w:eastAsia="Times New Roman" w:hAnsi="Times New Roman" w:cs="Times New Roman"/>
                <w:b/>
                <w:bCs/>
                <w:sz w:val="20"/>
                <w:szCs w:val="20"/>
                <w:lang w:eastAsia="en-AU"/>
              </w:rPr>
            </w:pPr>
            <w:r w:rsidRPr="00B16E6B">
              <w:rPr>
                <w:rFonts w:ascii="Arial" w:eastAsia="Times New Roman" w:hAnsi="Arial" w:cs="Arial"/>
                <w:b/>
                <w:sz w:val="20"/>
                <w:szCs w:val="20"/>
                <w:lang w:eastAsia="en-AU"/>
              </w:rPr>
              <w:t>Register of critical infrastructure assets</w:t>
            </w:r>
            <w:r w:rsidRPr="00B16E6B">
              <w:rPr>
                <w:rFonts w:ascii="Arial" w:eastAsia="Times New Roman" w:hAnsi="Arial" w:cs="Arial"/>
                <w:b/>
                <w:bCs/>
                <w:sz w:val="20"/>
                <w:szCs w:val="20"/>
                <w:lang w:eastAsia="en-AU"/>
              </w:rPr>
              <w:t> </w:t>
            </w:r>
          </w:p>
        </w:tc>
        <w:tc>
          <w:tcPr>
            <w:tcW w:w="1845" w:type="dxa"/>
            <w:tcBorders>
              <w:top w:val="single" w:sz="4" w:space="0" w:color="BFBFBF" w:themeColor="background2" w:themeShade="BF"/>
              <w:left w:val="single" w:sz="6" w:space="0" w:color="D9D9D9"/>
              <w:bottom w:val="single" w:sz="6" w:space="0" w:color="D9D9D9"/>
              <w:right w:val="single" w:sz="6" w:space="0" w:color="D9D9D9"/>
            </w:tcBorders>
            <w:shd w:val="clear" w:color="auto" w:fill="1C2B39" w:themeFill="accent1"/>
            <w:vAlign w:val="center"/>
            <w:hideMark/>
          </w:tcPr>
          <w:p w14:paraId="270E8962" w14:textId="77777777" w:rsidR="00C167F3" w:rsidRPr="00B16E6B" w:rsidRDefault="00C167F3" w:rsidP="009613E1">
            <w:pPr>
              <w:spacing w:before="120" w:after="120" w:line="271" w:lineRule="auto"/>
              <w:jc w:val="center"/>
              <w:textAlignment w:val="baseline"/>
              <w:rPr>
                <w:rFonts w:ascii="Times New Roman" w:eastAsia="Times New Roman" w:hAnsi="Times New Roman" w:cs="Times New Roman"/>
                <w:b/>
                <w:bCs/>
                <w:sz w:val="20"/>
                <w:szCs w:val="20"/>
                <w:lang w:eastAsia="en-AU"/>
              </w:rPr>
            </w:pPr>
            <w:r w:rsidRPr="00B16E6B">
              <w:rPr>
                <w:rFonts w:ascii="Arial" w:eastAsia="Times New Roman" w:hAnsi="Arial" w:cs="Arial"/>
                <w:b/>
                <w:sz w:val="20"/>
                <w:szCs w:val="20"/>
                <w:lang w:eastAsia="en-AU"/>
              </w:rPr>
              <w:t>Obligation to report cyber incidents</w:t>
            </w:r>
            <w:r w:rsidRPr="00B16E6B">
              <w:rPr>
                <w:rFonts w:ascii="Arial" w:eastAsia="Times New Roman" w:hAnsi="Arial" w:cs="Arial"/>
                <w:b/>
                <w:bCs/>
                <w:sz w:val="20"/>
                <w:szCs w:val="20"/>
                <w:lang w:eastAsia="en-AU"/>
              </w:rPr>
              <w:t> </w:t>
            </w:r>
          </w:p>
        </w:tc>
        <w:tc>
          <w:tcPr>
            <w:tcW w:w="1845" w:type="dxa"/>
            <w:tcBorders>
              <w:top w:val="single" w:sz="4" w:space="0" w:color="BFBFBF" w:themeColor="background2" w:themeShade="BF"/>
              <w:left w:val="single" w:sz="6" w:space="0" w:color="D9D9D9"/>
              <w:bottom w:val="single" w:sz="6" w:space="0" w:color="D9D9D9"/>
              <w:right w:val="single" w:sz="6" w:space="0" w:color="D9D9D9"/>
            </w:tcBorders>
            <w:shd w:val="clear" w:color="auto" w:fill="1C2B39" w:themeFill="accent1"/>
            <w:vAlign w:val="center"/>
            <w:hideMark/>
          </w:tcPr>
          <w:p w14:paraId="73B92B99" w14:textId="77777777" w:rsidR="00C167F3" w:rsidRPr="00B16E6B" w:rsidRDefault="00C167F3" w:rsidP="009613E1">
            <w:pPr>
              <w:spacing w:before="120" w:after="120" w:line="271" w:lineRule="auto"/>
              <w:jc w:val="center"/>
              <w:textAlignment w:val="baseline"/>
              <w:rPr>
                <w:rFonts w:ascii="Times New Roman" w:eastAsia="Times New Roman" w:hAnsi="Times New Roman" w:cs="Times New Roman"/>
                <w:b/>
                <w:bCs/>
                <w:sz w:val="20"/>
                <w:szCs w:val="20"/>
                <w:lang w:eastAsia="en-AU"/>
              </w:rPr>
            </w:pPr>
            <w:r w:rsidRPr="00B16E6B">
              <w:rPr>
                <w:rFonts w:ascii="Arial" w:eastAsia="Times New Roman" w:hAnsi="Arial" w:cs="Arial"/>
                <w:b/>
                <w:sz w:val="20"/>
                <w:szCs w:val="20"/>
                <w:lang w:eastAsia="en-AU"/>
              </w:rPr>
              <w:t>Obligation to develop a CIRMP</w:t>
            </w:r>
            <w:r w:rsidRPr="00B16E6B">
              <w:rPr>
                <w:rFonts w:ascii="Arial" w:eastAsia="Times New Roman" w:hAnsi="Arial" w:cs="Arial"/>
                <w:b/>
                <w:bCs/>
                <w:sz w:val="20"/>
                <w:szCs w:val="20"/>
                <w:lang w:eastAsia="en-AU"/>
              </w:rPr>
              <w:t> </w:t>
            </w:r>
          </w:p>
        </w:tc>
        <w:tc>
          <w:tcPr>
            <w:tcW w:w="1845" w:type="dxa"/>
            <w:tcBorders>
              <w:top w:val="single" w:sz="4" w:space="0" w:color="BFBFBF" w:themeColor="background2" w:themeShade="BF"/>
              <w:left w:val="single" w:sz="6" w:space="0" w:color="D9D9D9"/>
              <w:bottom w:val="single" w:sz="6" w:space="0" w:color="D9D9D9"/>
              <w:right w:val="nil"/>
            </w:tcBorders>
            <w:shd w:val="clear" w:color="auto" w:fill="1C2B39" w:themeFill="accent1"/>
            <w:vAlign w:val="center"/>
            <w:hideMark/>
          </w:tcPr>
          <w:p w14:paraId="21CA72DC" w14:textId="77777777" w:rsidR="00C167F3" w:rsidRPr="00B16E6B" w:rsidRDefault="00C167F3" w:rsidP="009613E1">
            <w:pPr>
              <w:spacing w:before="120" w:after="120" w:line="271" w:lineRule="auto"/>
              <w:jc w:val="center"/>
              <w:textAlignment w:val="baseline"/>
              <w:rPr>
                <w:rFonts w:ascii="Times New Roman" w:eastAsia="Times New Roman" w:hAnsi="Times New Roman" w:cs="Times New Roman"/>
                <w:b/>
                <w:bCs/>
                <w:sz w:val="20"/>
                <w:szCs w:val="20"/>
                <w:lang w:eastAsia="en-AU"/>
              </w:rPr>
            </w:pPr>
            <w:r w:rsidRPr="00B16E6B">
              <w:rPr>
                <w:rFonts w:ascii="Arial" w:eastAsia="Times New Roman" w:hAnsi="Arial" w:cs="Arial"/>
                <w:b/>
                <w:sz w:val="20"/>
                <w:szCs w:val="20"/>
                <w:lang w:eastAsia="en-AU"/>
              </w:rPr>
              <w:t>Obligation to notify data service providers</w:t>
            </w:r>
            <w:r w:rsidRPr="00B16E6B">
              <w:rPr>
                <w:rFonts w:ascii="Arial" w:eastAsia="Times New Roman" w:hAnsi="Arial" w:cs="Arial"/>
                <w:b/>
                <w:bCs/>
                <w:sz w:val="20"/>
                <w:szCs w:val="20"/>
                <w:lang w:eastAsia="en-AU"/>
              </w:rPr>
              <w:t> </w:t>
            </w:r>
          </w:p>
        </w:tc>
      </w:tr>
      <w:tr w:rsidR="00C167F3" w:rsidRPr="00B16E6B" w14:paraId="3E64C9A8" w14:textId="77777777" w:rsidTr="00D82EEB">
        <w:trPr>
          <w:trHeight w:val="300"/>
        </w:trPr>
        <w:tc>
          <w:tcPr>
            <w:tcW w:w="1845" w:type="dxa"/>
            <w:tcBorders>
              <w:top w:val="single" w:sz="6" w:space="0" w:color="D9D9D9"/>
              <w:left w:val="nil"/>
              <w:bottom w:val="single" w:sz="6" w:space="0" w:color="D9D9D9"/>
              <w:right w:val="single" w:sz="6" w:space="0" w:color="D9D9D9"/>
            </w:tcBorders>
            <w:shd w:val="clear" w:color="auto" w:fill="F2F2F2"/>
            <w:vAlign w:val="center"/>
            <w:hideMark/>
          </w:tcPr>
          <w:p w14:paraId="539C3D64" w14:textId="112E91D2" w:rsidR="00C167F3" w:rsidRPr="00B16E6B" w:rsidRDefault="00C167F3" w:rsidP="009613E1">
            <w:pPr>
              <w:spacing w:before="240" w:after="120" w:line="271" w:lineRule="auto"/>
              <w:textAlignment w:val="baseline"/>
              <w:rPr>
                <w:rFonts w:ascii="Times New Roman" w:eastAsia="Times New Roman" w:hAnsi="Times New Roman" w:cs="Times New Roman"/>
                <w:b/>
                <w:bCs/>
                <w:sz w:val="20"/>
                <w:szCs w:val="20"/>
                <w:lang w:eastAsia="en-AU"/>
              </w:rPr>
            </w:pPr>
            <w:r w:rsidRPr="00B16E6B">
              <w:rPr>
                <w:rFonts w:ascii="Arial" w:eastAsia="Times New Roman" w:hAnsi="Arial" w:cs="Arial"/>
                <w:b/>
                <w:sz w:val="20"/>
                <w:szCs w:val="20"/>
                <w:lang w:eastAsia="en-AU"/>
              </w:rPr>
              <w:t xml:space="preserve">Critical </w:t>
            </w:r>
            <w:r w:rsidR="004F0A9C" w:rsidRPr="00B16E6B">
              <w:rPr>
                <w:rFonts w:ascii="Arial" w:eastAsia="Times New Roman" w:hAnsi="Arial" w:cs="Arial"/>
                <w:b/>
                <w:sz w:val="20"/>
                <w:szCs w:val="20"/>
                <w:lang w:eastAsia="en-AU"/>
              </w:rPr>
              <w:t>a</w:t>
            </w:r>
            <w:r w:rsidR="00501BB7" w:rsidRPr="00B16E6B">
              <w:rPr>
                <w:rFonts w:ascii="Arial" w:eastAsia="Times New Roman" w:hAnsi="Arial" w:cs="Arial"/>
                <w:b/>
                <w:sz w:val="20"/>
                <w:szCs w:val="20"/>
                <w:lang w:eastAsia="en-AU"/>
              </w:rPr>
              <w:t>viation a</w:t>
            </w:r>
            <w:r w:rsidRPr="00B16E6B">
              <w:rPr>
                <w:rFonts w:ascii="Arial" w:eastAsia="Times New Roman" w:hAnsi="Arial" w:cs="Arial"/>
                <w:b/>
                <w:sz w:val="20"/>
                <w:szCs w:val="20"/>
                <w:lang w:eastAsia="en-AU"/>
              </w:rPr>
              <w:t>ssets</w:t>
            </w:r>
            <w:r w:rsidRPr="00B16E6B">
              <w:rPr>
                <w:rFonts w:ascii="Arial" w:eastAsia="Times New Roman" w:hAnsi="Arial" w:cs="Arial"/>
                <w:b/>
                <w:bCs/>
                <w:sz w:val="20"/>
                <w:szCs w:val="20"/>
                <w:lang w:eastAsia="en-AU"/>
              </w:rPr>
              <w:t> </w:t>
            </w:r>
          </w:p>
        </w:tc>
        <w:tc>
          <w:tcPr>
            <w:tcW w:w="1845" w:type="dxa"/>
            <w:tcBorders>
              <w:top w:val="single" w:sz="6" w:space="0" w:color="D9D9D9"/>
              <w:left w:val="single" w:sz="6" w:space="0" w:color="D9D9D9"/>
              <w:bottom w:val="single" w:sz="6" w:space="0" w:color="D9D9D9"/>
              <w:right w:val="single" w:sz="6" w:space="0" w:color="D9D9D9"/>
            </w:tcBorders>
            <w:shd w:val="clear" w:color="auto" w:fill="FFFFFF" w:themeFill="background1"/>
            <w:hideMark/>
          </w:tcPr>
          <w:p w14:paraId="2BEC0743" w14:textId="77777777" w:rsidR="00C167F3" w:rsidRPr="00B16E6B" w:rsidRDefault="00C167F3" w:rsidP="009613E1">
            <w:pPr>
              <w:spacing w:before="240" w:after="120" w:line="271" w:lineRule="auto"/>
              <w:jc w:val="center"/>
              <w:textAlignment w:val="baseline"/>
              <w:rPr>
                <w:rFonts w:ascii="Times New Roman" w:eastAsia="Times New Roman" w:hAnsi="Times New Roman" w:cs="Times New Roman"/>
                <w:sz w:val="20"/>
                <w:szCs w:val="20"/>
                <w:lang w:eastAsia="en-AU"/>
              </w:rPr>
            </w:pPr>
            <w:r w:rsidRPr="00B16E6B">
              <w:rPr>
                <w:rFonts w:ascii="Arial" w:eastAsia="Times New Roman" w:hAnsi="Arial" w:cs="Arial"/>
                <w:sz w:val="20"/>
                <w:szCs w:val="20"/>
                <w:lang w:val="en-US" w:eastAsia="en-AU"/>
              </w:rPr>
              <w:t> </w:t>
            </w:r>
            <w:r w:rsidRPr="00B16E6B">
              <w:rPr>
                <w:rFonts w:ascii="Arial" w:eastAsia="Times New Roman" w:hAnsi="Arial" w:cs="Arial"/>
                <w:sz w:val="20"/>
                <w:szCs w:val="20"/>
                <w:lang w:eastAsia="en-AU"/>
              </w:rPr>
              <w:t> </w:t>
            </w:r>
          </w:p>
        </w:tc>
        <w:tc>
          <w:tcPr>
            <w:tcW w:w="1845" w:type="dxa"/>
            <w:tcBorders>
              <w:top w:val="single" w:sz="6" w:space="0" w:color="D9D9D9"/>
              <w:left w:val="single" w:sz="6" w:space="0" w:color="D9D9D9"/>
              <w:bottom w:val="single" w:sz="6" w:space="0" w:color="D9D9D9"/>
              <w:right w:val="single" w:sz="6" w:space="0" w:color="D9D9D9"/>
            </w:tcBorders>
            <w:shd w:val="clear" w:color="auto" w:fill="FFFFFF" w:themeFill="background1"/>
            <w:hideMark/>
          </w:tcPr>
          <w:p w14:paraId="18DF5854" w14:textId="77777777" w:rsidR="00C167F3" w:rsidRPr="00B16E6B" w:rsidRDefault="00C167F3" w:rsidP="009613E1">
            <w:pPr>
              <w:spacing w:before="240" w:after="120" w:line="271" w:lineRule="auto"/>
              <w:jc w:val="center"/>
              <w:textAlignment w:val="baseline"/>
              <w:rPr>
                <w:rFonts w:ascii="Times New Roman" w:eastAsia="Times New Roman" w:hAnsi="Times New Roman" w:cs="Times New Roman"/>
                <w:sz w:val="20"/>
                <w:szCs w:val="20"/>
                <w:lang w:eastAsia="en-AU"/>
              </w:rPr>
            </w:pPr>
            <w:r w:rsidRPr="00B16E6B">
              <w:rPr>
                <w:rFonts w:ascii="Segoe UI Symbol" w:eastAsia="Times New Roman" w:hAnsi="Segoe UI Symbol" w:cs="Times New Roman"/>
                <w:sz w:val="20"/>
                <w:szCs w:val="20"/>
                <w:lang w:eastAsia="en-AU"/>
              </w:rPr>
              <w:t>✓</w:t>
            </w:r>
            <w:r w:rsidR="0051407D" w:rsidRPr="00B16E6B">
              <w:rPr>
                <w:rStyle w:val="FootnoteReference"/>
                <w:rFonts w:ascii="Segoe UI Symbol" w:eastAsia="Times New Roman" w:hAnsi="Segoe UI Symbol" w:cs="Times New Roman"/>
                <w:sz w:val="20"/>
                <w:szCs w:val="20"/>
                <w:lang w:eastAsia="en-AU"/>
              </w:rPr>
              <w:footnoteReference w:id="4"/>
            </w:r>
            <w:r w:rsidRPr="00B16E6B">
              <w:rPr>
                <w:rFonts w:ascii="Arial" w:eastAsia="Times New Roman" w:hAnsi="Arial" w:cs="Arial"/>
                <w:sz w:val="20"/>
                <w:szCs w:val="20"/>
                <w:lang w:val="en-US" w:eastAsia="en-AU"/>
              </w:rPr>
              <w:t> </w:t>
            </w:r>
            <w:r w:rsidRPr="00B16E6B">
              <w:rPr>
                <w:rFonts w:ascii="Arial" w:eastAsia="Times New Roman" w:hAnsi="Arial" w:cs="Arial"/>
                <w:sz w:val="20"/>
                <w:szCs w:val="20"/>
                <w:lang w:eastAsia="en-AU"/>
              </w:rPr>
              <w:t> </w:t>
            </w:r>
          </w:p>
        </w:tc>
        <w:tc>
          <w:tcPr>
            <w:tcW w:w="1845" w:type="dxa"/>
            <w:tcBorders>
              <w:top w:val="single" w:sz="6" w:space="0" w:color="D9D9D9"/>
              <w:left w:val="single" w:sz="6" w:space="0" w:color="D9D9D9"/>
              <w:bottom w:val="single" w:sz="6" w:space="0" w:color="D9D9D9"/>
              <w:right w:val="single" w:sz="6" w:space="0" w:color="D9D9D9"/>
            </w:tcBorders>
            <w:shd w:val="clear" w:color="auto" w:fill="FFFFFF" w:themeFill="background1"/>
            <w:hideMark/>
          </w:tcPr>
          <w:p w14:paraId="4B4C50D4" w14:textId="77777777" w:rsidR="00C167F3" w:rsidRPr="00B16E6B" w:rsidRDefault="00C167F3" w:rsidP="009613E1">
            <w:pPr>
              <w:spacing w:before="240" w:after="120" w:line="271" w:lineRule="auto"/>
              <w:jc w:val="center"/>
              <w:textAlignment w:val="baseline"/>
              <w:rPr>
                <w:rFonts w:ascii="Times New Roman" w:eastAsia="Times New Roman" w:hAnsi="Times New Roman" w:cs="Times New Roman"/>
                <w:sz w:val="20"/>
                <w:szCs w:val="20"/>
                <w:lang w:eastAsia="en-AU"/>
              </w:rPr>
            </w:pPr>
            <w:r w:rsidRPr="00B16E6B">
              <w:rPr>
                <w:rFonts w:ascii="Arial" w:eastAsia="Times New Roman" w:hAnsi="Arial" w:cs="Arial"/>
                <w:sz w:val="20"/>
                <w:szCs w:val="20"/>
                <w:lang w:eastAsia="en-AU"/>
              </w:rPr>
              <w:t>  </w:t>
            </w:r>
          </w:p>
        </w:tc>
        <w:tc>
          <w:tcPr>
            <w:tcW w:w="1845" w:type="dxa"/>
            <w:tcBorders>
              <w:top w:val="single" w:sz="6" w:space="0" w:color="D9D9D9"/>
              <w:left w:val="single" w:sz="6" w:space="0" w:color="D9D9D9"/>
              <w:bottom w:val="single" w:sz="6" w:space="0" w:color="D9D9D9"/>
              <w:right w:val="nil"/>
            </w:tcBorders>
            <w:shd w:val="clear" w:color="auto" w:fill="FFFFFF" w:themeFill="background1"/>
            <w:hideMark/>
          </w:tcPr>
          <w:p w14:paraId="49C5A557" w14:textId="77777777" w:rsidR="00C167F3" w:rsidRPr="00B16E6B" w:rsidRDefault="00C167F3" w:rsidP="009613E1">
            <w:pPr>
              <w:spacing w:before="240" w:after="120" w:line="271" w:lineRule="auto"/>
              <w:jc w:val="center"/>
              <w:textAlignment w:val="baseline"/>
              <w:rPr>
                <w:rFonts w:ascii="Times New Roman" w:eastAsia="Times New Roman" w:hAnsi="Times New Roman" w:cs="Times New Roman"/>
                <w:sz w:val="20"/>
                <w:szCs w:val="20"/>
                <w:lang w:eastAsia="en-AU"/>
              </w:rPr>
            </w:pPr>
            <w:r w:rsidRPr="00B16E6B">
              <w:rPr>
                <w:rFonts w:ascii="Segoe UI Symbol" w:eastAsia="Times New Roman" w:hAnsi="Segoe UI Symbol" w:cs="Times New Roman"/>
                <w:sz w:val="20"/>
                <w:szCs w:val="20"/>
                <w:lang w:eastAsia="en-AU"/>
              </w:rPr>
              <w:t>✓</w:t>
            </w:r>
            <w:r w:rsidRPr="00B16E6B">
              <w:rPr>
                <w:rFonts w:ascii="Arial" w:eastAsia="Times New Roman" w:hAnsi="Arial" w:cs="Arial"/>
                <w:sz w:val="20"/>
                <w:szCs w:val="20"/>
                <w:lang w:val="en-US" w:eastAsia="en-AU"/>
              </w:rPr>
              <w:t> </w:t>
            </w:r>
            <w:r w:rsidRPr="00B16E6B">
              <w:rPr>
                <w:rFonts w:ascii="Arial" w:eastAsia="Times New Roman" w:hAnsi="Arial" w:cs="Arial"/>
                <w:sz w:val="20"/>
                <w:szCs w:val="20"/>
                <w:lang w:eastAsia="en-AU"/>
              </w:rPr>
              <w:t> </w:t>
            </w:r>
          </w:p>
        </w:tc>
      </w:tr>
      <w:tr w:rsidR="00C167F3" w:rsidRPr="00B16E6B" w14:paraId="2BD93102" w14:textId="77777777" w:rsidTr="00D82EEB">
        <w:trPr>
          <w:trHeight w:val="555"/>
        </w:trPr>
        <w:tc>
          <w:tcPr>
            <w:tcW w:w="1845" w:type="dxa"/>
            <w:tcBorders>
              <w:top w:val="single" w:sz="6" w:space="0" w:color="D9D9D9"/>
              <w:left w:val="nil"/>
              <w:bottom w:val="single" w:sz="4" w:space="0" w:color="BFBFBF" w:themeColor="background2" w:themeShade="BF"/>
              <w:right w:val="single" w:sz="6" w:space="0" w:color="D9D9D9"/>
            </w:tcBorders>
            <w:shd w:val="clear" w:color="auto" w:fill="F2F2F2"/>
            <w:vAlign w:val="center"/>
            <w:hideMark/>
          </w:tcPr>
          <w:p w14:paraId="3B98FDB6" w14:textId="77777777" w:rsidR="00C167F3" w:rsidRPr="00B16E6B" w:rsidRDefault="00C167F3" w:rsidP="009613E1">
            <w:pPr>
              <w:spacing w:before="240" w:after="120" w:line="271" w:lineRule="auto"/>
              <w:textAlignment w:val="baseline"/>
              <w:rPr>
                <w:rFonts w:ascii="Times New Roman" w:eastAsia="Times New Roman" w:hAnsi="Times New Roman" w:cs="Times New Roman"/>
                <w:b/>
                <w:bCs/>
                <w:sz w:val="20"/>
                <w:szCs w:val="20"/>
                <w:lang w:eastAsia="en-AU"/>
              </w:rPr>
            </w:pPr>
            <w:r w:rsidRPr="00B16E6B">
              <w:rPr>
                <w:rFonts w:ascii="Arial" w:eastAsia="Times New Roman" w:hAnsi="Arial" w:cs="Arial"/>
                <w:b/>
                <w:sz w:val="20"/>
                <w:szCs w:val="20"/>
                <w:lang w:eastAsia="en-AU"/>
              </w:rPr>
              <w:t xml:space="preserve">Critical </w:t>
            </w:r>
            <w:r w:rsidR="004F0A9C" w:rsidRPr="00B16E6B">
              <w:rPr>
                <w:rFonts w:ascii="Arial" w:eastAsia="Times New Roman" w:hAnsi="Arial" w:cs="Arial"/>
                <w:b/>
                <w:sz w:val="20"/>
                <w:szCs w:val="20"/>
                <w:lang w:eastAsia="en-AU"/>
              </w:rPr>
              <w:t>p</w:t>
            </w:r>
            <w:r w:rsidRPr="00B16E6B">
              <w:rPr>
                <w:rFonts w:ascii="Arial" w:eastAsia="Times New Roman" w:hAnsi="Arial" w:cs="Arial"/>
                <w:b/>
                <w:sz w:val="20"/>
                <w:szCs w:val="20"/>
                <w:lang w:eastAsia="en-AU"/>
              </w:rPr>
              <w:t>orts</w:t>
            </w:r>
            <w:r w:rsidRPr="00B16E6B">
              <w:rPr>
                <w:rFonts w:ascii="Arial" w:eastAsia="Times New Roman" w:hAnsi="Arial" w:cs="Arial"/>
                <w:b/>
                <w:bCs/>
                <w:sz w:val="20"/>
                <w:szCs w:val="20"/>
                <w:lang w:eastAsia="en-AU"/>
              </w:rPr>
              <w:t> </w:t>
            </w:r>
          </w:p>
        </w:tc>
        <w:tc>
          <w:tcPr>
            <w:tcW w:w="1845" w:type="dxa"/>
            <w:tcBorders>
              <w:top w:val="single" w:sz="6" w:space="0" w:color="D9D9D9"/>
              <w:left w:val="single" w:sz="6" w:space="0" w:color="D9D9D9"/>
              <w:bottom w:val="single" w:sz="4" w:space="0" w:color="BFBFBF" w:themeColor="background2" w:themeShade="BF"/>
              <w:right w:val="single" w:sz="6" w:space="0" w:color="D9D9D9"/>
            </w:tcBorders>
            <w:shd w:val="clear" w:color="auto" w:fill="FFFFFF" w:themeFill="background1"/>
            <w:hideMark/>
          </w:tcPr>
          <w:p w14:paraId="7749F420" w14:textId="77777777" w:rsidR="00C167F3" w:rsidRPr="00B16E6B" w:rsidRDefault="00C167F3" w:rsidP="009613E1">
            <w:pPr>
              <w:spacing w:before="240" w:after="120" w:line="271" w:lineRule="auto"/>
              <w:jc w:val="center"/>
              <w:textAlignment w:val="baseline"/>
              <w:rPr>
                <w:rFonts w:ascii="Times New Roman" w:eastAsia="Times New Roman" w:hAnsi="Times New Roman" w:cs="Times New Roman"/>
                <w:sz w:val="20"/>
                <w:szCs w:val="20"/>
                <w:lang w:eastAsia="en-AU"/>
              </w:rPr>
            </w:pPr>
            <w:r w:rsidRPr="00B16E6B">
              <w:rPr>
                <w:rFonts w:ascii="Segoe UI Symbol" w:eastAsia="Times New Roman" w:hAnsi="Segoe UI Symbol" w:cs="Times New Roman"/>
                <w:sz w:val="20"/>
                <w:szCs w:val="20"/>
                <w:lang w:eastAsia="en-AU"/>
              </w:rPr>
              <w:t>✓</w:t>
            </w:r>
            <w:r w:rsidRPr="00B16E6B">
              <w:rPr>
                <w:rFonts w:ascii="Arial" w:eastAsia="Times New Roman" w:hAnsi="Arial" w:cs="Arial"/>
                <w:sz w:val="20"/>
                <w:szCs w:val="20"/>
                <w:lang w:val="en-US" w:eastAsia="en-AU"/>
              </w:rPr>
              <w:t> </w:t>
            </w:r>
            <w:r w:rsidRPr="00B16E6B">
              <w:rPr>
                <w:rFonts w:ascii="Arial" w:eastAsia="Times New Roman" w:hAnsi="Arial" w:cs="Arial"/>
                <w:sz w:val="20"/>
                <w:szCs w:val="20"/>
                <w:lang w:eastAsia="en-AU"/>
              </w:rPr>
              <w:t> </w:t>
            </w:r>
          </w:p>
        </w:tc>
        <w:tc>
          <w:tcPr>
            <w:tcW w:w="1845" w:type="dxa"/>
            <w:tcBorders>
              <w:top w:val="single" w:sz="6" w:space="0" w:color="D9D9D9"/>
              <w:left w:val="single" w:sz="6" w:space="0" w:color="D9D9D9"/>
              <w:bottom w:val="single" w:sz="4" w:space="0" w:color="BFBFBF" w:themeColor="background2" w:themeShade="BF"/>
              <w:right w:val="single" w:sz="6" w:space="0" w:color="D9D9D9"/>
            </w:tcBorders>
            <w:shd w:val="clear" w:color="auto" w:fill="FFFFFF" w:themeFill="background1"/>
            <w:hideMark/>
          </w:tcPr>
          <w:p w14:paraId="6B2754A0" w14:textId="77777777" w:rsidR="00C167F3" w:rsidRPr="00B16E6B" w:rsidRDefault="00C167F3" w:rsidP="009613E1">
            <w:pPr>
              <w:spacing w:before="240" w:after="120" w:line="271" w:lineRule="auto"/>
              <w:jc w:val="center"/>
              <w:textAlignment w:val="baseline"/>
              <w:rPr>
                <w:rFonts w:ascii="Times New Roman" w:eastAsia="Times New Roman" w:hAnsi="Times New Roman" w:cs="Times New Roman"/>
                <w:sz w:val="20"/>
                <w:szCs w:val="20"/>
                <w:lang w:eastAsia="en-AU"/>
              </w:rPr>
            </w:pPr>
            <w:r w:rsidRPr="00B16E6B">
              <w:rPr>
                <w:rFonts w:ascii="Segoe UI Symbol" w:eastAsia="Times New Roman" w:hAnsi="Segoe UI Symbol" w:cs="Times New Roman"/>
                <w:sz w:val="20"/>
                <w:szCs w:val="20"/>
                <w:lang w:eastAsia="en-AU"/>
              </w:rPr>
              <w:t>✓</w:t>
            </w:r>
            <w:r w:rsidRPr="00B16E6B">
              <w:rPr>
                <w:rFonts w:ascii="Arial" w:eastAsia="Times New Roman" w:hAnsi="Arial" w:cs="Arial"/>
                <w:sz w:val="20"/>
                <w:szCs w:val="20"/>
                <w:lang w:eastAsia="en-AU"/>
              </w:rPr>
              <w:t>  </w:t>
            </w:r>
          </w:p>
        </w:tc>
        <w:tc>
          <w:tcPr>
            <w:tcW w:w="1845" w:type="dxa"/>
            <w:tcBorders>
              <w:top w:val="single" w:sz="6" w:space="0" w:color="D9D9D9"/>
              <w:left w:val="single" w:sz="6" w:space="0" w:color="D9D9D9"/>
              <w:bottom w:val="single" w:sz="4" w:space="0" w:color="BFBFBF" w:themeColor="background2" w:themeShade="BF"/>
              <w:right w:val="single" w:sz="6" w:space="0" w:color="D9D9D9"/>
            </w:tcBorders>
            <w:shd w:val="clear" w:color="auto" w:fill="FFFFFF" w:themeFill="background1"/>
            <w:hideMark/>
          </w:tcPr>
          <w:p w14:paraId="5EE678A2" w14:textId="77777777" w:rsidR="00C167F3" w:rsidRPr="00B16E6B" w:rsidRDefault="00C167F3" w:rsidP="009613E1">
            <w:pPr>
              <w:spacing w:before="240" w:after="120" w:line="271" w:lineRule="auto"/>
              <w:jc w:val="center"/>
              <w:textAlignment w:val="baseline"/>
              <w:rPr>
                <w:rFonts w:ascii="Times New Roman" w:eastAsia="Times New Roman" w:hAnsi="Times New Roman" w:cs="Times New Roman"/>
                <w:sz w:val="20"/>
                <w:szCs w:val="20"/>
                <w:lang w:eastAsia="en-AU"/>
              </w:rPr>
            </w:pPr>
            <w:r w:rsidRPr="00B16E6B">
              <w:rPr>
                <w:rFonts w:ascii="Arial" w:eastAsia="Times New Roman" w:hAnsi="Arial" w:cs="Arial"/>
                <w:sz w:val="20"/>
                <w:szCs w:val="20"/>
                <w:lang w:eastAsia="en-AU"/>
              </w:rPr>
              <w:t>  </w:t>
            </w:r>
          </w:p>
        </w:tc>
        <w:tc>
          <w:tcPr>
            <w:tcW w:w="1845" w:type="dxa"/>
            <w:tcBorders>
              <w:top w:val="single" w:sz="6" w:space="0" w:color="D9D9D9"/>
              <w:left w:val="single" w:sz="6" w:space="0" w:color="D9D9D9"/>
              <w:bottom w:val="single" w:sz="4" w:space="0" w:color="BFBFBF" w:themeColor="background2" w:themeShade="BF"/>
              <w:right w:val="nil"/>
            </w:tcBorders>
            <w:shd w:val="clear" w:color="auto" w:fill="FFFFFF" w:themeFill="background1"/>
            <w:hideMark/>
          </w:tcPr>
          <w:p w14:paraId="4AAEB817" w14:textId="77777777" w:rsidR="00C167F3" w:rsidRPr="00B16E6B" w:rsidRDefault="00C167F3" w:rsidP="009613E1">
            <w:pPr>
              <w:spacing w:before="240" w:after="120" w:line="271" w:lineRule="auto"/>
              <w:jc w:val="center"/>
              <w:textAlignment w:val="baseline"/>
              <w:rPr>
                <w:rFonts w:ascii="Times New Roman" w:eastAsia="Times New Roman" w:hAnsi="Times New Roman" w:cs="Times New Roman"/>
                <w:sz w:val="20"/>
                <w:szCs w:val="20"/>
                <w:lang w:eastAsia="en-AU"/>
              </w:rPr>
            </w:pPr>
            <w:r w:rsidRPr="00B16E6B">
              <w:rPr>
                <w:rFonts w:ascii="Segoe UI Symbol" w:eastAsia="Times New Roman" w:hAnsi="Segoe UI Symbol" w:cs="Times New Roman"/>
                <w:sz w:val="20"/>
                <w:szCs w:val="20"/>
                <w:lang w:eastAsia="en-AU"/>
              </w:rPr>
              <w:t>✓</w:t>
            </w:r>
            <w:r w:rsidRPr="00B16E6B">
              <w:rPr>
                <w:rFonts w:ascii="Arial" w:eastAsia="Times New Roman" w:hAnsi="Arial" w:cs="Arial"/>
                <w:sz w:val="20"/>
                <w:szCs w:val="20"/>
                <w:lang w:val="en-US" w:eastAsia="en-AU"/>
              </w:rPr>
              <w:t> </w:t>
            </w:r>
            <w:r w:rsidRPr="00B16E6B">
              <w:rPr>
                <w:rFonts w:ascii="Arial" w:eastAsia="Times New Roman" w:hAnsi="Arial" w:cs="Arial"/>
                <w:sz w:val="20"/>
                <w:szCs w:val="20"/>
                <w:lang w:eastAsia="en-AU"/>
              </w:rPr>
              <w:t> </w:t>
            </w:r>
          </w:p>
        </w:tc>
      </w:tr>
    </w:tbl>
    <w:p w14:paraId="07EFA059" w14:textId="30A24CFC" w:rsidR="006326A6" w:rsidRPr="00B16E6B" w:rsidRDefault="00501BB7" w:rsidP="00D17A7E">
      <w:pPr>
        <w:spacing w:before="120" w:line="271" w:lineRule="auto"/>
        <w:rPr>
          <w:rFonts w:asciiTheme="majorHAnsi" w:eastAsia="Times New Roman" w:hAnsiTheme="majorHAnsi" w:cs="Arial"/>
          <w:color w:val="004261" w:themeColor="text2"/>
          <w:szCs w:val="22"/>
          <w:lang w:eastAsia="en-AU"/>
        </w:rPr>
      </w:pPr>
      <w:r w:rsidRPr="00B16E6B">
        <w:rPr>
          <w:rFonts w:eastAsia="Times New Roman"/>
          <w:lang w:eastAsia="en-AU"/>
        </w:rPr>
        <w:t xml:space="preserve">Critical aviation assets and critical ports </w:t>
      </w:r>
      <w:r w:rsidR="006326A6" w:rsidRPr="00B16E6B">
        <w:rPr>
          <w:rFonts w:eastAsia="Times New Roman"/>
          <w:lang w:eastAsia="en-AU"/>
        </w:rPr>
        <w:t>are</w:t>
      </w:r>
      <w:r w:rsidR="00D82EEB" w:rsidRPr="00B16E6B">
        <w:rPr>
          <w:rFonts w:eastAsia="Times New Roman"/>
          <w:lang w:eastAsia="en-AU"/>
        </w:rPr>
        <w:t xml:space="preserve"> not subject to the obligation to maintain a CIRMP because of their existing security program obligations under ATSA and MTOFSA</w:t>
      </w:r>
      <w:r w:rsidR="006326A6" w:rsidRPr="00B16E6B">
        <w:rPr>
          <w:rFonts w:eastAsia="Times New Roman"/>
          <w:lang w:eastAsia="en-AU"/>
        </w:rPr>
        <w:t xml:space="preserve"> (with the exception of some critical liquid fuel assets also regulated under MTOFSA)</w:t>
      </w:r>
      <w:r w:rsidR="00D82EEB" w:rsidRPr="00B16E6B">
        <w:rPr>
          <w:rFonts w:eastAsia="Times New Roman"/>
          <w:lang w:eastAsia="en-AU"/>
        </w:rPr>
        <w:t xml:space="preserve">. </w:t>
      </w:r>
      <w:r w:rsidR="000A5F0F" w:rsidRPr="00B16E6B">
        <w:rPr>
          <w:rFonts w:eastAsia="Times New Roman"/>
          <w:lang w:eastAsia="en-AU"/>
        </w:rPr>
        <w:t xml:space="preserve">The security program obligations currently </w:t>
      </w:r>
      <w:r w:rsidR="006326A6" w:rsidRPr="00B16E6B">
        <w:rPr>
          <w:rFonts w:eastAsia="Times New Roman"/>
          <w:lang w:eastAsia="en-AU"/>
        </w:rPr>
        <w:t xml:space="preserve">require greater detail but only </w:t>
      </w:r>
      <w:r w:rsidR="00D82EEB" w:rsidRPr="00B16E6B">
        <w:rPr>
          <w:rFonts w:eastAsia="Times New Roman"/>
          <w:lang w:eastAsia="en-AU"/>
        </w:rPr>
        <w:t>cover physical and personnel security risks</w:t>
      </w:r>
      <w:r w:rsidR="006326A6" w:rsidRPr="00B16E6B">
        <w:rPr>
          <w:rFonts w:eastAsia="Times New Roman"/>
          <w:lang w:eastAsia="en-AU"/>
        </w:rPr>
        <w:t>. T</w:t>
      </w:r>
      <w:r w:rsidR="00D82EEB" w:rsidRPr="00B16E6B">
        <w:rPr>
          <w:rFonts w:eastAsia="Times New Roman"/>
          <w:lang w:eastAsia="en-AU"/>
        </w:rPr>
        <w:t xml:space="preserve">he CIRMP mandates cover the </w:t>
      </w:r>
      <w:r w:rsidR="006326A6" w:rsidRPr="00B16E6B">
        <w:rPr>
          <w:rFonts w:eastAsia="Times New Roman"/>
          <w:lang w:eastAsia="en-AU"/>
        </w:rPr>
        <w:t xml:space="preserve">five </w:t>
      </w:r>
      <w:r w:rsidR="00D82EEB" w:rsidRPr="00B16E6B">
        <w:rPr>
          <w:rFonts w:eastAsia="Times New Roman"/>
          <w:lang w:eastAsia="en-AU"/>
        </w:rPr>
        <w:t xml:space="preserve">all hazard </w:t>
      </w:r>
      <w:r w:rsidR="00DB546B" w:rsidRPr="00B16E6B">
        <w:rPr>
          <w:rFonts w:eastAsia="Times New Roman"/>
          <w:lang w:eastAsia="en-AU"/>
        </w:rPr>
        <w:t xml:space="preserve">security </w:t>
      </w:r>
      <w:r w:rsidR="00D82EEB" w:rsidRPr="00B16E6B">
        <w:rPr>
          <w:rFonts w:eastAsia="Times New Roman"/>
          <w:lang w:eastAsia="en-AU"/>
        </w:rPr>
        <w:t>domains. This is a reflection of the problem identified in this IA, and must be considered when assessing options to address it.</w:t>
      </w:r>
    </w:p>
    <w:p w14:paraId="36E19340" w14:textId="77777777" w:rsidR="00C167F3" w:rsidRPr="00B16E6B" w:rsidRDefault="00C167F3" w:rsidP="00046969">
      <w:pPr>
        <w:pStyle w:val="Custom2"/>
        <w:rPr>
          <w:rFonts w:eastAsia="Times New Roman"/>
          <w:lang w:eastAsia="en-AU"/>
        </w:rPr>
      </w:pPr>
      <w:r w:rsidRPr="00B16E6B">
        <w:rPr>
          <w:rFonts w:eastAsia="Times New Roman"/>
          <w:lang w:eastAsia="en-AU"/>
        </w:rPr>
        <w:t>Development of this IA  </w:t>
      </w:r>
    </w:p>
    <w:p w14:paraId="4BEF9452" w14:textId="412E61BB" w:rsidR="00D82EEB" w:rsidRPr="00B16E6B" w:rsidRDefault="00C167F3" w:rsidP="00DB546B">
      <w:pPr>
        <w:spacing w:after="120" w:line="271" w:lineRule="auto"/>
        <w:textAlignment w:val="baseline"/>
        <w:rPr>
          <w:rFonts w:eastAsia="Times New Roman" w:cs="Arial"/>
          <w:szCs w:val="22"/>
          <w:lang w:eastAsia="en-AU"/>
        </w:rPr>
      </w:pPr>
      <w:r w:rsidRPr="00B16E6B">
        <w:rPr>
          <w:rFonts w:eastAsia="Times New Roman" w:cs="Arial"/>
          <w:szCs w:val="22"/>
          <w:lang w:eastAsia="en-AU"/>
        </w:rPr>
        <w:t xml:space="preserve">The department </w:t>
      </w:r>
      <w:r w:rsidR="00EE74A7">
        <w:rPr>
          <w:rFonts w:eastAsia="Times New Roman" w:cs="Arial"/>
          <w:szCs w:val="22"/>
          <w:lang w:eastAsia="en-AU"/>
        </w:rPr>
        <w:t>engaged</w:t>
      </w:r>
      <w:r w:rsidRPr="00B16E6B">
        <w:rPr>
          <w:rFonts w:eastAsia="Times New Roman" w:cs="Arial"/>
          <w:szCs w:val="22"/>
          <w:lang w:eastAsia="en-AU"/>
        </w:rPr>
        <w:t xml:space="preserve"> closely with the Office of Impact Analysis (OIA) as it </w:t>
      </w:r>
      <w:r w:rsidR="00EE74A7">
        <w:rPr>
          <w:rFonts w:eastAsia="Times New Roman" w:cs="Arial"/>
          <w:szCs w:val="22"/>
          <w:lang w:eastAsia="en-AU"/>
        </w:rPr>
        <w:t>considered</w:t>
      </w:r>
      <w:r w:rsidRPr="00B16E6B">
        <w:rPr>
          <w:rFonts w:eastAsia="Times New Roman" w:cs="Arial"/>
          <w:szCs w:val="22"/>
          <w:lang w:eastAsia="en-AU"/>
        </w:rPr>
        <w:t xml:space="preserve"> potential options for addressing identified gaps in the regulation of Australia’s transport sector. This engagement will continue throughout the policy development process. This IA is being developed concurrently to key stages in policy development, outlined below. </w:t>
      </w:r>
    </w:p>
    <w:p w14:paraId="7AC6F7BC" w14:textId="1AB01C63" w:rsidR="00D82EEB" w:rsidRPr="00B16E6B" w:rsidRDefault="00D82EEB" w:rsidP="00DB546B">
      <w:pPr>
        <w:spacing w:before="120" w:line="271" w:lineRule="auto"/>
        <w:rPr>
          <w:rFonts w:eastAsia="Times New Roman" w:cs="Segoe UI"/>
          <w:szCs w:val="22"/>
          <w:lang w:eastAsia="en-AU"/>
        </w:rPr>
      </w:pPr>
      <w:r w:rsidRPr="00B16E6B">
        <w:t>The analysis contained in this document will continue to evolve alongside policy development, as per table 3.</w:t>
      </w:r>
    </w:p>
    <w:p w14:paraId="1441E04C" w14:textId="763B498E" w:rsidR="00C167F3" w:rsidRPr="00B16E6B" w:rsidRDefault="00C167F3" w:rsidP="009613E1">
      <w:pPr>
        <w:spacing w:after="60" w:line="271" w:lineRule="auto"/>
        <w:textAlignment w:val="baseline"/>
        <w:rPr>
          <w:rFonts w:ascii="Arial" w:eastAsia="Times New Roman" w:hAnsi="Arial" w:cs="Arial"/>
          <w:b/>
          <w:bCs/>
          <w:i/>
          <w:iCs/>
          <w:color w:val="44546A"/>
          <w:sz w:val="18"/>
          <w:szCs w:val="18"/>
          <w:lang w:eastAsia="en-AU"/>
        </w:rPr>
      </w:pPr>
      <w:r w:rsidRPr="00B16E6B">
        <w:rPr>
          <w:rFonts w:ascii="Arial" w:eastAsia="Times New Roman" w:hAnsi="Arial" w:cs="Arial"/>
          <w:b/>
          <w:bCs/>
          <w:i/>
          <w:iCs/>
          <w:color w:val="44546A"/>
          <w:sz w:val="18"/>
          <w:szCs w:val="18"/>
          <w:lang w:eastAsia="en-AU"/>
        </w:rPr>
        <w:t xml:space="preserve">Table 3: </w:t>
      </w:r>
      <w:r w:rsidRPr="00B16E6B">
        <w:rPr>
          <w:rFonts w:ascii="Arial" w:eastAsia="Times New Roman" w:hAnsi="Arial" w:cs="Arial"/>
          <w:bCs/>
          <w:i/>
          <w:iCs/>
          <w:color w:val="44546A"/>
          <w:sz w:val="18"/>
          <w:szCs w:val="18"/>
          <w:lang w:eastAsia="en-AU"/>
        </w:rPr>
        <w:t>Policy development process </w:t>
      </w:r>
    </w:p>
    <w:tbl>
      <w:tblPr>
        <w:tblW w:w="9132"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4797"/>
        <w:gridCol w:w="4335"/>
      </w:tblGrid>
      <w:tr w:rsidR="00B905E7" w:rsidRPr="00B16E6B" w14:paraId="2194374D" w14:textId="77777777" w:rsidTr="006B18C7">
        <w:trPr>
          <w:trHeight w:val="300"/>
          <w:tblHeader/>
        </w:trPr>
        <w:tc>
          <w:tcPr>
            <w:tcW w:w="4797" w:type="dxa"/>
            <w:tcBorders>
              <w:top w:val="single" w:sz="6" w:space="0" w:color="BFBFBF"/>
              <w:left w:val="nil"/>
              <w:bottom w:val="single" w:sz="6" w:space="0" w:color="BFBFBF"/>
              <w:right w:val="single" w:sz="6" w:space="0" w:color="BFBFBF"/>
            </w:tcBorders>
            <w:shd w:val="clear" w:color="auto" w:fill="1C2B39" w:themeFill="accent1"/>
            <w:vAlign w:val="center"/>
          </w:tcPr>
          <w:p w14:paraId="3E468B8A" w14:textId="77777777" w:rsidR="00B905E7" w:rsidRPr="00B16E6B" w:rsidRDefault="00B905E7" w:rsidP="009613E1">
            <w:pPr>
              <w:spacing w:before="60" w:after="60" w:line="271" w:lineRule="auto"/>
              <w:textAlignment w:val="baseline"/>
              <w:rPr>
                <w:sz w:val="20"/>
                <w:szCs w:val="20"/>
              </w:rPr>
            </w:pPr>
            <w:r w:rsidRPr="00B16E6B">
              <w:rPr>
                <w:sz w:val="20"/>
                <w:szCs w:val="20"/>
              </w:rPr>
              <w:t>Policy Development State</w:t>
            </w:r>
          </w:p>
        </w:tc>
        <w:tc>
          <w:tcPr>
            <w:tcW w:w="4335" w:type="dxa"/>
            <w:tcBorders>
              <w:top w:val="single" w:sz="6" w:space="0" w:color="BFBFBF"/>
              <w:left w:val="single" w:sz="6" w:space="0" w:color="BFBFBF"/>
              <w:bottom w:val="nil"/>
              <w:right w:val="nil"/>
            </w:tcBorders>
            <w:shd w:val="clear" w:color="auto" w:fill="1C2B39" w:themeFill="accent1"/>
            <w:vAlign w:val="center"/>
          </w:tcPr>
          <w:p w14:paraId="3364155C" w14:textId="77777777" w:rsidR="00B905E7" w:rsidRPr="00B16E6B" w:rsidRDefault="00B905E7" w:rsidP="009613E1">
            <w:pPr>
              <w:spacing w:before="60" w:after="60" w:line="271" w:lineRule="auto"/>
              <w:textAlignment w:val="baseline"/>
              <w:rPr>
                <w:sz w:val="20"/>
                <w:szCs w:val="20"/>
              </w:rPr>
            </w:pPr>
            <w:r w:rsidRPr="00B16E6B">
              <w:rPr>
                <w:sz w:val="20"/>
                <w:szCs w:val="20"/>
              </w:rPr>
              <w:t>IA development Stage</w:t>
            </w:r>
          </w:p>
        </w:tc>
      </w:tr>
      <w:tr w:rsidR="00B905E7" w:rsidRPr="00B16E6B" w14:paraId="000DB5D6" w14:textId="77777777" w:rsidTr="00B905E7">
        <w:trPr>
          <w:trHeight w:val="300"/>
        </w:trPr>
        <w:tc>
          <w:tcPr>
            <w:tcW w:w="4797" w:type="dxa"/>
            <w:tcBorders>
              <w:top w:val="single" w:sz="6" w:space="0" w:color="BFBFBF"/>
              <w:left w:val="nil"/>
              <w:bottom w:val="single" w:sz="6" w:space="0" w:color="BFBFBF"/>
              <w:right w:val="single" w:sz="6" w:space="0" w:color="BFBFBF"/>
            </w:tcBorders>
            <w:shd w:val="clear" w:color="auto" w:fill="FFFFFF" w:themeFill="background1"/>
            <w:vAlign w:val="center"/>
            <w:hideMark/>
          </w:tcPr>
          <w:p w14:paraId="4E1A4662" w14:textId="77777777" w:rsidR="00B905E7" w:rsidRPr="00B16E6B" w:rsidRDefault="00B905E7" w:rsidP="009613E1">
            <w:pPr>
              <w:spacing w:before="60" w:after="60" w:line="271" w:lineRule="auto"/>
              <w:textAlignment w:val="baseline"/>
              <w:rPr>
                <w:sz w:val="20"/>
                <w:szCs w:val="20"/>
              </w:rPr>
            </w:pPr>
            <w:r w:rsidRPr="00B16E6B">
              <w:rPr>
                <w:rFonts w:eastAsia="Times New Roman" w:cs="Arial"/>
                <w:sz w:val="20"/>
                <w:szCs w:val="20"/>
                <w:lang w:eastAsia="en-AU"/>
              </w:rPr>
              <w:t>Consultation on the nature of the proposed reform measures for industry </w:t>
            </w:r>
          </w:p>
        </w:tc>
        <w:tc>
          <w:tcPr>
            <w:tcW w:w="4335" w:type="dxa"/>
            <w:tcBorders>
              <w:top w:val="single" w:sz="6" w:space="0" w:color="BFBFBF"/>
              <w:left w:val="single" w:sz="6" w:space="0" w:color="BFBFBF"/>
              <w:bottom w:val="single" w:sz="6" w:space="0" w:color="BFBFBF"/>
              <w:right w:val="nil"/>
            </w:tcBorders>
            <w:vAlign w:val="center"/>
            <w:hideMark/>
          </w:tcPr>
          <w:p w14:paraId="610B0D65" w14:textId="77777777" w:rsidR="00B905E7" w:rsidRPr="00B16E6B" w:rsidRDefault="00B905E7" w:rsidP="009613E1">
            <w:pPr>
              <w:spacing w:after="120" w:line="271" w:lineRule="auto"/>
              <w:textAlignment w:val="baseline"/>
              <w:rPr>
                <w:sz w:val="20"/>
                <w:szCs w:val="20"/>
              </w:rPr>
            </w:pPr>
            <w:r w:rsidRPr="00B16E6B">
              <w:rPr>
                <w:rFonts w:eastAsia="Times New Roman" w:cs="Arial"/>
                <w:sz w:val="20"/>
                <w:szCs w:val="20"/>
                <w:lang w:eastAsia="en-AU"/>
              </w:rPr>
              <w:t>Early Assessment IA  </w:t>
            </w:r>
          </w:p>
        </w:tc>
      </w:tr>
      <w:tr w:rsidR="00B905E7" w:rsidRPr="00B16E6B" w14:paraId="188D55B5" w14:textId="77777777" w:rsidTr="00CD3687">
        <w:trPr>
          <w:trHeight w:val="300"/>
        </w:trPr>
        <w:tc>
          <w:tcPr>
            <w:tcW w:w="4797" w:type="dxa"/>
            <w:tcBorders>
              <w:top w:val="single" w:sz="6" w:space="0" w:color="BFBFBF"/>
              <w:left w:val="nil"/>
              <w:bottom w:val="single" w:sz="6" w:space="0" w:color="BFBFBF"/>
              <w:right w:val="single" w:sz="6" w:space="0" w:color="BFBFBF"/>
            </w:tcBorders>
            <w:shd w:val="clear" w:color="auto" w:fill="FFFFFF" w:themeFill="background1"/>
            <w:vAlign w:val="center"/>
          </w:tcPr>
          <w:p w14:paraId="29057390" w14:textId="589D665D" w:rsidR="00B905E7" w:rsidRPr="00B16E6B" w:rsidRDefault="00B905E7" w:rsidP="009613E1">
            <w:pPr>
              <w:spacing w:before="60" w:after="60" w:line="271" w:lineRule="auto"/>
              <w:textAlignment w:val="baseline"/>
              <w:rPr>
                <w:sz w:val="20"/>
                <w:szCs w:val="20"/>
              </w:rPr>
            </w:pPr>
            <w:r w:rsidRPr="00B16E6B">
              <w:rPr>
                <w:rFonts w:eastAsia="Times New Roman" w:cs="Arial"/>
                <w:sz w:val="20"/>
                <w:szCs w:val="20"/>
                <w:lang w:eastAsia="en-AU"/>
              </w:rPr>
              <w:t xml:space="preserve">Decision by </w:t>
            </w:r>
            <w:r w:rsidR="00487C6A" w:rsidRPr="00B16E6B">
              <w:rPr>
                <w:rFonts w:eastAsia="Times New Roman" w:cs="Arial"/>
                <w:sz w:val="20"/>
                <w:szCs w:val="20"/>
                <w:lang w:eastAsia="en-AU"/>
              </w:rPr>
              <w:t>government</w:t>
            </w:r>
            <w:r w:rsidRPr="00B16E6B">
              <w:rPr>
                <w:rFonts w:eastAsia="Times New Roman" w:cs="Arial"/>
                <w:sz w:val="20"/>
                <w:szCs w:val="20"/>
                <w:lang w:eastAsia="en-AU"/>
              </w:rPr>
              <w:t xml:space="preserve"> to implement proposed reform measures </w:t>
            </w:r>
          </w:p>
        </w:tc>
        <w:tc>
          <w:tcPr>
            <w:tcW w:w="4335" w:type="dxa"/>
            <w:tcBorders>
              <w:top w:val="single" w:sz="6" w:space="0" w:color="BFBFBF"/>
              <w:left w:val="single" w:sz="6" w:space="0" w:color="BFBFBF"/>
              <w:bottom w:val="single" w:sz="6" w:space="0" w:color="BFBFBF"/>
              <w:right w:val="nil"/>
            </w:tcBorders>
            <w:vAlign w:val="center"/>
          </w:tcPr>
          <w:p w14:paraId="512F2438" w14:textId="77777777" w:rsidR="00B905E7" w:rsidRPr="00B16E6B" w:rsidRDefault="00B905E7" w:rsidP="009613E1">
            <w:pPr>
              <w:spacing w:after="120" w:line="271" w:lineRule="auto"/>
              <w:textAlignment w:val="baseline"/>
              <w:rPr>
                <w:sz w:val="20"/>
                <w:szCs w:val="20"/>
              </w:rPr>
            </w:pPr>
            <w:r w:rsidRPr="00B16E6B">
              <w:rPr>
                <w:rFonts w:eastAsia="Times New Roman" w:cs="Arial"/>
                <w:sz w:val="20"/>
                <w:szCs w:val="20"/>
                <w:lang w:eastAsia="en-AU"/>
              </w:rPr>
              <w:t>First Pass IA </w:t>
            </w:r>
          </w:p>
        </w:tc>
      </w:tr>
      <w:tr w:rsidR="00B905E7" w:rsidRPr="00B16E6B" w14:paraId="44E4480D" w14:textId="77777777" w:rsidTr="00CD3687">
        <w:trPr>
          <w:trHeight w:val="300"/>
        </w:trPr>
        <w:tc>
          <w:tcPr>
            <w:tcW w:w="4797" w:type="dxa"/>
            <w:tcBorders>
              <w:top w:val="single" w:sz="6" w:space="0" w:color="BFBFBF"/>
              <w:left w:val="nil"/>
              <w:bottom w:val="single" w:sz="4" w:space="0" w:color="BFBFBF" w:themeColor="background2" w:themeShade="BF"/>
              <w:right w:val="single" w:sz="6" w:space="0" w:color="BFBFBF"/>
            </w:tcBorders>
            <w:shd w:val="clear" w:color="auto" w:fill="FFFFFF" w:themeFill="background1"/>
            <w:vAlign w:val="center"/>
          </w:tcPr>
          <w:p w14:paraId="011DC0AC" w14:textId="77777777" w:rsidR="00B905E7" w:rsidRPr="00B16E6B" w:rsidRDefault="00B905E7" w:rsidP="009613E1">
            <w:pPr>
              <w:spacing w:before="60" w:after="60" w:line="271" w:lineRule="auto"/>
              <w:textAlignment w:val="baseline"/>
              <w:rPr>
                <w:sz w:val="20"/>
                <w:szCs w:val="20"/>
              </w:rPr>
            </w:pPr>
            <w:r w:rsidRPr="00B16E6B">
              <w:rPr>
                <w:rFonts w:eastAsia="Times New Roman" w:cs="Arial"/>
                <w:sz w:val="20"/>
                <w:szCs w:val="20"/>
                <w:lang w:eastAsia="en-AU"/>
              </w:rPr>
              <w:t xml:space="preserve">Final decision by </w:t>
            </w:r>
            <w:r w:rsidR="00487C6A" w:rsidRPr="00B16E6B">
              <w:rPr>
                <w:rFonts w:eastAsia="Times New Roman" w:cs="Arial"/>
                <w:sz w:val="20"/>
                <w:szCs w:val="20"/>
                <w:lang w:eastAsia="en-AU"/>
              </w:rPr>
              <w:t>government</w:t>
            </w:r>
            <w:r w:rsidRPr="00B16E6B">
              <w:rPr>
                <w:rFonts w:eastAsia="Times New Roman" w:cs="Arial"/>
                <w:sz w:val="20"/>
                <w:szCs w:val="20"/>
                <w:lang w:eastAsia="en-AU"/>
              </w:rPr>
              <w:t xml:space="preserve"> to implement proposed reform measures </w:t>
            </w:r>
          </w:p>
        </w:tc>
        <w:tc>
          <w:tcPr>
            <w:tcW w:w="4335" w:type="dxa"/>
            <w:tcBorders>
              <w:top w:val="single" w:sz="6" w:space="0" w:color="BFBFBF"/>
              <w:left w:val="single" w:sz="6" w:space="0" w:color="BFBFBF"/>
              <w:bottom w:val="single" w:sz="4" w:space="0" w:color="BFBFBF" w:themeColor="background2" w:themeShade="BF"/>
              <w:right w:val="nil"/>
            </w:tcBorders>
            <w:vAlign w:val="center"/>
          </w:tcPr>
          <w:p w14:paraId="6D7537A3" w14:textId="77777777" w:rsidR="00B905E7" w:rsidRPr="00B16E6B" w:rsidRDefault="00B905E7" w:rsidP="009613E1">
            <w:pPr>
              <w:spacing w:after="120" w:line="271" w:lineRule="auto"/>
              <w:textAlignment w:val="baseline"/>
              <w:rPr>
                <w:sz w:val="20"/>
                <w:szCs w:val="20"/>
              </w:rPr>
            </w:pPr>
            <w:r w:rsidRPr="00B16E6B">
              <w:rPr>
                <w:rFonts w:eastAsia="Times New Roman" w:cs="Arial"/>
                <w:sz w:val="20"/>
                <w:szCs w:val="20"/>
                <w:lang w:eastAsia="en-AU"/>
              </w:rPr>
              <w:t>Second Pass IA  </w:t>
            </w:r>
          </w:p>
        </w:tc>
      </w:tr>
    </w:tbl>
    <w:p w14:paraId="78016312" w14:textId="77777777" w:rsidR="0014151F" w:rsidRPr="00B16E6B" w:rsidRDefault="0014151F" w:rsidP="009613E1">
      <w:pPr>
        <w:spacing w:line="271" w:lineRule="auto"/>
      </w:pPr>
    </w:p>
    <w:p w14:paraId="6842A325" w14:textId="77777777" w:rsidR="0014151F" w:rsidRPr="00B16E6B" w:rsidRDefault="0014151F" w:rsidP="009613E1">
      <w:pPr>
        <w:pStyle w:val="Heading1"/>
        <w:pageBreakBefore/>
        <w:numPr>
          <w:ilvl w:val="0"/>
          <w:numId w:val="13"/>
        </w:numPr>
        <w:spacing w:line="271" w:lineRule="auto"/>
        <w:ind w:left="714" w:hanging="357"/>
      </w:pPr>
      <w:r w:rsidRPr="00B16E6B">
        <w:lastRenderedPageBreak/>
        <w:t>What is the policy problem you are trying to solve and what data is available?</w:t>
      </w:r>
    </w:p>
    <w:p w14:paraId="5F79BB26" w14:textId="77777777" w:rsidR="00BA3CF3" w:rsidRPr="00B16E6B" w:rsidRDefault="00BA3CF3" w:rsidP="009613E1">
      <w:pPr>
        <w:spacing w:after="0" w:line="271" w:lineRule="auto"/>
        <w:textAlignment w:val="baseline"/>
        <w:rPr>
          <w:rFonts w:eastAsia="Times New Roman" w:cs="Arial"/>
          <w:szCs w:val="22"/>
          <w:lang w:eastAsia="en-AU"/>
        </w:rPr>
      </w:pPr>
      <w:r w:rsidRPr="00B16E6B">
        <w:rPr>
          <w:rFonts w:eastAsia="Times New Roman" w:cs="Arial"/>
          <w:szCs w:val="22"/>
          <w:lang w:eastAsia="en-AU"/>
        </w:rPr>
        <w:t xml:space="preserve">Australia’s transport sector is crucial for connecting Australians with critical goods and services, and allowing for transportation across the world. The interconnected nature of critical infrastructure, including aviation </w:t>
      </w:r>
      <w:r w:rsidR="00710065" w:rsidRPr="00B16E6B">
        <w:rPr>
          <w:rFonts w:eastAsia="Times New Roman" w:cs="Arial"/>
          <w:szCs w:val="22"/>
          <w:lang w:eastAsia="en-AU"/>
        </w:rPr>
        <w:t xml:space="preserve">and maritime </w:t>
      </w:r>
      <w:r w:rsidRPr="00B16E6B">
        <w:rPr>
          <w:rFonts w:eastAsia="Times New Roman" w:cs="Arial"/>
          <w:szCs w:val="22"/>
          <w:lang w:eastAsia="en-AU"/>
        </w:rPr>
        <w:t>entities, means that any disruption to an</w:t>
      </w:r>
      <w:r w:rsidR="00E137B5" w:rsidRPr="00B16E6B">
        <w:rPr>
          <w:rFonts w:eastAsia="Times New Roman" w:cs="Arial"/>
          <w:szCs w:val="22"/>
          <w:lang w:eastAsia="en-AU"/>
        </w:rPr>
        <w:t>y industry participant’s operations</w:t>
      </w:r>
      <w:r w:rsidRPr="00B16E6B">
        <w:rPr>
          <w:rFonts w:eastAsia="Times New Roman" w:cs="Arial"/>
          <w:szCs w:val="22"/>
          <w:lang w:eastAsia="en-AU"/>
        </w:rPr>
        <w:t xml:space="preserve"> or its supply chains can have cascading effects on dependent infrastructure and networks. If destroyed, degraded, or rendered unavailable for an extended period, Australia’s security, economic position and overall prosperity may be significantly impacted.  </w:t>
      </w:r>
    </w:p>
    <w:p w14:paraId="25E17464" w14:textId="77777777" w:rsidR="006326A6" w:rsidRPr="00B16E6B" w:rsidRDefault="00BA3CF3" w:rsidP="009613E1">
      <w:pPr>
        <w:pStyle w:val="ListNumber4"/>
        <w:tabs>
          <w:tab w:val="left" w:pos="720"/>
        </w:tabs>
        <w:spacing w:line="271" w:lineRule="auto"/>
        <w:rPr>
          <w:rFonts w:eastAsia="Times New Roman" w:cs="Arial"/>
          <w:sz w:val="22"/>
          <w:lang w:eastAsia="en-AU"/>
        </w:rPr>
      </w:pPr>
      <w:r w:rsidRPr="00B16E6B">
        <w:rPr>
          <w:rFonts w:eastAsia="Times New Roman" w:cs="Arial"/>
          <w:sz w:val="22"/>
          <w:lang w:eastAsia="en-AU"/>
        </w:rPr>
        <w:t>There has been a considerable shift in the global threat environment. This includes increases in the scale and frequency of attacks</w:t>
      </w:r>
      <w:r w:rsidR="00D0308D" w:rsidRPr="00B16E6B">
        <w:rPr>
          <w:rFonts w:eastAsia="Times New Roman" w:cs="Arial"/>
          <w:sz w:val="22"/>
          <w:lang w:eastAsia="en-AU"/>
        </w:rPr>
        <w:t xml:space="preserve"> </w:t>
      </w:r>
      <w:r w:rsidR="002A322C" w:rsidRPr="00B16E6B">
        <w:rPr>
          <w:rFonts w:eastAsia="Times New Roman" w:cs="Arial"/>
          <w:sz w:val="22"/>
          <w:lang w:eastAsia="en-AU"/>
        </w:rPr>
        <w:t xml:space="preserve">on the Australian transport </w:t>
      </w:r>
      <w:r w:rsidR="002A322C" w:rsidRPr="00B16E6B">
        <w:rPr>
          <w:rFonts w:cs="Arial"/>
          <w:sz w:val="22"/>
        </w:rPr>
        <w:t>sector</w:t>
      </w:r>
      <w:r w:rsidR="0022690C" w:rsidRPr="00B16E6B">
        <w:rPr>
          <w:rFonts w:cs="Arial"/>
          <w:sz w:val="22"/>
        </w:rPr>
        <w:t xml:space="preserve"> which</w:t>
      </w:r>
      <w:r w:rsidR="002A322C" w:rsidRPr="00B16E6B">
        <w:rPr>
          <w:rFonts w:cs="Arial"/>
          <w:sz w:val="22"/>
        </w:rPr>
        <w:t xml:space="preserve"> will continue to</w:t>
      </w:r>
      <w:r w:rsidR="00D0308D" w:rsidRPr="00B16E6B">
        <w:rPr>
          <w:rFonts w:cs="Arial"/>
          <w:sz w:val="22"/>
        </w:rPr>
        <w:t xml:space="preserve"> </w:t>
      </w:r>
      <w:r w:rsidRPr="00B16E6B">
        <w:rPr>
          <w:rFonts w:cs="Arial"/>
          <w:sz w:val="22"/>
        </w:rPr>
        <w:t>impact Australia’s national security across a range of hazard domains such as physical, natural hazard, supply chains, personnel, and cyber</w:t>
      </w:r>
      <w:r w:rsidRPr="00B16E6B">
        <w:rPr>
          <w:rFonts w:eastAsia="Times New Roman" w:cs="Arial"/>
          <w:sz w:val="22"/>
          <w:lang w:eastAsia="en-AU"/>
        </w:rPr>
        <w:t>.</w:t>
      </w:r>
      <w:r w:rsidR="0084527F" w:rsidRPr="00B16E6B">
        <w:rPr>
          <w:rFonts w:eastAsia="Times New Roman" w:cs="Arial"/>
          <w:sz w:val="22"/>
          <w:lang w:eastAsia="en-AU"/>
        </w:rPr>
        <w:t xml:space="preserve"> </w:t>
      </w:r>
    </w:p>
    <w:p w14:paraId="763DD49A" w14:textId="3EB1BFA1" w:rsidR="003C5710" w:rsidRPr="00B16E6B" w:rsidRDefault="00A3059C" w:rsidP="009613E1">
      <w:pPr>
        <w:pStyle w:val="ListNumber4"/>
        <w:tabs>
          <w:tab w:val="left" w:pos="720"/>
        </w:tabs>
        <w:spacing w:line="271" w:lineRule="auto"/>
        <w:rPr>
          <w:rFonts w:eastAsia="Times New Roman" w:cs="Arial"/>
          <w:sz w:val="22"/>
          <w:lang w:eastAsia="en-AU"/>
        </w:rPr>
      </w:pPr>
      <w:r w:rsidRPr="00B16E6B">
        <w:rPr>
          <w:rFonts w:eastAsia="Times New Roman" w:cs="Arial"/>
          <w:sz w:val="22"/>
          <w:lang w:eastAsia="en-AU"/>
        </w:rPr>
        <w:t>The evidence of the deteriorating risk environment within the transport sector is substantial. While many of the studies and data relates to the overseas experience, the interconnected nature of the transport sector (through transport c</w:t>
      </w:r>
      <w:r w:rsidR="000C4A1A" w:rsidRPr="00B16E6B">
        <w:rPr>
          <w:rFonts w:eastAsia="Times New Roman" w:cs="Arial"/>
          <w:sz w:val="22"/>
          <w:lang w:eastAsia="en-AU"/>
        </w:rPr>
        <w:t>onnections, global ownership structures or shared global trends in operations</w:t>
      </w:r>
      <w:r w:rsidRPr="00B16E6B">
        <w:rPr>
          <w:rFonts w:eastAsia="Times New Roman" w:cs="Arial"/>
          <w:sz w:val="22"/>
          <w:lang w:eastAsia="en-AU"/>
        </w:rPr>
        <w:t xml:space="preserve">) </w:t>
      </w:r>
      <w:r w:rsidR="000C4A1A" w:rsidRPr="00B16E6B">
        <w:rPr>
          <w:rFonts w:eastAsia="Times New Roman" w:cs="Arial"/>
          <w:sz w:val="22"/>
          <w:lang w:eastAsia="en-AU"/>
        </w:rPr>
        <w:t>makes it relevant for the Australian transport sector.</w:t>
      </w:r>
      <w:r w:rsidRPr="00B16E6B">
        <w:rPr>
          <w:rFonts w:eastAsia="Times New Roman" w:cs="Arial"/>
          <w:sz w:val="22"/>
          <w:lang w:eastAsia="en-AU"/>
        </w:rPr>
        <w:t xml:space="preserve"> </w:t>
      </w:r>
      <w:r w:rsidR="000C4A1A" w:rsidRPr="00B16E6B">
        <w:rPr>
          <w:rFonts w:eastAsia="Times New Roman" w:cs="Arial"/>
          <w:sz w:val="22"/>
          <w:lang w:eastAsia="en-AU"/>
        </w:rPr>
        <w:t>For example, the global trend toward greater use of internet-connected operating technology in the maritime environment increases</w:t>
      </w:r>
      <w:r w:rsidR="00A867F6" w:rsidRPr="00B16E6B">
        <w:rPr>
          <w:rFonts w:eastAsia="Times New Roman" w:cs="Arial"/>
          <w:sz w:val="22"/>
          <w:lang w:eastAsia="en-AU"/>
        </w:rPr>
        <w:t xml:space="preserve"> security</w:t>
      </w:r>
      <w:r w:rsidR="000C4A1A" w:rsidRPr="00B16E6B">
        <w:rPr>
          <w:rFonts w:eastAsia="Times New Roman" w:cs="Arial"/>
          <w:sz w:val="22"/>
          <w:lang w:eastAsia="en-AU"/>
        </w:rPr>
        <w:t xml:space="preserve"> risk</w:t>
      </w:r>
      <w:r w:rsidR="00D61DB9" w:rsidRPr="00B16E6B">
        <w:rPr>
          <w:rFonts w:eastAsia="Times New Roman" w:cs="Arial"/>
          <w:sz w:val="22"/>
          <w:lang w:eastAsia="en-AU"/>
        </w:rPr>
        <w:t>s</w:t>
      </w:r>
      <w:r w:rsidR="000C4A1A" w:rsidRPr="00B16E6B">
        <w:rPr>
          <w:rFonts w:eastAsia="Times New Roman" w:cs="Arial"/>
          <w:sz w:val="22"/>
          <w:lang w:eastAsia="en-AU"/>
        </w:rPr>
        <w:t xml:space="preserve"> for both Australian and overseas entities adopting these technologies.</w:t>
      </w:r>
    </w:p>
    <w:p w14:paraId="0FBBD45D" w14:textId="77777777" w:rsidR="00CA5206" w:rsidRPr="00B16E6B" w:rsidRDefault="00CA5206" w:rsidP="009613E1">
      <w:pPr>
        <w:pStyle w:val="ListNumber4"/>
        <w:tabs>
          <w:tab w:val="left" w:pos="720"/>
        </w:tabs>
        <w:spacing w:line="271" w:lineRule="auto"/>
        <w:rPr>
          <w:rFonts w:eastAsia="Times New Roman" w:cs="Arial"/>
          <w:sz w:val="22"/>
          <w:lang w:eastAsia="en-AU"/>
        </w:rPr>
      </w:pPr>
      <w:r w:rsidRPr="00B16E6B">
        <w:rPr>
          <w:rFonts w:eastAsia="Times New Roman" w:cs="Arial"/>
          <w:sz w:val="22"/>
          <w:lang w:eastAsia="en-AU"/>
        </w:rPr>
        <w:t xml:space="preserve">In the aviation sector, the following global trends have been observed: </w:t>
      </w:r>
    </w:p>
    <w:p w14:paraId="33CE9C8C" w14:textId="6801BA27" w:rsidR="00CA5206" w:rsidRPr="00B16E6B" w:rsidRDefault="00CA5206" w:rsidP="009613E1">
      <w:pPr>
        <w:pStyle w:val="ListParagraph"/>
        <w:numPr>
          <w:ilvl w:val="0"/>
          <w:numId w:val="18"/>
        </w:numPr>
        <w:spacing w:after="120" w:line="271" w:lineRule="auto"/>
        <w:ind w:left="714" w:hanging="357"/>
        <w:contextualSpacing w:val="0"/>
        <w:rPr>
          <w:rFonts w:eastAsia="Times New Roman"/>
          <w:bCs/>
          <w:lang w:eastAsia="en-AU"/>
        </w:rPr>
      </w:pPr>
      <w:r w:rsidRPr="00B16E6B">
        <w:rPr>
          <w:rFonts w:eastAsia="Times New Roman"/>
          <w:bCs/>
          <w:lang w:eastAsia="en-AU"/>
        </w:rPr>
        <w:t>ICAO reported that cyberattacks on the aviation industry increased 24% worldwide in the first half of 2023. Persistent passive attacks (including port scans, pings and traffic monitoring) are allowing attackers to discover open ports and protocols</w:t>
      </w:r>
      <w:r w:rsidR="000A5F0F" w:rsidRPr="00B16E6B">
        <w:rPr>
          <w:rStyle w:val="FootnoteReference"/>
          <w:rFonts w:eastAsia="Times New Roman"/>
          <w:bCs/>
          <w:lang w:eastAsia="en-AU"/>
        </w:rPr>
        <w:footnoteReference w:id="5"/>
      </w:r>
      <w:r w:rsidR="000A5F0F" w:rsidRPr="00B16E6B">
        <w:rPr>
          <w:rFonts w:eastAsia="Times New Roman"/>
          <w:bCs/>
          <w:lang w:eastAsia="en-AU"/>
        </w:rPr>
        <w:t xml:space="preserve"> </w:t>
      </w:r>
    </w:p>
    <w:p w14:paraId="76684CF6" w14:textId="18B281B5" w:rsidR="0058523A" w:rsidRPr="00B16E6B" w:rsidRDefault="00CA5206" w:rsidP="009613E1">
      <w:pPr>
        <w:pStyle w:val="ListParagraph"/>
        <w:numPr>
          <w:ilvl w:val="0"/>
          <w:numId w:val="18"/>
        </w:numPr>
        <w:spacing w:after="200" w:line="271" w:lineRule="auto"/>
        <w:ind w:left="714" w:hanging="357"/>
        <w:contextualSpacing w:val="0"/>
        <w:rPr>
          <w:rFonts w:eastAsia="Times New Roman" w:cs="Arial"/>
          <w:szCs w:val="22"/>
          <w:lang w:eastAsia="en-AU"/>
        </w:rPr>
      </w:pPr>
      <w:r w:rsidRPr="00B16E6B">
        <w:rPr>
          <w:rFonts w:eastAsia="Times New Roman"/>
          <w:bCs/>
          <w:lang w:eastAsia="en-AU"/>
        </w:rPr>
        <w:t xml:space="preserve">Across the European aviation sector, European Air Traffic Management observed a steady increase in new cyber security incidents during 2023. Compared with 2022, there was nearly three times </w:t>
      </w:r>
      <w:r w:rsidR="00AB293B" w:rsidRPr="00B16E6B">
        <w:rPr>
          <w:rFonts w:eastAsia="Times New Roman"/>
          <w:bCs/>
          <w:lang w:eastAsia="en-AU"/>
        </w:rPr>
        <w:t>as many</w:t>
      </w:r>
      <w:r w:rsidRPr="00B16E6B">
        <w:rPr>
          <w:rFonts w:eastAsia="Times New Roman"/>
          <w:bCs/>
          <w:lang w:eastAsia="en-AU"/>
        </w:rPr>
        <w:t xml:space="preserve"> new cyber security incidents within the sector.</w:t>
      </w:r>
      <w:r w:rsidR="000A5F0F" w:rsidRPr="00B16E6B">
        <w:rPr>
          <w:rStyle w:val="FootnoteReference"/>
          <w:rFonts w:eastAsia="Times New Roman"/>
          <w:bCs/>
          <w:lang w:eastAsia="en-AU"/>
        </w:rPr>
        <w:footnoteReference w:id="6"/>
      </w:r>
      <w:r w:rsidR="000A5F0F" w:rsidRPr="00B16E6B">
        <w:rPr>
          <w:rFonts w:eastAsia="Times New Roman"/>
          <w:bCs/>
          <w:lang w:eastAsia="en-AU"/>
        </w:rPr>
        <w:t xml:space="preserve"> </w:t>
      </w:r>
    </w:p>
    <w:p w14:paraId="153A311E" w14:textId="1B99CD5E" w:rsidR="00BA3CF3" w:rsidRPr="00B16E6B" w:rsidRDefault="003664A7" w:rsidP="009613E1">
      <w:pPr>
        <w:pStyle w:val="ListNumber4"/>
        <w:tabs>
          <w:tab w:val="left" w:pos="720"/>
        </w:tabs>
        <w:spacing w:line="271" w:lineRule="auto"/>
        <w:rPr>
          <w:rFonts w:eastAsia="Times New Roman" w:cs="Arial"/>
          <w:sz w:val="22"/>
          <w:lang w:eastAsia="en-AU"/>
        </w:rPr>
      </w:pPr>
      <w:r w:rsidRPr="00B16E6B">
        <w:rPr>
          <w:rFonts w:eastAsia="Times New Roman" w:cs="Arial"/>
          <w:sz w:val="22"/>
          <w:lang w:eastAsia="en-AU"/>
        </w:rPr>
        <w:t>In the</w:t>
      </w:r>
      <w:r w:rsidR="00CA5206" w:rsidRPr="00B16E6B">
        <w:rPr>
          <w:rFonts w:eastAsia="Times New Roman" w:cs="Arial"/>
          <w:sz w:val="22"/>
          <w:lang w:eastAsia="en-AU"/>
        </w:rPr>
        <w:t xml:space="preserve"> maritime sector, similar trends are demonstrable: </w:t>
      </w:r>
      <w:r w:rsidR="0084527F" w:rsidRPr="00B16E6B">
        <w:rPr>
          <w:rFonts w:eastAsia="Times New Roman" w:cs="Arial"/>
          <w:sz w:val="22"/>
          <w:lang w:eastAsia="en-AU"/>
        </w:rPr>
        <w:t xml:space="preserve"> </w:t>
      </w:r>
    </w:p>
    <w:p w14:paraId="747B0AE9" w14:textId="51AD93D4" w:rsidR="0084527F" w:rsidRPr="00B16E6B" w:rsidRDefault="0084527F" w:rsidP="00A11AF5">
      <w:pPr>
        <w:pStyle w:val="ListNumber4"/>
        <w:numPr>
          <w:ilvl w:val="0"/>
          <w:numId w:val="46"/>
        </w:numPr>
        <w:tabs>
          <w:tab w:val="left" w:pos="720"/>
        </w:tabs>
        <w:spacing w:line="271" w:lineRule="auto"/>
        <w:rPr>
          <w:rFonts w:eastAsia="Times New Roman" w:cs="Arial"/>
          <w:sz w:val="22"/>
          <w:lang w:eastAsia="en-AU"/>
        </w:rPr>
      </w:pPr>
      <w:r w:rsidRPr="00B16E6B">
        <w:rPr>
          <w:rFonts w:eastAsia="Times New Roman" w:cs="Arial"/>
          <w:sz w:val="22"/>
          <w:lang w:eastAsia="en-AU"/>
        </w:rPr>
        <w:t>In June 2024, the World Economic Forum reported that since 2020, over 80% of world transport leaders have increased investments in</w:t>
      </w:r>
      <w:r w:rsidR="00941A66" w:rsidRPr="00B16E6B">
        <w:rPr>
          <w:rFonts w:eastAsia="Times New Roman" w:cs="Arial"/>
          <w:sz w:val="22"/>
          <w:lang w:eastAsia="en-AU"/>
        </w:rPr>
        <w:t xml:space="preserve"> information technology (IT) and OT</w:t>
      </w:r>
      <w:r w:rsidRPr="00B16E6B">
        <w:rPr>
          <w:rFonts w:eastAsia="Times New Roman" w:cs="Arial"/>
          <w:sz w:val="22"/>
          <w:lang w:eastAsia="en-AU"/>
        </w:rPr>
        <w:t xml:space="preserve">. This </w:t>
      </w:r>
      <w:r w:rsidR="003664A7" w:rsidRPr="00B16E6B">
        <w:rPr>
          <w:rFonts w:eastAsia="Times New Roman" w:cs="Arial"/>
          <w:sz w:val="22"/>
          <w:lang w:eastAsia="en-AU"/>
        </w:rPr>
        <w:t xml:space="preserve">investment </w:t>
      </w:r>
      <w:r w:rsidRPr="00B16E6B">
        <w:rPr>
          <w:rFonts w:eastAsia="Times New Roman" w:cs="Arial"/>
          <w:sz w:val="22"/>
          <w:lang w:eastAsia="en-AU"/>
        </w:rPr>
        <w:t>introduces a higher level of cyber risk</w:t>
      </w:r>
      <w:r w:rsidR="003664A7" w:rsidRPr="00B16E6B">
        <w:rPr>
          <w:rFonts w:eastAsia="Times New Roman" w:cs="Arial"/>
          <w:sz w:val="22"/>
          <w:lang w:eastAsia="en-AU"/>
        </w:rPr>
        <w:t xml:space="preserve">, </w:t>
      </w:r>
      <w:r w:rsidR="0064327F" w:rsidRPr="00B16E6B">
        <w:rPr>
          <w:rFonts w:eastAsia="Times New Roman" w:cs="Arial"/>
          <w:sz w:val="22"/>
          <w:lang w:eastAsia="en-AU"/>
        </w:rPr>
        <w:t xml:space="preserve">demonstrated by </w:t>
      </w:r>
      <w:r w:rsidRPr="00B16E6B">
        <w:rPr>
          <w:rFonts w:eastAsia="Times New Roman" w:cs="Arial"/>
          <w:sz w:val="22"/>
          <w:lang w:eastAsia="en-AU"/>
        </w:rPr>
        <w:t xml:space="preserve">a 456% increase in maritime </w:t>
      </w:r>
      <w:r w:rsidR="0064327F" w:rsidRPr="00B16E6B">
        <w:rPr>
          <w:rFonts w:eastAsia="Times New Roman" w:cs="Arial"/>
          <w:sz w:val="22"/>
          <w:lang w:eastAsia="en-AU"/>
        </w:rPr>
        <w:t>sector</w:t>
      </w:r>
      <w:r w:rsidRPr="00B16E6B">
        <w:rPr>
          <w:rFonts w:eastAsia="Times New Roman" w:cs="Arial"/>
          <w:sz w:val="22"/>
          <w:lang w:eastAsia="en-AU"/>
        </w:rPr>
        <w:t xml:space="preserve"> </w:t>
      </w:r>
      <w:r w:rsidR="0064327F" w:rsidRPr="00B16E6B">
        <w:rPr>
          <w:rFonts w:eastAsia="Times New Roman" w:cs="Arial"/>
          <w:sz w:val="22"/>
          <w:lang w:eastAsia="en-AU"/>
        </w:rPr>
        <w:t xml:space="preserve">organisations </w:t>
      </w:r>
      <w:r w:rsidRPr="00B16E6B">
        <w:rPr>
          <w:rFonts w:eastAsia="Times New Roman" w:cs="Arial"/>
          <w:sz w:val="22"/>
          <w:lang w:eastAsia="en-AU"/>
        </w:rPr>
        <w:t>that have paid a ransom in the year to June 2024.</w:t>
      </w:r>
      <w:r w:rsidRPr="00B16E6B">
        <w:rPr>
          <w:rStyle w:val="FootnoteReference"/>
          <w:rFonts w:eastAsia="Times New Roman" w:cs="Arial"/>
          <w:sz w:val="22"/>
          <w:lang w:eastAsia="en-AU"/>
        </w:rPr>
        <w:footnoteReference w:id="7"/>
      </w:r>
    </w:p>
    <w:p w14:paraId="2F5E83A2" w14:textId="2EFC5F0E" w:rsidR="003664A7" w:rsidRPr="00B16E6B" w:rsidRDefault="003664A7" w:rsidP="00A11AF5">
      <w:pPr>
        <w:pStyle w:val="ListNumber4"/>
        <w:numPr>
          <w:ilvl w:val="0"/>
          <w:numId w:val="46"/>
        </w:numPr>
        <w:tabs>
          <w:tab w:val="left" w:pos="720"/>
        </w:tabs>
        <w:spacing w:line="271" w:lineRule="auto"/>
        <w:rPr>
          <w:rFonts w:eastAsia="Times New Roman" w:cs="Arial"/>
          <w:sz w:val="22"/>
          <w:lang w:eastAsia="en-AU"/>
        </w:rPr>
      </w:pPr>
      <w:r w:rsidRPr="00B16E6B">
        <w:rPr>
          <w:rFonts w:eastAsia="Times New Roman" w:cs="Arial"/>
          <w:sz w:val="22"/>
          <w:lang w:eastAsia="en-AU"/>
        </w:rPr>
        <w:lastRenderedPageBreak/>
        <w:t>In 2023, the United States Coast Guard reported an 80% increase in ransomware incidents targeting the maritime sector from 2022 to 2023.</w:t>
      </w:r>
      <w:r w:rsidR="005C7A79" w:rsidRPr="00B16E6B">
        <w:rPr>
          <w:rFonts w:eastAsia="Times New Roman" w:cs="Arial"/>
          <w:sz w:val="22"/>
          <w:lang w:eastAsia="en-AU"/>
        </w:rPr>
        <w:t xml:space="preserve"> These incidents targeted maritime shipping companies, liquid natural gas processors and distributers, petrochemical companies, and maritime logistics and technology service providers.</w:t>
      </w:r>
      <w:r w:rsidR="005C7A79" w:rsidRPr="00B16E6B">
        <w:rPr>
          <w:rStyle w:val="FootnoteReference"/>
          <w:rFonts w:eastAsia="Times New Roman" w:cs="Arial"/>
          <w:sz w:val="22"/>
          <w:lang w:eastAsia="en-AU"/>
        </w:rPr>
        <w:footnoteReference w:id="8"/>
      </w:r>
    </w:p>
    <w:p w14:paraId="57ECA269" w14:textId="26B9CCA9" w:rsidR="00BA3CF3" w:rsidRPr="00B16E6B" w:rsidRDefault="00BA3CF3" w:rsidP="009613E1">
      <w:pPr>
        <w:pStyle w:val="ListNumber4"/>
        <w:tabs>
          <w:tab w:val="left" w:pos="720"/>
        </w:tabs>
        <w:spacing w:line="271" w:lineRule="auto"/>
        <w:rPr>
          <w:rFonts w:eastAsia="Times New Roman" w:cs="Arial"/>
          <w:sz w:val="22"/>
          <w:lang w:eastAsia="en-AU"/>
        </w:rPr>
      </w:pPr>
      <w:r w:rsidRPr="00B16E6B">
        <w:rPr>
          <w:rFonts w:eastAsia="Times New Roman" w:cs="Arial"/>
          <w:sz w:val="22"/>
          <w:lang w:eastAsia="en-AU"/>
        </w:rPr>
        <w:t>While security measures historically applicable to</w:t>
      </w:r>
      <w:r w:rsidR="00D82EEB" w:rsidRPr="00B16E6B">
        <w:rPr>
          <w:rFonts w:eastAsia="Times New Roman" w:cs="Arial"/>
          <w:sz w:val="22"/>
          <w:lang w:eastAsia="en-AU"/>
        </w:rPr>
        <w:t xml:space="preserve"> both</w:t>
      </w:r>
      <w:r w:rsidRPr="00B16E6B">
        <w:rPr>
          <w:rFonts w:eastAsia="Times New Roman" w:cs="Arial"/>
          <w:sz w:val="22"/>
          <w:lang w:eastAsia="en-AU"/>
        </w:rPr>
        <w:t xml:space="preserve"> aviation and maritime industry participants have been focused on mitigating and responding to terrorism-related issues</w:t>
      </w:r>
      <w:r w:rsidR="00D82EEB" w:rsidRPr="00B16E6B">
        <w:rPr>
          <w:rFonts w:eastAsia="Times New Roman" w:cs="Arial"/>
          <w:sz w:val="22"/>
          <w:lang w:eastAsia="en-AU"/>
        </w:rPr>
        <w:t>, we now see</w:t>
      </w:r>
      <w:r w:rsidRPr="00B16E6B">
        <w:rPr>
          <w:rFonts w:eastAsia="Times New Roman" w:cs="Arial"/>
          <w:sz w:val="22"/>
          <w:lang w:eastAsia="en-AU"/>
        </w:rPr>
        <w:t xml:space="preserve"> espionage, foreign interference, cyber security threats and other events captured by all hazards expanding in their prominence</w:t>
      </w:r>
      <w:r w:rsidR="00CE46CD" w:rsidRPr="00B16E6B">
        <w:rPr>
          <w:rFonts w:eastAsia="Times New Roman" w:cs="Arial"/>
          <w:sz w:val="22"/>
          <w:lang w:eastAsia="en-AU"/>
        </w:rPr>
        <w:t>, frequency,</w:t>
      </w:r>
      <w:r w:rsidRPr="00B16E6B">
        <w:rPr>
          <w:rFonts w:eastAsia="Times New Roman" w:cs="Arial"/>
          <w:sz w:val="22"/>
          <w:lang w:eastAsia="en-AU"/>
        </w:rPr>
        <w:t xml:space="preserve"> and severity. These threats include: </w:t>
      </w:r>
    </w:p>
    <w:p w14:paraId="3C749EA0" w14:textId="77777777" w:rsidR="0076081D" w:rsidRPr="00B16E6B" w:rsidRDefault="0076081D" w:rsidP="00A11AF5">
      <w:pPr>
        <w:pStyle w:val="BulletedList-Level1"/>
        <w:numPr>
          <w:ilvl w:val="0"/>
          <w:numId w:val="46"/>
        </w:numPr>
        <w:spacing w:after="120" w:line="271" w:lineRule="auto"/>
        <w:contextualSpacing w:val="0"/>
      </w:pPr>
      <w:r w:rsidRPr="00B16E6B">
        <w:rPr>
          <w:b/>
        </w:rPr>
        <w:t>An ongoing risk of interference by sophisticated insiders</w:t>
      </w:r>
      <w:r w:rsidRPr="00B16E6B">
        <w:t xml:space="preserve"> who may exploit their access to secure airport and port facilities to cause disruption or engage in criminal activity. For example, on 11 June 2021, an insider working for an Australian air services company was arrested, as part of Operation Ironside, which targeted organised crime syndicates, and was charged with drug trafficking and money laundering offences</w:t>
      </w:r>
      <w:r w:rsidRPr="00B16E6B">
        <w:rPr>
          <w:rStyle w:val="FootnoteReference"/>
        </w:rPr>
        <w:footnoteReference w:id="9"/>
      </w:r>
      <w:r w:rsidRPr="00B16E6B">
        <w:t xml:space="preserve"> </w:t>
      </w:r>
    </w:p>
    <w:p w14:paraId="04CD9139" w14:textId="4DBDE19B" w:rsidR="0076081D" w:rsidRPr="00B16E6B" w:rsidRDefault="0076081D" w:rsidP="00A11AF5">
      <w:pPr>
        <w:pStyle w:val="BulletedList-Level1"/>
        <w:numPr>
          <w:ilvl w:val="0"/>
          <w:numId w:val="46"/>
        </w:numPr>
        <w:spacing w:after="120" w:line="271" w:lineRule="auto"/>
        <w:contextualSpacing w:val="0"/>
      </w:pPr>
      <w:r w:rsidRPr="00B16E6B">
        <w:rPr>
          <w:b/>
        </w:rPr>
        <w:t>An observed increase across Australia’s critical infrastructure in the number of cyber incidents</w:t>
      </w:r>
      <w:r w:rsidRPr="00B16E6B">
        <w:t>. In 2022-23, the Mandatory Cyber Incident Reporting regime for critical infrastructure assets identified that there were 188 significant or relevant incidents impacting Australia, with flow on impacts related to the confidentiality, integrity or reliability of Australian critical infrastructure</w:t>
      </w:r>
      <w:r w:rsidRPr="00B16E6B">
        <w:rPr>
          <w:rStyle w:val="FootnoteReference"/>
        </w:rPr>
        <w:footnoteReference w:id="10"/>
      </w:r>
    </w:p>
    <w:p w14:paraId="0884D8CB" w14:textId="098BFC60" w:rsidR="0076081D" w:rsidRPr="00B16E6B" w:rsidRDefault="0076081D" w:rsidP="00A11AF5">
      <w:pPr>
        <w:pStyle w:val="ListNumber4"/>
        <w:numPr>
          <w:ilvl w:val="0"/>
          <w:numId w:val="46"/>
        </w:numPr>
        <w:tabs>
          <w:tab w:val="left" w:pos="720"/>
        </w:tabs>
        <w:spacing w:line="271" w:lineRule="auto"/>
        <w:rPr>
          <w:rFonts w:cs="Arial"/>
          <w:sz w:val="22"/>
        </w:rPr>
      </w:pPr>
      <w:r w:rsidRPr="00B16E6B">
        <w:rPr>
          <w:sz w:val="22"/>
        </w:rPr>
        <w:t xml:space="preserve">For the transport sector, </w:t>
      </w:r>
      <w:r w:rsidRPr="00B16E6B">
        <w:rPr>
          <w:b/>
          <w:sz w:val="22"/>
        </w:rPr>
        <w:t>a traditionally narrow approach to regulating security</w:t>
      </w:r>
      <w:r w:rsidRPr="00B16E6B">
        <w:rPr>
          <w:sz w:val="22"/>
        </w:rPr>
        <w:t xml:space="preserve"> (focused on terrorism and serious crime) can leave open the realisation of threats arising from broader security risks, such as those related to espionage and foreign interference, cyber security and insiders.</w:t>
      </w:r>
      <w:r w:rsidRPr="00B16E6B">
        <w:rPr>
          <w:rStyle w:val="FootnoteReference"/>
        </w:rPr>
        <w:footnoteReference w:id="11"/>
      </w:r>
    </w:p>
    <w:p w14:paraId="32AF9068" w14:textId="77777777" w:rsidR="00287C95" w:rsidRPr="00B16E6B" w:rsidRDefault="00BA3CF3" w:rsidP="009613E1">
      <w:pPr>
        <w:spacing w:line="271" w:lineRule="auto"/>
        <w:textAlignment w:val="baseline"/>
        <w:rPr>
          <w:rFonts w:cs="Arial"/>
          <w:szCs w:val="22"/>
        </w:rPr>
      </w:pPr>
      <w:r w:rsidRPr="00B16E6B">
        <w:rPr>
          <w:rFonts w:eastAsia="Times New Roman" w:cs="Arial"/>
          <w:szCs w:val="22"/>
          <w:lang w:eastAsia="en-AU"/>
        </w:rPr>
        <w:t xml:space="preserve">Additionally, the Royal Australian Navy has identified the global maritime sector is increasingly digitalised, automated, and connected, increasing its vulnerability to </w:t>
      </w:r>
      <w:r w:rsidRPr="00B16E6B">
        <w:rPr>
          <w:rFonts w:cs="Arial"/>
          <w:szCs w:val="22"/>
        </w:rPr>
        <w:t>cyber threats.</w:t>
      </w:r>
      <w:r w:rsidRPr="00B16E6B">
        <w:rPr>
          <w:rStyle w:val="FootnoteReference"/>
          <w:rFonts w:cs="Arial"/>
          <w:szCs w:val="22"/>
        </w:rPr>
        <w:footnoteReference w:id="12"/>
      </w:r>
    </w:p>
    <w:p w14:paraId="1443C671" w14:textId="77777777" w:rsidR="00BA3CF3" w:rsidRPr="00B16E6B" w:rsidRDefault="00BA3CF3" w:rsidP="009613E1">
      <w:pPr>
        <w:spacing w:line="271" w:lineRule="auto"/>
        <w:textAlignment w:val="baseline"/>
        <w:rPr>
          <w:rFonts w:eastAsia="Times New Roman" w:cs="Arial"/>
          <w:szCs w:val="22"/>
          <w:lang w:eastAsia="en-AU"/>
        </w:rPr>
      </w:pPr>
      <w:r w:rsidRPr="00B16E6B">
        <w:rPr>
          <w:rFonts w:eastAsia="Times New Roman" w:cs="Arial"/>
          <w:szCs w:val="22"/>
          <w:lang w:eastAsia="en-AU"/>
        </w:rPr>
        <w:t>More broadly, natural hazard incidents (including catastrophic floods in parts of Australia and the global COVID</w:t>
      </w:r>
      <w:r w:rsidR="006B46E4" w:rsidRPr="00B16E6B">
        <w:rPr>
          <w:rFonts w:eastAsia="Times New Roman" w:cs="Arial"/>
          <w:szCs w:val="22"/>
          <w:lang w:eastAsia="en-AU"/>
        </w:rPr>
        <w:noBreakHyphen/>
      </w:r>
      <w:r w:rsidRPr="00B16E6B">
        <w:rPr>
          <w:rFonts w:eastAsia="Times New Roman" w:cs="Arial"/>
          <w:szCs w:val="22"/>
          <w:lang w:eastAsia="en-AU"/>
        </w:rPr>
        <w:t>19 pandemic) have highlighted vulnerabilities in Australia’s critical infrastructure and supply chain resilience. In relation to the pandemic:  </w:t>
      </w:r>
    </w:p>
    <w:p w14:paraId="07209CAB" w14:textId="77777777" w:rsidR="00BA3CF3" w:rsidRPr="00B16E6B" w:rsidRDefault="00BA3CF3" w:rsidP="009613E1">
      <w:pPr>
        <w:spacing w:line="271" w:lineRule="auto"/>
        <w:ind w:left="720"/>
        <w:textAlignment w:val="baseline"/>
        <w:rPr>
          <w:rFonts w:eastAsia="Times New Roman" w:cs="Arial"/>
          <w:szCs w:val="22"/>
          <w:lang w:eastAsia="en-AU"/>
        </w:rPr>
      </w:pPr>
      <w:r w:rsidRPr="00B16E6B">
        <w:rPr>
          <w:rFonts w:eastAsia="Times New Roman" w:cs="Arial"/>
          <w:i/>
          <w:iCs/>
          <w:szCs w:val="22"/>
          <w:shd w:val="clear" w:color="auto" w:fill="FFFFFF"/>
          <w:lang w:eastAsia="en-AU"/>
        </w:rPr>
        <w:t xml:space="preserve">“COVID-19…highlighted Australia’s dependency and exposure to overseas markets and events. The collated risk of this dependency has never been contemplated by industry or </w:t>
      </w:r>
      <w:r w:rsidR="00487C6A" w:rsidRPr="00B16E6B">
        <w:rPr>
          <w:rFonts w:eastAsia="Times New Roman" w:cs="Arial"/>
          <w:i/>
          <w:iCs/>
          <w:szCs w:val="22"/>
          <w:shd w:val="clear" w:color="auto" w:fill="FFFFFF"/>
          <w:lang w:eastAsia="en-AU"/>
        </w:rPr>
        <w:t>government</w:t>
      </w:r>
      <w:r w:rsidRPr="00B16E6B">
        <w:rPr>
          <w:rFonts w:eastAsia="Times New Roman" w:cs="Arial"/>
          <w:i/>
          <w:iCs/>
          <w:szCs w:val="22"/>
          <w:shd w:val="clear" w:color="auto" w:fill="FFFFFF"/>
          <w:lang w:eastAsia="en-AU"/>
        </w:rPr>
        <w:t>s, prompting significant reactions and fast-thinking during the COVID-19 isolation period. Supply chain analysis, management and interrogation will need to become critical activities for Australian industry, changing the way industry have</w:t>
      </w:r>
      <w:r w:rsidR="006B46E4" w:rsidRPr="00B16E6B">
        <w:rPr>
          <w:rFonts w:eastAsia="Times New Roman" w:cs="Arial"/>
          <w:i/>
          <w:iCs/>
          <w:szCs w:val="22"/>
          <w:shd w:val="clear" w:color="auto" w:fill="FFFFFF"/>
          <w:lang w:eastAsia="en-AU"/>
        </w:rPr>
        <w:t xml:space="preserve"> </w:t>
      </w:r>
      <w:r w:rsidR="006B46E4" w:rsidRPr="00B16E6B">
        <w:rPr>
          <w:rFonts w:eastAsia="Times New Roman" w:cs="Arial"/>
          <w:iCs/>
          <w:szCs w:val="22"/>
          <w:shd w:val="clear" w:color="auto" w:fill="FFFFFF"/>
          <w:lang w:eastAsia="en-AU"/>
        </w:rPr>
        <w:t>[sic]</w:t>
      </w:r>
      <w:r w:rsidRPr="00B16E6B">
        <w:rPr>
          <w:rFonts w:eastAsia="Times New Roman" w:cs="Arial"/>
          <w:i/>
          <w:iCs/>
          <w:szCs w:val="22"/>
          <w:shd w:val="clear" w:color="auto" w:fill="FFFFFF"/>
          <w:lang w:eastAsia="en-AU"/>
        </w:rPr>
        <w:t xml:space="preserve"> traditionally approached and managed supply chains to </w:t>
      </w:r>
      <w:r w:rsidRPr="00B16E6B">
        <w:rPr>
          <w:rFonts w:cs="Arial"/>
          <w:i/>
          <w:szCs w:val="22"/>
          <w:shd w:val="clear" w:color="auto" w:fill="FFFFFF"/>
        </w:rPr>
        <w:t>date.</w:t>
      </w:r>
      <w:r w:rsidRPr="00B16E6B">
        <w:rPr>
          <w:rStyle w:val="FootnoteReference"/>
          <w:rFonts w:cs="Arial"/>
          <w:i/>
          <w:iCs/>
          <w:szCs w:val="22"/>
          <w:shd w:val="clear" w:color="auto" w:fill="FFFFFF"/>
        </w:rPr>
        <w:footnoteReference w:id="13"/>
      </w:r>
    </w:p>
    <w:p w14:paraId="092707C5" w14:textId="77777777" w:rsidR="00287C95" w:rsidRPr="00B16E6B" w:rsidRDefault="00BA3CF3" w:rsidP="009613E1">
      <w:pPr>
        <w:spacing w:line="271" w:lineRule="auto"/>
        <w:textAlignment w:val="baseline"/>
        <w:rPr>
          <w:rFonts w:eastAsia="Times New Roman" w:cs="Arial"/>
          <w:szCs w:val="22"/>
          <w:lang w:eastAsia="en-AU"/>
        </w:rPr>
      </w:pPr>
      <w:r w:rsidRPr="00B16E6B">
        <w:rPr>
          <w:rFonts w:eastAsia="Times New Roman" w:cs="Arial"/>
          <w:szCs w:val="22"/>
          <w:lang w:eastAsia="en-AU"/>
        </w:rPr>
        <w:lastRenderedPageBreak/>
        <w:t xml:space="preserve">For the transport sector, the sudden and ongoing impact of the pandemic demonstrated Australia’s existing reliance on single-source international delivery systems. </w:t>
      </w:r>
    </w:p>
    <w:p w14:paraId="3961B428" w14:textId="67BAB096" w:rsidR="00287C95" w:rsidRPr="00B16E6B" w:rsidRDefault="00AB73E2" w:rsidP="009613E1">
      <w:pPr>
        <w:spacing w:line="271" w:lineRule="auto"/>
        <w:textAlignment w:val="baseline"/>
        <w:rPr>
          <w:rFonts w:eastAsia="Times New Roman" w:cs="Arial"/>
          <w:szCs w:val="22"/>
          <w:lang w:eastAsia="en-AU"/>
        </w:rPr>
      </w:pPr>
      <w:r w:rsidRPr="00B16E6B">
        <w:rPr>
          <w:rFonts w:eastAsia="Times New Roman" w:cs="Arial"/>
          <w:szCs w:val="22"/>
          <w:lang w:eastAsia="en-AU"/>
        </w:rPr>
        <w:t xml:space="preserve">The </w:t>
      </w:r>
      <w:r w:rsidR="00287C95" w:rsidRPr="00B16E6B">
        <w:rPr>
          <w:rFonts w:eastAsia="Times New Roman" w:cs="Arial"/>
          <w:szCs w:val="22"/>
          <w:lang w:eastAsia="en-AU"/>
        </w:rPr>
        <w:t>United Nations’ Inter</w:t>
      </w:r>
      <w:r w:rsidR="00487C6A" w:rsidRPr="00B16E6B">
        <w:rPr>
          <w:rFonts w:eastAsia="Times New Roman" w:cs="Arial"/>
          <w:szCs w:val="22"/>
          <w:lang w:eastAsia="en-AU"/>
        </w:rPr>
        <w:t>government</w:t>
      </w:r>
      <w:r w:rsidR="00287C95" w:rsidRPr="00B16E6B">
        <w:rPr>
          <w:rFonts w:eastAsia="Times New Roman" w:cs="Arial"/>
          <w:szCs w:val="22"/>
          <w:lang w:eastAsia="en-AU"/>
        </w:rPr>
        <w:t xml:space="preserve">al Panel on Climate Change (IPCC) has reported that natural disasters fuelled by the climate </w:t>
      </w:r>
      <w:r w:rsidR="00D82EEB" w:rsidRPr="00B16E6B">
        <w:rPr>
          <w:rFonts w:eastAsia="Times New Roman" w:cs="Arial"/>
          <w:szCs w:val="22"/>
          <w:lang w:eastAsia="en-AU"/>
        </w:rPr>
        <w:t xml:space="preserve">change </w:t>
      </w:r>
      <w:r w:rsidR="00287C95" w:rsidRPr="00B16E6B">
        <w:rPr>
          <w:rFonts w:eastAsia="Times New Roman" w:cs="Arial"/>
          <w:szCs w:val="22"/>
          <w:lang w:eastAsia="en-AU"/>
        </w:rPr>
        <w:t>will continue to intensify.</w:t>
      </w:r>
      <w:r w:rsidR="00287C95" w:rsidRPr="00B16E6B">
        <w:rPr>
          <w:rStyle w:val="FootnoteReference"/>
          <w:rFonts w:eastAsia="Times New Roman" w:cs="Arial"/>
          <w:szCs w:val="22"/>
          <w:lang w:eastAsia="en-AU"/>
        </w:rPr>
        <w:footnoteReference w:id="14"/>
      </w:r>
      <w:r w:rsidR="00287C95" w:rsidRPr="00B16E6B">
        <w:rPr>
          <w:rFonts w:eastAsia="Times New Roman" w:cs="Arial"/>
          <w:szCs w:val="22"/>
          <w:lang w:eastAsia="en-AU"/>
        </w:rPr>
        <w:t xml:space="preserve"> These hazards </w:t>
      </w:r>
      <w:r w:rsidR="00780C40" w:rsidRPr="00B16E6B">
        <w:rPr>
          <w:rFonts w:eastAsia="Times New Roman" w:cs="Arial"/>
          <w:szCs w:val="22"/>
          <w:lang w:eastAsia="en-AU"/>
        </w:rPr>
        <w:t xml:space="preserve">have and will cause, </w:t>
      </w:r>
      <w:r w:rsidR="00287C95" w:rsidRPr="00B16E6B">
        <w:rPr>
          <w:rFonts w:eastAsia="Times New Roman" w:cs="Arial"/>
          <w:szCs w:val="22"/>
          <w:lang w:eastAsia="en-AU"/>
        </w:rPr>
        <w:t>widespread and substantial impacts, losses and damages, including potential damage to infrastructure, coastal areas (including low lying port infrastructure) and damage to key economic sectors.</w:t>
      </w:r>
      <w:r w:rsidR="00287C95" w:rsidRPr="00B16E6B">
        <w:rPr>
          <w:rStyle w:val="FootnoteReference"/>
          <w:rFonts w:eastAsia="Times New Roman" w:cs="Arial"/>
          <w:szCs w:val="22"/>
          <w:lang w:eastAsia="en-AU"/>
        </w:rPr>
        <w:footnoteReference w:id="15"/>
      </w:r>
      <w:r w:rsidR="00287C95" w:rsidRPr="00B16E6B">
        <w:rPr>
          <w:rFonts w:eastAsia="Times New Roman" w:cs="Arial"/>
          <w:szCs w:val="22"/>
          <w:lang w:eastAsia="en-AU"/>
        </w:rPr>
        <w:t xml:space="preserve"> Specifically, the I</w:t>
      </w:r>
      <w:r w:rsidR="002E0F96" w:rsidRPr="00B16E6B">
        <w:rPr>
          <w:rFonts w:eastAsia="Times New Roman" w:cs="Arial"/>
          <w:szCs w:val="22"/>
          <w:lang w:eastAsia="en-AU"/>
        </w:rPr>
        <w:t>P</w:t>
      </w:r>
      <w:r w:rsidR="00287C95" w:rsidRPr="00B16E6B">
        <w:rPr>
          <w:rFonts w:eastAsia="Times New Roman" w:cs="Arial"/>
          <w:szCs w:val="22"/>
          <w:lang w:eastAsia="en-AU"/>
        </w:rPr>
        <w:t>C</w:t>
      </w:r>
      <w:r w:rsidR="002E0F96" w:rsidRPr="00B16E6B">
        <w:rPr>
          <w:rFonts w:eastAsia="Times New Roman" w:cs="Arial"/>
          <w:szCs w:val="22"/>
          <w:lang w:eastAsia="en-AU"/>
        </w:rPr>
        <w:t>C</w:t>
      </w:r>
      <w:r w:rsidR="00287C95" w:rsidRPr="00B16E6B">
        <w:rPr>
          <w:rFonts w:eastAsia="Times New Roman" w:cs="Arial"/>
          <w:szCs w:val="22"/>
          <w:lang w:eastAsia="en-AU"/>
        </w:rPr>
        <w:t xml:space="preserve"> provides: </w:t>
      </w:r>
    </w:p>
    <w:p w14:paraId="74494715" w14:textId="77777777" w:rsidR="00287C95" w:rsidRPr="00B16E6B" w:rsidRDefault="00287C95" w:rsidP="009613E1">
      <w:pPr>
        <w:spacing w:line="271" w:lineRule="auto"/>
        <w:ind w:left="720"/>
        <w:textAlignment w:val="baseline"/>
        <w:rPr>
          <w:rFonts w:eastAsia="Times New Roman" w:cs="Arial"/>
          <w:szCs w:val="22"/>
          <w:lang w:eastAsia="en-AU"/>
        </w:rPr>
      </w:pPr>
      <w:r w:rsidRPr="00B16E6B">
        <w:rPr>
          <w:rFonts w:eastAsia="Times New Roman" w:cs="Arial"/>
          <w:szCs w:val="22"/>
          <w:lang w:eastAsia="en-AU"/>
        </w:rPr>
        <w:t>“</w:t>
      </w:r>
      <w:r w:rsidRPr="00B16E6B">
        <w:rPr>
          <w:i/>
        </w:rPr>
        <w:t>Urban infrastructure, including transportation, water, sanitation</w:t>
      </w:r>
      <w:r w:rsidR="00780C40" w:rsidRPr="00B16E6B">
        <w:rPr>
          <w:i/>
        </w:rPr>
        <w:t>,</w:t>
      </w:r>
      <w:r w:rsidRPr="00B16E6B">
        <w:rPr>
          <w:i/>
        </w:rPr>
        <w:t xml:space="preserve"> and energy systems have been compromised by</w:t>
      </w:r>
      <w:r w:rsidR="00780C40" w:rsidRPr="00B16E6B">
        <w:rPr>
          <w:i/>
        </w:rPr>
        <w:t xml:space="preserve"> extreme and slow-onset events</w:t>
      </w:r>
      <w:r w:rsidRPr="00B16E6B">
        <w:rPr>
          <w:i/>
        </w:rPr>
        <w:t>, with resulting economic losses, disruptions of services and negative impacts to well-being</w:t>
      </w:r>
      <w:r w:rsidRPr="00B16E6B">
        <w:t>.”</w:t>
      </w:r>
      <w:r w:rsidRPr="00B16E6B">
        <w:rPr>
          <w:rStyle w:val="FootnoteReference"/>
        </w:rPr>
        <w:footnoteReference w:id="16"/>
      </w:r>
    </w:p>
    <w:p w14:paraId="3A38E7B1" w14:textId="77777777" w:rsidR="00BA3CF3" w:rsidRPr="00B16E6B" w:rsidRDefault="00BA3CF3" w:rsidP="009613E1">
      <w:pPr>
        <w:spacing w:line="271" w:lineRule="auto"/>
        <w:textAlignment w:val="baseline"/>
        <w:rPr>
          <w:rFonts w:eastAsia="Times New Roman" w:cs="Arial"/>
          <w:szCs w:val="22"/>
          <w:lang w:eastAsia="en-AU"/>
        </w:rPr>
      </w:pPr>
      <w:r w:rsidRPr="00B16E6B">
        <w:rPr>
          <w:rFonts w:eastAsia="Times New Roman" w:cs="Arial"/>
          <w:szCs w:val="22"/>
          <w:lang w:eastAsia="en-AU"/>
        </w:rPr>
        <w:t>The unpredictability and unprecedented nature of these events</w:t>
      </w:r>
      <w:r w:rsidR="00780C40" w:rsidRPr="00B16E6B">
        <w:rPr>
          <w:rFonts w:eastAsia="Times New Roman" w:cs="Arial"/>
          <w:szCs w:val="22"/>
          <w:lang w:eastAsia="en-AU"/>
        </w:rPr>
        <w:t xml:space="preserve">, </w:t>
      </w:r>
      <w:r w:rsidRPr="00B16E6B">
        <w:rPr>
          <w:rFonts w:eastAsia="Times New Roman" w:cs="Arial"/>
          <w:szCs w:val="22"/>
          <w:lang w:eastAsia="en-AU"/>
        </w:rPr>
        <w:t xml:space="preserve">and their impact on the security and stability of critical infrastructure entities, creates a need </w:t>
      </w:r>
      <w:r w:rsidR="00865D73" w:rsidRPr="00B16E6B">
        <w:rPr>
          <w:rFonts w:eastAsia="Times New Roman" w:cs="Arial"/>
          <w:szCs w:val="22"/>
          <w:lang w:eastAsia="en-AU"/>
        </w:rPr>
        <w:t>to strengthen</w:t>
      </w:r>
      <w:r w:rsidRPr="00B16E6B">
        <w:rPr>
          <w:rFonts w:eastAsia="Times New Roman" w:cs="Arial"/>
          <w:szCs w:val="22"/>
          <w:lang w:eastAsia="en-AU"/>
        </w:rPr>
        <w:t xml:space="preserve"> </w:t>
      </w:r>
      <w:r w:rsidR="00865D73" w:rsidRPr="00B16E6B">
        <w:rPr>
          <w:rFonts w:eastAsia="Times New Roman" w:cs="Arial"/>
          <w:szCs w:val="22"/>
          <w:lang w:eastAsia="en-AU"/>
        </w:rPr>
        <w:t xml:space="preserve">Australia’s </w:t>
      </w:r>
      <w:r w:rsidRPr="00B16E6B">
        <w:rPr>
          <w:rFonts w:eastAsia="Times New Roman" w:cs="Arial"/>
          <w:szCs w:val="22"/>
          <w:lang w:eastAsia="en-AU"/>
        </w:rPr>
        <w:t>existing transport security legislative frameworks. </w:t>
      </w:r>
    </w:p>
    <w:p w14:paraId="341D3CE8" w14:textId="77777777" w:rsidR="00BA3CF3" w:rsidRPr="00B16E6B" w:rsidRDefault="00BA3CF3" w:rsidP="000B119B">
      <w:pPr>
        <w:rPr>
          <w:rFonts w:eastAsia="Times New Roman"/>
          <w:lang w:eastAsia="en-AU"/>
        </w:rPr>
      </w:pPr>
      <w:r w:rsidRPr="00B16E6B">
        <w:rPr>
          <w:rFonts w:eastAsia="Times New Roman"/>
          <w:lang w:eastAsia="en-AU"/>
        </w:rPr>
        <w:t>Currently, the limited focus of A</w:t>
      </w:r>
      <w:r w:rsidR="00D0308D" w:rsidRPr="00B16E6B">
        <w:rPr>
          <w:rFonts w:eastAsia="Times New Roman"/>
          <w:lang w:eastAsia="en-AU"/>
        </w:rPr>
        <w:t>T</w:t>
      </w:r>
      <w:r w:rsidRPr="00B16E6B">
        <w:rPr>
          <w:rFonts w:eastAsia="Times New Roman"/>
          <w:lang w:eastAsia="en-AU"/>
        </w:rPr>
        <w:t xml:space="preserve">SA, MTOFSA and their associated regulations (which are restricted to requirements to mitigate the threat of unlawful interference within designed boundaries) does not reflect the current </w:t>
      </w:r>
      <w:r w:rsidR="00F86253" w:rsidRPr="00B16E6B">
        <w:rPr>
          <w:rFonts w:eastAsia="Times New Roman"/>
          <w:lang w:eastAsia="en-AU"/>
        </w:rPr>
        <w:t xml:space="preserve">security </w:t>
      </w:r>
      <w:r w:rsidRPr="00B16E6B">
        <w:rPr>
          <w:rFonts w:eastAsia="Times New Roman"/>
          <w:lang w:eastAsia="en-AU"/>
        </w:rPr>
        <w:t>environment nor the range of risks which currently face Australia’s transport sector.  </w:t>
      </w:r>
    </w:p>
    <w:p w14:paraId="5F7EFBB6" w14:textId="7964B67C" w:rsidR="0056132D" w:rsidRDefault="0056132D" w:rsidP="00F47BB4">
      <w:pPr>
        <w:pStyle w:val="Heading2"/>
        <w:rPr>
          <w:rFonts w:eastAsia="Times New Roman"/>
          <w:lang w:eastAsia="en-AU"/>
        </w:rPr>
      </w:pPr>
      <w:r>
        <w:rPr>
          <w:rFonts w:eastAsia="Times New Roman"/>
          <w:lang w:eastAsia="en-AU"/>
        </w:rPr>
        <w:t>1.1 Problem Elements</w:t>
      </w:r>
    </w:p>
    <w:p w14:paraId="4CE788EA" w14:textId="3A4761C8" w:rsidR="0018256C" w:rsidRPr="00B16E6B" w:rsidRDefault="00896FCB" w:rsidP="009613E1">
      <w:pPr>
        <w:spacing w:line="271" w:lineRule="auto"/>
        <w:textAlignment w:val="baseline"/>
        <w:rPr>
          <w:rFonts w:eastAsia="Times New Roman" w:cs="Arial"/>
          <w:szCs w:val="22"/>
          <w:lang w:eastAsia="en-AU"/>
        </w:rPr>
      </w:pPr>
      <w:r w:rsidRPr="00B16E6B">
        <w:rPr>
          <w:rFonts w:eastAsia="Times New Roman" w:cs="Arial"/>
          <w:szCs w:val="22"/>
          <w:lang w:eastAsia="en-AU"/>
        </w:rPr>
        <w:t>This First Pass IA</w:t>
      </w:r>
      <w:r w:rsidR="00BA3CF3" w:rsidRPr="00B16E6B">
        <w:rPr>
          <w:rFonts w:eastAsia="Times New Roman" w:cs="Arial"/>
          <w:szCs w:val="22"/>
          <w:lang w:eastAsia="en-AU"/>
        </w:rPr>
        <w:t xml:space="preserve"> considers two key problem elements, which currently impact the transport sector, including the ability for maritime and aviation industry participants to prepare for, prevent and respond to all hazards threats.  </w:t>
      </w:r>
    </w:p>
    <w:p w14:paraId="697C4CC7" w14:textId="77777777" w:rsidR="00BA3CF3" w:rsidRPr="00B16E6B" w:rsidRDefault="00BA3CF3" w:rsidP="009613E1">
      <w:pPr>
        <w:spacing w:after="60" w:line="271" w:lineRule="auto"/>
        <w:textAlignment w:val="baseline"/>
        <w:rPr>
          <w:rFonts w:ascii="Arial" w:eastAsia="Times New Roman" w:hAnsi="Arial" w:cs="Arial"/>
          <w:bCs/>
          <w:i/>
          <w:iCs/>
          <w:color w:val="44546A"/>
          <w:sz w:val="18"/>
          <w:szCs w:val="18"/>
          <w:lang w:eastAsia="en-AU"/>
        </w:rPr>
      </w:pPr>
      <w:r w:rsidRPr="00B16E6B">
        <w:rPr>
          <w:rFonts w:ascii="Arial" w:eastAsia="Times New Roman" w:hAnsi="Arial" w:cs="Arial"/>
          <w:b/>
          <w:bCs/>
          <w:i/>
          <w:iCs/>
          <w:color w:val="44546A"/>
          <w:sz w:val="18"/>
          <w:szCs w:val="18"/>
          <w:lang w:eastAsia="en-AU"/>
        </w:rPr>
        <w:t xml:space="preserve">Table 4: </w:t>
      </w:r>
      <w:r w:rsidRPr="00B16E6B">
        <w:rPr>
          <w:rFonts w:ascii="Arial" w:eastAsia="Times New Roman" w:hAnsi="Arial" w:cs="Arial"/>
          <w:bCs/>
          <w:i/>
          <w:iCs/>
          <w:color w:val="44546A"/>
          <w:sz w:val="18"/>
          <w:szCs w:val="18"/>
          <w:lang w:eastAsia="en-AU"/>
        </w:rPr>
        <w:t>Overview of problem elements </w:t>
      </w:r>
    </w:p>
    <w:tbl>
      <w:tblPr>
        <w:tblW w:w="0" w:type="dxa"/>
        <w:tblBorders>
          <w:top w:val="single" w:sz="6" w:space="0" w:color="BFBFBF"/>
          <w:bottom w:val="single" w:sz="6" w:space="0" w:color="BFBFBF"/>
          <w:insideH w:val="single" w:sz="6" w:space="0" w:color="BFBFBF"/>
          <w:insideV w:val="single" w:sz="6" w:space="0" w:color="BFBFBF"/>
        </w:tblBorders>
        <w:tblCellMar>
          <w:left w:w="0" w:type="dxa"/>
          <w:right w:w="0" w:type="dxa"/>
        </w:tblCellMar>
        <w:tblLook w:val="04A0" w:firstRow="1" w:lastRow="0" w:firstColumn="1" w:lastColumn="0" w:noHBand="0" w:noVBand="1"/>
      </w:tblPr>
      <w:tblGrid>
        <w:gridCol w:w="574"/>
        <w:gridCol w:w="8460"/>
      </w:tblGrid>
      <w:tr w:rsidR="00BA3CF3" w:rsidRPr="00B16E6B" w14:paraId="1A3B4D1D" w14:textId="77777777" w:rsidTr="00865D73">
        <w:trPr>
          <w:trHeight w:val="330"/>
        </w:trPr>
        <w:tc>
          <w:tcPr>
            <w:tcW w:w="9015" w:type="dxa"/>
            <w:gridSpan w:val="2"/>
            <w:shd w:val="clear" w:color="auto" w:fill="1C2B39" w:themeFill="accent1"/>
            <w:vAlign w:val="center"/>
            <w:hideMark/>
          </w:tcPr>
          <w:p w14:paraId="609A4AFA" w14:textId="77777777" w:rsidR="00BA3CF3" w:rsidRPr="00B16E6B" w:rsidRDefault="00BA3CF3" w:rsidP="009613E1">
            <w:pPr>
              <w:spacing w:before="60" w:after="60" w:line="271" w:lineRule="auto"/>
              <w:textAlignment w:val="baseline"/>
              <w:rPr>
                <w:rFonts w:eastAsia="Times New Roman" w:cs="Times New Roman"/>
                <w:sz w:val="20"/>
                <w:szCs w:val="20"/>
                <w:lang w:eastAsia="en-AU"/>
              </w:rPr>
            </w:pPr>
            <w:r w:rsidRPr="00B16E6B">
              <w:rPr>
                <w:rFonts w:eastAsia="Times New Roman" w:cs="Arial"/>
                <w:b/>
                <w:bCs/>
                <w:sz w:val="20"/>
                <w:szCs w:val="20"/>
                <w:lang w:eastAsia="en-AU"/>
              </w:rPr>
              <w:t>Problem elements</w:t>
            </w:r>
            <w:r w:rsidRPr="00B16E6B">
              <w:rPr>
                <w:rFonts w:eastAsia="Times New Roman" w:cs="Arial"/>
                <w:sz w:val="20"/>
                <w:szCs w:val="20"/>
                <w:lang w:eastAsia="en-AU"/>
              </w:rPr>
              <w:t> </w:t>
            </w:r>
          </w:p>
        </w:tc>
      </w:tr>
      <w:tr w:rsidR="00BA3CF3" w:rsidRPr="00B16E6B" w14:paraId="526ED8A0" w14:textId="77777777" w:rsidTr="00CD3687">
        <w:trPr>
          <w:trHeight w:val="300"/>
        </w:trPr>
        <w:tc>
          <w:tcPr>
            <w:tcW w:w="555" w:type="dxa"/>
            <w:shd w:val="clear" w:color="auto" w:fill="F2F2F2"/>
            <w:vAlign w:val="center"/>
            <w:hideMark/>
          </w:tcPr>
          <w:p w14:paraId="700A0169" w14:textId="77777777" w:rsidR="00BA3CF3" w:rsidRPr="00B16E6B" w:rsidRDefault="00BA3CF3" w:rsidP="009613E1">
            <w:pPr>
              <w:spacing w:after="0" w:line="271" w:lineRule="auto"/>
              <w:ind w:left="57" w:right="57"/>
              <w:jc w:val="center"/>
              <w:textAlignment w:val="baseline"/>
              <w:rPr>
                <w:rFonts w:eastAsia="Times New Roman" w:cs="Times New Roman"/>
                <w:szCs w:val="22"/>
                <w:lang w:eastAsia="en-AU"/>
              </w:rPr>
            </w:pPr>
            <w:r w:rsidRPr="00B16E6B">
              <w:rPr>
                <w:rFonts w:eastAsia="Times New Roman" w:cs="Arial"/>
                <w:b/>
                <w:bCs/>
                <w:szCs w:val="22"/>
                <w:lang w:eastAsia="en-AU"/>
              </w:rPr>
              <w:t>1.1.1</w:t>
            </w:r>
          </w:p>
        </w:tc>
        <w:tc>
          <w:tcPr>
            <w:tcW w:w="8445" w:type="dxa"/>
            <w:vAlign w:val="center"/>
            <w:hideMark/>
          </w:tcPr>
          <w:p w14:paraId="4AE51BF8" w14:textId="77777777" w:rsidR="00BA3CF3" w:rsidRPr="00B16E6B" w:rsidRDefault="00BA3CF3" w:rsidP="009613E1">
            <w:pPr>
              <w:spacing w:before="40" w:after="40" w:line="271" w:lineRule="auto"/>
              <w:ind w:left="57" w:right="57"/>
              <w:textAlignment w:val="baseline"/>
              <w:rPr>
                <w:rFonts w:eastAsia="Times New Roman" w:cs="Times New Roman"/>
                <w:sz w:val="20"/>
                <w:szCs w:val="20"/>
                <w:lang w:eastAsia="en-AU"/>
              </w:rPr>
            </w:pPr>
            <w:r w:rsidRPr="00B16E6B">
              <w:rPr>
                <w:rFonts w:eastAsia="Times New Roman" w:cs="Arial"/>
                <w:sz w:val="20"/>
                <w:szCs w:val="20"/>
                <w:lang w:eastAsia="en-AU"/>
              </w:rPr>
              <w:t>There are a growing number of threats to Australia’s transport sector, including an incr</w:t>
            </w:r>
            <w:r w:rsidR="00E81C6F" w:rsidRPr="00B16E6B">
              <w:rPr>
                <w:rFonts w:eastAsia="Times New Roman" w:cs="Arial"/>
                <w:sz w:val="20"/>
                <w:szCs w:val="20"/>
                <w:lang w:eastAsia="en-AU"/>
              </w:rPr>
              <w:t>easing risk of cyber incidents</w:t>
            </w:r>
            <w:r w:rsidRPr="00B16E6B">
              <w:rPr>
                <w:rFonts w:eastAsia="Times New Roman" w:cs="Arial"/>
                <w:sz w:val="20"/>
                <w:szCs w:val="20"/>
                <w:lang w:eastAsia="en-AU"/>
              </w:rPr>
              <w:t> </w:t>
            </w:r>
          </w:p>
        </w:tc>
      </w:tr>
      <w:tr w:rsidR="00BA3CF3" w:rsidRPr="00B16E6B" w14:paraId="10C6E1AF" w14:textId="77777777" w:rsidTr="00CD3687">
        <w:trPr>
          <w:trHeight w:val="300"/>
        </w:trPr>
        <w:tc>
          <w:tcPr>
            <w:tcW w:w="555" w:type="dxa"/>
            <w:shd w:val="clear" w:color="auto" w:fill="F2F2F2"/>
            <w:vAlign w:val="center"/>
            <w:hideMark/>
          </w:tcPr>
          <w:p w14:paraId="017962AC" w14:textId="77777777" w:rsidR="00BA3CF3" w:rsidRPr="00B16E6B" w:rsidRDefault="00BA3CF3" w:rsidP="009613E1">
            <w:pPr>
              <w:spacing w:after="0" w:line="271" w:lineRule="auto"/>
              <w:ind w:left="57" w:right="57"/>
              <w:jc w:val="center"/>
              <w:textAlignment w:val="baseline"/>
              <w:rPr>
                <w:rFonts w:eastAsia="Times New Roman" w:cs="Times New Roman"/>
                <w:szCs w:val="22"/>
                <w:lang w:eastAsia="en-AU"/>
              </w:rPr>
            </w:pPr>
            <w:r w:rsidRPr="00B16E6B">
              <w:rPr>
                <w:rFonts w:eastAsia="Times New Roman" w:cs="Arial"/>
                <w:b/>
                <w:bCs/>
                <w:szCs w:val="22"/>
                <w:lang w:eastAsia="en-AU"/>
              </w:rPr>
              <w:t>1.1.2</w:t>
            </w:r>
          </w:p>
        </w:tc>
        <w:tc>
          <w:tcPr>
            <w:tcW w:w="8445" w:type="dxa"/>
            <w:vAlign w:val="center"/>
            <w:hideMark/>
          </w:tcPr>
          <w:p w14:paraId="28CB0D38" w14:textId="77777777" w:rsidR="00BA3CF3" w:rsidRPr="00B16E6B" w:rsidRDefault="00BA3CF3" w:rsidP="009613E1">
            <w:pPr>
              <w:spacing w:before="40" w:after="40" w:line="271" w:lineRule="auto"/>
              <w:ind w:left="57" w:right="57"/>
              <w:textAlignment w:val="baseline"/>
              <w:rPr>
                <w:rFonts w:eastAsia="Times New Roman" w:cs="Times New Roman"/>
                <w:sz w:val="20"/>
                <w:szCs w:val="20"/>
                <w:lang w:eastAsia="en-AU"/>
              </w:rPr>
            </w:pPr>
            <w:r w:rsidRPr="00B16E6B">
              <w:rPr>
                <w:rFonts w:eastAsia="Times New Roman" w:cs="Arial"/>
                <w:sz w:val="20"/>
                <w:szCs w:val="20"/>
                <w:lang w:eastAsia="en-AU"/>
              </w:rPr>
              <w:t>The dynamic and uncertain nature of these threats means the transport sector faces challenges in preparing for, mitigating and responding to the realisation of threats  </w:t>
            </w:r>
          </w:p>
        </w:tc>
      </w:tr>
    </w:tbl>
    <w:p w14:paraId="38CCA85D" w14:textId="77777777" w:rsidR="00B905E7" w:rsidRPr="00B16E6B" w:rsidRDefault="00BA3CF3" w:rsidP="009613E1">
      <w:pPr>
        <w:spacing w:before="120" w:after="120" w:line="271" w:lineRule="auto"/>
        <w:textAlignment w:val="baseline"/>
        <w:rPr>
          <w:rFonts w:eastAsia="Times New Roman" w:cs="Arial"/>
          <w:szCs w:val="22"/>
          <w:lang w:eastAsia="en-AU"/>
        </w:rPr>
      </w:pPr>
      <w:r w:rsidRPr="00B16E6B">
        <w:rPr>
          <w:rFonts w:eastAsia="Times New Roman" w:cs="Arial"/>
          <w:szCs w:val="22"/>
          <w:lang w:eastAsia="en-AU"/>
        </w:rPr>
        <w:t>These problem elements are analysed in further detail below.  </w:t>
      </w:r>
    </w:p>
    <w:p w14:paraId="215C0468" w14:textId="77777777" w:rsidR="00A867F6" w:rsidRPr="00B16E6B" w:rsidRDefault="00A867F6">
      <w:pPr>
        <w:spacing w:after="200" w:line="288" w:lineRule="auto"/>
        <w:rPr>
          <w:rFonts w:asciiTheme="majorHAnsi" w:eastAsia="Times New Roman" w:hAnsiTheme="majorHAnsi" w:cstheme="minorHAnsi"/>
          <w:color w:val="1C2B39" w:themeColor="accent1"/>
          <w:sz w:val="24"/>
          <w:szCs w:val="24"/>
          <w:lang w:eastAsia="en-AU"/>
        </w:rPr>
      </w:pPr>
      <w:r w:rsidRPr="00B16E6B">
        <w:rPr>
          <w:rFonts w:eastAsia="Times New Roman"/>
          <w:lang w:eastAsia="en-AU"/>
        </w:rPr>
        <w:br w:type="page"/>
      </w:r>
    </w:p>
    <w:p w14:paraId="77945B80" w14:textId="7CC80B07" w:rsidR="00BA3CF3" w:rsidRPr="00B16E6B" w:rsidRDefault="00084642" w:rsidP="009613E1">
      <w:pPr>
        <w:pStyle w:val="Heading3"/>
        <w:spacing w:line="271" w:lineRule="auto"/>
        <w:rPr>
          <w:rFonts w:eastAsia="Times New Roman"/>
          <w:lang w:eastAsia="en-AU"/>
        </w:rPr>
      </w:pPr>
      <w:r w:rsidRPr="00B16E6B">
        <w:rPr>
          <w:rFonts w:eastAsia="Times New Roman"/>
          <w:lang w:eastAsia="en-AU"/>
        </w:rPr>
        <w:lastRenderedPageBreak/>
        <w:t xml:space="preserve">1.1.1 </w:t>
      </w:r>
      <w:r w:rsidR="00BA3CF3" w:rsidRPr="00B16E6B">
        <w:rPr>
          <w:rFonts w:eastAsia="Times New Roman"/>
          <w:lang w:eastAsia="en-AU"/>
        </w:rPr>
        <w:t>There are a growing number of threats to Australia’s transport sector </w:t>
      </w:r>
    </w:p>
    <w:p w14:paraId="1187395C" w14:textId="5BD7C5A9" w:rsidR="00BA3CF3" w:rsidRPr="00B16E6B" w:rsidRDefault="00487C6A" w:rsidP="009613E1">
      <w:pPr>
        <w:spacing w:line="271" w:lineRule="auto"/>
        <w:textAlignment w:val="baseline"/>
        <w:rPr>
          <w:rFonts w:eastAsia="Times New Roman" w:cs="Arial"/>
          <w:szCs w:val="22"/>
          <w:lang w:eastAsia="en-AU"/>
        </w:rPr>
      </w:pPr>
      <w:r w:rsidRPr="00B16E6B">
        <w:rPr>
          <w:rFonts w:cs="Arial"/>
          <w:szCs w:val="22"/>
        </w:rPr>
        <w:t>Government</w:t>
      </w:r>
      <w:r w:rsidR="00BA3CF3" w:rsidRPr="00B16E6B">
        <w:rPr>
          <w:rFonts w:cs="Arial"/>
          <w:szCs w:val="22"/>
        </w:rPr>
        <w:t xml:space="preserve"> and industry must contend with protecting Australians against a broad spectrum of </w:t>
      </w:r>
      <w:r w:rsidR="00F86253" w:rsidRPr="00B16E6B">
        <w:rPr>
          <w:rFonts w:cs="Arial"/>
          <w:szCs w:val="22"/>
        </w:rPr>
        <w:t>thr</w:t>
      </w:r>
      <w:r w:rsidR="00F86253" w:rsidRPr="00B16E6B">
        <w:rPr>
          <w:rFonts w:eastAsia="Times New Roman" w:cs="Arial"/>
          <w:szCs w:val="22"/>
          <w:lang w:eastAsia="en-AU"/>
        </w:rPr>
        <w:t xml:space="preserve">eats and </w:t>
      </w:r>
      <w:r w:rsidR="00BA3CF3" w:rsidRPr="00B16E6B">
        <w:rPr>
          <w:rFonts w:eastAsia="Times New Roman" w:cs="Arial"/>
          <w:szCs w:val="22"/>
          <w:lang w:eastAsia="en-AU"/>
        </w:rPr>
        <w:t xml:space="preserve">hazards. The security and resilience of Australia’s critical infrastructure faces potential threats across </w:t>
      </w:r>
      <w:r w:rsidR="00774379" w:rsidRPr="00B16E6B">
        <w:rPr>
          <w:rFonts w:eastAsia="Times New Roman" w:cs="Arial"/>
          <w:szCs w:val="22"/>
          <w:lang w:eastAsia="en-AU"/>
        </w:rPr>
        <w:t xml:space="preserve">5 </w:t>
      </w:r>
      <w:r w:rsidR="00BA3CF3" w:rsidRPr="00B16E6B">
        <w:rPr>
          <w:rFonts w:eastAsia="Times New Roman" w:cs="Arial"/>
          <w:szCs w:val="22"/>
          <w:lang w:eastAsia="en-AU"/>
        </w:rPr>
        <w:t xml:space="preserve">hazard domains (summarised in </w:t>
      </w:r>
      <w:r w:rsidR="00E2411D" w:rsidRPr="00B16E6B">
        <w:rPr>
          <w:rFonts w:eastAsia="Times New Roman" w:cs="Arial"/>
          <w:szCs w:val="22"/>
          <w:lang w:eastAsia="en-AU"/>
        </w:rPr>
        <w:t>table</w:t>
      </w:r>
      <w:r w:rsidR="00BA3CF3" w:rsidRPr="00B16E6B">
        <w:rPr>
          <w:rFonts w:eastAsia="Times New Roman" w:cs="Arial"/>
          <w:szCs w:val="22"/>
          <w:lang w:eastAsia="en-AU"/>
        </w:rPr>
        <w:t xml:space="preserve"> 5 below), each of which have the potential to cause significant disruption across the Australian economy. </w:t>
      </w:r>
    </w:p>
    <w:p w14:paraId="0BB03BA4" w14:textId="77777777" w:rsidR="00681647" w:rsidRPr="00B16E6B" w:rsidRDefault="00BA3CF3" w:rsidP="009613E1">
      <w:pPr>
        <w:spacing w:line="271" w:lineRule="auto"/>
        <w:textAlignment w:val="baseline"/>
        <w:rPr>
          <w:rFonts w:eastAsia="Times New Roman" w:cs="Arial"/>
          <w:szCs w:val="22"/>
          <w:lang w:eastAsia="en-AU"/>
        </w:rPr>
      </w:pPr>
      <w:r w:rsidRPr="00B16E6B">
        <w:rPr>
          <w:rFonts w:eastAsia="Times New Roman" w:cs="Arial"/>
          <w:szCs w:val="22"/>
          <w:lang w:eastAsia="en-AU"/>
        </w:rPr>
        <w:t xml:space="preserve">The department leverages industry knowledge of the different sectors, businesses, operations and processes to understand the environment and approach to </w:t>
      </w:r>
      <w:r w:rsidR="00AF1FBF" w:rsidRPr="00B16E6B">
        <w:rPr>
          <w:rFonts w:eastAsia="Times New Roman" w:cs="Arial"/>
          <w:szCs w:val="22"/>
          <w:lang w:eastAsia="en-AU"/>
        </w:rPr>
        <w:t xml:space="preserve">increasing </w:t>
      </w:r>
      <w:r w:rsidRPr="00B16E6B">
        <w:rPr>
          <w:rFonts w:eastAsia="Times New Roman" w:cs="Arial"/>
          <w:szCs w:val="22"/>
          <w:lang w:eastAsia="en-AU"/>
        </w:rPr>
        <w:t>capability</w:t>
      </w:r>
      <w:r w:rsidR="00205026" w:rsidRPr="00B16E6B">
        <w:rPr>
          <w:rFonts w:eastAsia="Times New Roman" w:cs="Arial"/>
          <w:szCs w:val="22"/>
          <w:lang w:eastAsia="en-AU"/>
        </w:rPr>
        <w:t>,</w:t>
      </w:r>
      <w:r w:rsidRPr="00B16E6B">
        <w:rPr>
          <w:rFonts w:eastAsia="Times New Roman" w:cs="Arial"/>
          <w:szCs w:val="22"/>
          <w:lang w:eastAsia="en-AU"/>
        </w:rPr>
        <w:t xml:space="preserve"> and to collaboratively ensure the security, continuity and resilience of Australia’s critical infrastructure.</w:t>
      </w:r>
      <w:r w:rsidR="00681647" w:rsidRPr="00B16E6B">
        <w:rPr>
          <w:rFonts w:eastAsia="Times New Roman" w:cs="Arial"/>
          <w:szCs w:val="22"/>
          <w:lang w:eastAsia="en-AU"/>
        </w:rPr>
        <w:t xml:space="preserve"> </w:t>
      </w:r>
      <w:r w:rsidR="00D852AA" w:rsidRPr="00B16E6B">
        <w:rPr>
          <w:rFonts w:eastAsia="Times New Roman" w:cs="Arial"/>
          <w:szCs w:val="22"/>
          <w:lang w:eastAsia="en-AU"/>
        </w:rPr>
        <w:t>This includes an understanding that potential threats, including</w:t>
      </w:r>
      <w:r w:rsidR="00FD1814" w:rsidRPr="00B16E6B">
        <w:rPr>
          <w:rFonts w:eastAsia="Times New Roman" w:cs="Arial"/>
          <w:szCs w:val="22"/>
          <w:lang w:eastAsia="en-AU"/>
        </w:rPr>
        <w:t xml:space="preserve"> the</w:t>
      </w:r>
      <w:r w:rsidR="00D852AA" w:rsidRPr="00B16E6B">
        <w:rPr>
          <w:rFonts w:eastAsia="Times New Roman" w:cs="Arial"/>
          <w:szCs w:val="22"/>
          <w:lang w:eastAsia="en-AU"/>
        </w:rPr>
        <w:t xml:space="preserve"> risk of cyber security incidents, continue to increase. For example:</w:t>
      </w:r>
    </w:p>
    <w:p w14:paraId="02ECC56B" w14:textId="77777777" w:rsidR="00D852AA" w:rsidRPr="00B16E6B" w:rsidRDefault="00D852AA" w:rsidP="00A11AF5">
      <w:pPr>
        <w:pStyle w:val="BodyText"/>
        <w:numPr>
          <w:ilvl w:val="0"/>
          <w:numId w:val="47"/>
        </w:numPr>
        <w:spacing w:line="271" w:lineRule="auto"/>
        <w:rPr>
          <w:sz w:val="20"/>
        </w:rPr>
      </w:pPr>
      <w:r w:rsidRPr="00B16E6B">
        <w:t>During 2022–23, the Australian Signals Directorate</w:t>
      </w:r>
      <w:r w:rsidR="00636E0E" w:rsidRPr="00B16E6B">
        <w:t>’s</w:t>
      </w:r>
      <w:r w:rsidRPr="00B16E6B">
        <w:t xml:space="preserve"> </w:t>
      </w:r>
      <w:r w:rsidR="00636E0E" w:rsidRPr="00B16E6B">
        <w:t xml:space="preserve">Australian Cyber Security Centre </w:t>
      </w:r>
      <w:r w:rsidRPr="00B16E6B">
        <w:t>(</w:t>
      </w:r>
      <w:r w:rsidR="00636E0E" w:rsidRPr="00B16E6B">
        <w:t>ASD’s ACSC</w:t>
      </w:r>
      <w:r w:rsidRPr="00B16E6B">
        <w:t>) responded to 143 incidents reported by entities who self-identified as critical infrastructure</w:t>
      </w:r>
      <w:r w:rsidR="00205026" w:rsidRPr="00B16E6B">
        <w:t>. This is</w:t>
      </w:r>
      <w:r w:rsidRPr="00B16E6B">
        <w:t xml:space="preserve"> an increase from the 95 incidents reported in 2021–22.</w:t>
      </w:r>
      <w:r w:rsidRPr="00B16E6B">
        <w:rPr>
          <w:rStyle w:val="FootnoteReference"/>
        </w:rPr>
        <w:footnoteReference w:id="17"/>
      </w:r>
    </w:p>
    <w:p w14:paraId="505E4E3F" w14:textId="77777777" w:rsidR="00D852AA" w:rsidRPr="00B16E6B" w:rsidRDefault="00636E0E" w:rsidP="00A11AF5">
      <w:pPr>
        <w:pStyle w:val="BodyText"/>
        <w:numPr>
          <w:ilvl w:val="0"/>
          <w:numId w:val="47"/>
        </w:numPr>
        <w:spacing w:line="271" w:lineRule="auto"/>
        <w:rPr>
          <w:sz w:val="20"/>
        </w:rPr>
      </w:pPr>
      <w:r w:rsidRPr="00B16E6B">
        <w:t>ASD’s ACSC</w:t>
      </w:r>
      <w:r w:rsidR="00D852AA" w:rsidRPr="00B16E6B">
        <w:t xml:space="preserve"> responded to 79 cyber security incidents involving denial-of-service (DoS) and distributed denial-of-service (DDoS) in 2022-23, which is more than double the 29 incidents reported to ASD</w:t>
      </w:r>
      <w:r w:rsidRPr="00B16E6B">
        <w:t>’s ACSC</w:t>
      </w:r>
      <w:r w:rsidR="00D852AA" w:rsidRPr="00B16E6B">
        <w:t xml:space="preserve"> in 2021-22</w:t>
      </w:r>
      <w:r w:rsidR="002B0701" w:rsidRPr="00B16E6B">
        <w:t>.</w:t>
      </w:r>
      <w:r w:rsidR="00D852AA" w:rsidRPr="00B16E6B">
        <w:rPr>
          <w:rStyle w:val="FootnoteReference"/>
        </w:rPr>
        <w:footnoteReference w:id="18"/>
      </w:r>
      <w:r w:rsidR="00D852AA" w:rsidRPr="00B16E6B">
        <w:t xml:space="preserve">   </w:t>
      </w:r>
    </w:p>
    <w:p w14:paraId="62D6D664" w14:textId="50BC3F8F" w:rsidR="00760092" w:rsidRPr="00B16E6B" w:rsidRDefault="00BA3CF3" w:rsidP="009613E1">
      <w:pPr>
        <w:spacing w:line="271" w:lineRule="auto"/>
        <w:textAlignment w:val="baseline"/>
        <w:rPr>
          <w:rFonts w:eastAsia="Times New Roman" w:cs="Arial"/>
          <w:szCs w:val="22"/>
          <w:lang w:eastAsia="en-AU"/>
        </w:rPr>
      </w:pPr>
      <w:r w:rsidRPr="00B16E6B">
        <w:rPr>
          <w:rFonts w:eastAsia="Times New Roman" w:cs="Arial"/>
          <w:szCs w:val="22"/>
          <w:lang w:eastAsia="en-AU"/>
        </w:rPr>
        <w:t xml:space="preserve">Many of the hazard domains and associated risk areas described in the table </w:t>
      </w:r>
      <w:r w:rsidR="00681647" w:rsidRPr="00B16E6B">
        <w:rPr>
          <w:rFonts w:eastAsia="Times New Roman" w:cs="Arial"/>
          <w:szCs w:val="22"/>
          <w:lang w:eastAsia="en-AU"/>
        </w:rPr>
        <w:t>below</w:t>
      </w:r>
      <w:r w:rsidRPr="00B16E6B">
        <w:rPr>
          <w:rFonts w:eastAsia="Times New Roman" w:cs="Arial"/>
          <w:szCs w:val="22"/>
          <w:lang w:eastAsia="en-AU"/>
        </w:rPr>
        <w:t xml:space="preserve"> have arisen or expanded in the </w:t>
      </w:r>
      <w:r w:rsidR="00FD1814" w:rsidRPr="00B16E6B">
        <w:rPr>
          <w:rFonts w:eastAsia="Times New Roman" w:cs="Arial"/>
          <w:szCs w:val="22"/>
          <w:lang w:eastAsia="en-AU"/>
        </w:rPr>
        <w:t>20</w:t>
      </w:r>
      <w:r w:rsidRPr="00B16E6B">
        <w:rPr>
          <w:rFonts w:eastAsia="Times New Roman" w:cs="Arial"/>
          <w:szCs w:val="22"/>
          <w:lang w:eastAsia="en-AU"/>
        </w:rPr>
        <w:t xml:space="preserve"> years following the initial enactment of the transport </w:t>
      </w:r>
      <w:r w:rsidR="00760092" w:rsidRPr="00B16E6B">
        <w:rPr>
          <w:rFonts w:eastAsia="Times New Roman" w:cs="Arial"/>
          <w:szCs w:val="22"/>
          <w:lang w:eastAsia="en-AU"/>
        </w:rPr>
        <w:t>security legislative frameworks</w:t>
      </w:r>
      <w:r w:rsidR="00D0308D" w:rsidRPr="00B16E6B">
        <w:rPr>
          <w:rFonts w:eastAsia="Times New Roman" w:cs="Arial"/>
          <w:szCs w:val="22"/>
          <w:lang w:eastAsia="en-AU"/>
        </w:rPr>
        <w:t>.</w:t>
      </w:r>
      <w:r w:rsidR="0022690C" w:rsidRPr="00B16E6B">
        <w:rPr>
          <w:rStyle w:val="FootnoteReference"/>
          <w:rFonts w:eastAsia="Times New Roman" w:cs="Arial"/>
          <w:szCs w:val="22"/>
          <w:lang w:eastAsia="en-AU"/>
        </w:rPr>
        <w:footnoteReference w:id="19"/>
      </w:r>
      <w:r w:rsidRPr="00B16E6B">
        <w:rPr>
          <w:rFonts w:eastAsia="Times New Roman" w:cs="Arial"/>
          <w:szCs w:val="22"/>
          <w:lang w:eastAsia="en-AU"/>
        </w:rPr>
        <w:t xml:space="preserve"> This expansion is also reflected in industry’s operating environments, which have evolved to meet the growing demands of transport services across Australia and from the broader international community. </w:t>
      </w:r>
    </w:p>
    <w:p w14:paraId="150A174A" w14:textId="7502C180" w:rsidR="000A140E" w:rsidRPr="00B16E6B" w:rsidRDefault="00D82EEB" w:rsidP="009613E1">
      <w:pPr>
        <w:spacing w:after="200" w:line="271" w:lineRule="auto"/>
        <w:rPr>
          <w:rFonts w:eastAsia="Times New Roman" w:cs="Arial"/>
          <w:szCs w:val="22"/>
          <w:lang w:eastAsia="en-AU"/>
        </w:rPr>
      </w:pPr>
      <w:r w:rsidRPr="00B16E6B">
        <w:rPr>
          <w:rFonts w:eastAsia="Times New Roman" w:cs="Arial"/>
          <w:szCs w:val="22"/>
          <w:lang w:eastAsia="en-AU"/>
        </w:rPr>
        <w:t xml:space="preserve">Australia’s transport security legislative frameworks place a strong focus on mitigating the threat of unlawful interference, terrorism, and serious crime within a physical boundary, with no specific obligations on entities to protect their operations from cyber security incidents, supply chain disruptions or natural hazards. The transport sector faces an increasingly complex security environment, which make the problem elements in Table 4 of particular concern to both industry and government. </w:t>
      </w:r>
    </w:p>
    <w:p w14:paraId="05C63826" w14:textId="77777777" w:rsidR="000A140E" w:rsidRPr="00B16E6B" w:rsidRDefault="000A140E" w:rsidP="009613E1">
      <w:pPr>
        <w:spacing w:after="200" w:line="271" w:lineRule="auto"/>
        <w:rPr>
          <w:rFonts w:eastAsia="Times New Roman" w:cs="Arial"/>
          <w:szCs w:val="22"/>
          <w:lang w:eastAsia="en-AU"/>
        </w:rPr>
      </w:pPr>
      <w:r w:rsidRPr="00B16E6B">
        <w:rPr>
          <w:rFonts w:eastAsia="Times New Roman" w:cs="Arial"/>
          <w:szCs w:val="22"/>
          <w:lang w:eastAsia="en-AU"/>
        </w:rPr>
        <w:br w:type="page"/>
      </w:r>
    </w:p>
    <w:p w14:paraId="2BD38112" w14:textId="77777777" w:rsidR="00681647" w:rsidRPr="00B16E6B" w:rsidRDefault="00681647" w:rsidP="009613E1">
      <w:pPr>
        <w:spacing w:after="60" w:line="271" w:lineRule="auto"/>
        <w:ind w:left="-284"/>
        <w:textAlignment w:val="baseline"/>
        <w:rPr>
          <w:rFonts w:ascii="Arial" w:eastAsia="Times New Roman" w:hAnsi="Arial" w:cs="Arial"/>
          <w:bCs/>
          <w:i/>
          <w:iCs/>
          <w:color w:val="44546A"/>
          <w:sz w:val="18"/>
          <w:szCs w:val="18"/>
          <w:lang w:eastAsia="en-AU"/>
        </w:rPr>
      </w:pPr>
      <w:r w:rsidRPr="00B16E6B">
        <w:rPr>
          <w:rFonts w:ascii="Arial" w:eastAsia="Times New Roman" w:hAnsi="Arial" w:cs="Arial"/>
          <w:b/>
          <w:bCs/>
          <w:i/>
          <w:iCs/>
          <w:color w:val="44546A"/>
          <w:sz w:val="18"/>
          <w:szCs w:val="18"/>
          <w:lang w:eastAsia="en-AU"/>
        </w:rPr>
        <w:lastRenderedPageBreak/>
        <w:t xml:space="preserve">Table 5: </w:t>
      </w:r>
      <w:r w:rsidRPr="00B16E6B">
        <w:rPr>
          <w:rFonts w:ascii="Arial" w:eastAsia="Times New Roman" w:hAnsi="Arial" w:cs="Arial"/>
          <w:bCs/>
          <w:i/>
          <w:iCs/>
          <w:color w:val="44546A"/>
          <w:sz w:val="18"/>
          <w:szCs w:val="18"/>
          <w:lang w:eastAsia="en-AU"/>
        </w:rPr>
        <w:t xml:space="preserve">Overview of </w:t>
      </w:r>
      <w:r w:rsidR="00774379" w:rsidRPr="00B16E6B">
        <w:rPr>
          <w:rFonts w:ascii="Arial" w:eastAsia="Times New Roman" w:hAnsi="Arial" w:cs="Arial"/>
          <w:bCs/>
          <w:i/>
          <w:iCs/>
          <w:color w:val="44546A"/>
          <w:sz w:val="18"/>
          <w:szCs w:val="18"/>
          <w:lang w:eastAsia="en-AU"/>
        </w:rPr>
        <w:t xml:space="preserve">the 5 </w:t>
      </w:r>
      <w:r w:rsidRPr="00B16E6B">
        <w:rPr>
          <w:rFonts w:ascii="Arial" w:eastAsia="Times New Roman" w:hAnsi="Arial" w:cs="Arial"/>
          <w:bCs/>
          <w:i/>
          <w:iCs/>
          <w:color w:val="44546A"/>
          <w:sz w:val="18"/>
          <w:szCs w:val="18"/>
          <w:lang w:eastAsia="en-AU"/>
        </w:rPr>
        <w:t>hazard areas </w:t>
      </w:r>
    </w:p>
    <w:tbl>
      <w:tblPr>
        <w:tblW w:w="10490" w:type="dxa"/>
        <w:tblInd w:w="-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3"/>
        <w:gridCol w:w="4223"/>
        <w:gridCol w:w="5244"/>
      </w:tblGrid>
      <w:tr w:rsidR="00681647" w:rsidRPr="00B16E6B" w14:paraId="506C33EE" w14:textId="77777777" w:rsidTr="006B18C7">
        <w:trPr>
          <w:trHeight w:val="300"/>
          <w:tblHeader/>
        </w:trPr>
        <w:tc>
          <w:tcPr>
            <w:tcW w:w="1023" w:type="dxa"/>
            <w:tcBorders>
              <w:top w:val="single" w:sz="4" w:space="0" w:color="BFBFBF" w:themeColor="background2" w:themeShade="BF"/>
              <w:left w:val="nil"/>
              <w:bottom w:val="single" w:sz="6" w:space="0" w:color="A5A5A5"/>
              <w:right w:val="nil"/>
            </w:tcBorders>
            <w:shd w:val="clear" w:color="auto" w:fill="1C2B39" w:themeFill="accent1"/>
            <w:vAlign w:val="center"/>
            <w:hideMark/>
          </w:tcPr>
          <w:p w14:paraId="6C0B5838" w14:textId="77777777" w:rsidR="00681647" w:rsidRPr="00B16E6B" w:rsidRDefault="00681647" w:rsidP="009613E1">
            <w:pPr>
              <w:spacing w:before="60" w:after="60" w:line="271" w:lineRule="auto"/>
              <w:textAlignment w:val="baseline"/>
              <w:rPr>
                <w:rFonts w:eastAsia="Times New Roman" w:cs="Times New Roman"/>
                <w:sz w:val="20"/>
                <w:szCs w:val="20"/>
                <w:lang w:eastAsia="en-AU"/>
              </w:rPr>
            </w:pPr>
            <w:r w:rsidRPr="00B16E6B">
              <w:rPr>
                <w:rFonts w:eastAsia="Times New Roman" w:cs="Arial"/>
                <w:b/>
                <w:bCs/>
                <w:sz w:val="14"/>
                <w:szCs w:val="20"/>
                <w:lang w:eastAsia="en-AU"/>
              </w:rPr>
              <w:t>Hazard domain</w:t>
            </w:r>
            <w:r w:rsidRPr="00B16E6B">
              <w:rPr>
                <w:rFonts w:eastAsia="Times New Roman" w:cs="Arial"/>
                <w:sz w:val="14"/>
                <w:szCs w:val="20"/>
                <w:lang w:eastAsia="en-AU"/>
              </w:rPr>
              <w:t> </w:t>
            </w:r>
          </w:p>
        </w:tc>
        <w:tc>
          <w:tcPr>
            <w:tcW w:w="4223" w:type="dxa"/>
            <w:tcBorders>
              <w:top w:val="single" w:sz="4" w:space="0" w:color="BFBFBF" w:themeColor="background2" w:themeShade="BF"/>
              <w:left w:val="nil"/>
              <w:bottom w:val="single" w:sz="6" w:space="0" w:color="A5A5A5"/>
              <w:right w:val="nil"/>
            </w:tcBorders>
            <w:shd w:val="clear" w:color="auto" w:fill="1C2B39" w:themeFill="accent1"/>
            <w:vAlign w:val="center"/>
            <w:hideMark/>
          </w:tcPr>
          <w:p w14:paraId="0A443D88" w14:textId="77777777" w:rsidR="00681647" w:rsidRPr="00B16E6B" w:rsidRDefault="00681647" w:rsidP="009613E1">
            <w:pPr>
              <w:spacing w:before="60" w:after="60" w:line="271" w:lineRule="auto"/>
              <w:textAlignment w:val="baseline"/>
              <w:rPr>
                <w:rFonts w:eastAsia="Times New Roman" w:cs="Times New Roman"/>
                <w:sz w:val="20"/>
                <w:szCs w:val="20"/>
                <w:lang w:eastAsia="en-AU"/>
              </w:rPr>
            </w:pPr>
            <w:r w:rsidRPr="00B16E6B">
              <w:rPr>
                <w:rFonts w:eastAsia="Times New Roman" w:cs="Arial"/>
                <w:b/>
                <w:bCs/>
                <w:sz w:val="20"/>
                <w:szCs w:val="20"/>
                <w:lang w:eastAsia="en-AU"/>
              </w:rPr>
              <w:t>Identified risk</w:t>
            </w:r>
            <w:r w:rsidRPr="00B16E6B">
              <w:rPr>
                <w:rFonts w:eastAsia="Times New Roman" w:cs="Arial"/>
                <w:sz w:val="20"/>
                <w:szCs w:val="20"/>
                <w:lang w:eastAsia="en-AU"/>
              </w:rPr>
              <w:t> </w:t>
            </w:r>
          </w:p>
        </w:tc>
        <w:tc>
          <w:tcPr>
            <w:tcW w:w="5244" w:type="dxa"/>
            <w:tcBorders>
              <w:top w:val="single" w:sz="4" w:space="0" w:color="BFBFBF" w:themeColor="background2" w:themeShade="BF"/>
              <w:left w:val="nil"/>
              <w:bottom w:val="single" w:sz="6" w:space="0" w:color="A5A5A5"/>
              <w:right w:val="nil"/>
            </w:tcBorders>
            <w:shd w:val="clear" w:color="auto" w:fill="1C2B39" w:themeFill="accent1"/>
            <w:vAlign w:val="center"/>
            <w:hideMark/>
          </w:tcPr>
          <w:p w14:paraId="76F92E25" w14:textId="77777777" w:rsidR="00681647" w:rsidRPr="00B16E6B" w:rsidRDefault="00681647" w:rsidP="009613E1">
            <w:pPr>
              <w:spacing w:before="60" w:after="60" w:line="271" w:lineRule="auto"/>
              <w:textAlignment w:val="baseline"/>
              <w:rPr>
                <w:rFonts w:eastAsia="Times New Roman" w:cs="Times New Roman"/>
                <w:sz w:val="20"/>
                <w:szCs w:val="20"/>
                <w:lang w:eastAsia="en-AU"/>
              </w:rPr>
            </w:pPr>
            <w:r w:rsidRPr="00B16E6B">
              <w:rPr>
                <w:rFonts w:eastAsia="Times New Roman" w:cs="Arial"/>
                <w:b/>
                <w:bCs/>
                <w:sz w:val="20"/>
                <w:szCs w:val="20"/>
                <w:lang w:eastAsia="en-AU"/>
              </w:rPr>
              <w:t>Example</w:t>
            </w:r>
            <w:r w:rsidRPr="00B16E6B">
              <w:rPr>
                <w:rFonts w:eastAsia="Times New Roman" w:cs="Arial"/>
                <w:sz w:val="20"/>
                <w:szCs w:val="20"/>
                <w:lang w:eastAsia="en-AU"/>
              </w:rPr>
              <w:t> </w:t>
            </w:r>
          </w:p>
        </w:tc>
      </w:tr>
      <w:tr w:rsidR="00681647" w:rsidRPr="00B16E6B" w14:paraId="194554E2" w14:textId="77777777" w:rsidTr="006B18C7">
        <w:trPr>
          <w:trHeight w:val="300"/>
        </w:trPr>
        <w:tc>
          <w:tcPr>
            <w:tcW w:w="1023" w:type="dxa"/>
            <w:tcBorders>
              <w:top w:val="single" w:sz="6" w:space="0" w:color="A5A5A5"/>
              <w:left w:val="nil"/>
              <w:bottom w:val="single" w:sz="6" w:space="0" w:color="A5A5A5"/>
              <w:right w:val="nil"/>
            </w:tcBorders>
            <w:shd w:val="clear" w:color="auto" w:fill="E7E6E6"/>
            <w:vAlign w:val="center"/>
            <w:hideMark/>
          </w:tcPr>
          <w:p w14:paraId="62112047" w14:textId="77777777" w:rsidR="00681647" w:rsidRPr="00B16E6B" w:rsidRDefault="00681647" w:rsidP="009613E1">
            <w:pPr>
              <w:spacing w:after="0" w:line="271" w:lineRule="auto"/>
              <w:textAlignment w:val="baseline"/>
              <w:rPr>
                <w:rFonts w:eastAsia="Times New Roman" w:cs="Times New Roman"/>
                <w:sz w:val="20"/>
                <w:szCs w:val="20"/>
                <w:lang w:eastAsia="en-AU"/>
              </w:rPr>
            </w:pPr>
            <w:r w:rsidRPr="00B16E6B">
              <w:rPr>
                <w:rFonts w:eastAsia="Times New Roman" w:cs="Arial"/>
                <w:b/>
                <w:bCs/>
                <w:sz w:val="20"/>
                <w:szCs w:val="20"/>
                <w:lang w:eastAsia="en-AU"/>
              </w:rPr>
              <w:t>Physical</w:t>
            </w:r>
            <w:r w:rsidRPr="00B16E6B">
              <w:rPr>
                <w:rFonts w:eastAsia="Times New Roman" w:cs="Arial"/>
                <w:sz w:val="20"/>
                <w:szCs w:val="20"/>
                <w:lang w:eastAsia="en-AU"/>
              </w:rPr>
              <w:t> </w:t>
            </w:r>
          </w:p>
        </w:tc>
        <w:tc>
          <w:tcPr>
            <w:tcW w:w="4223" w:type="dxa"/>
            <w:tcBorders>
              <w:top w:val="single" w:sz="6" w:space="0" w:color="A5A5A5"/>
              <w:left w:val="nil"/>
              <w:bottom w:val="single" w:sz="6" w:space="0" w:color="A5A5A5"/>
              <w:right w:val="single" w:sz="6" w:space="0" w:color="A5A5A5"/>
            </w:tcBorders>
            <w:shd w:val="clear" w:color="auto" w:fill="FFFFFF"/>
            <w:vAlign w:val="center"/>
            <w:hideMark/>
          </w:tcPr>
          <w:p w14:paraId="4610366F" w14:textId="77777777" w:rsidR="00681647" w:rsidRPr="00B16E6B" w:rsidRDefault="00681647" w:rsidP="009613E1">
            <w:pPr>
              <w:spacing w:before="20" w:after="20" w:line="271" w:lineRule="auto"/>
              <w:ind w:left="113"/>
              <w:textAlignment w:val="baseline"/>
              <w:rPr>
                <w:rFonts w:eastAsia="Times New Roman" w:cs="Times New Roman"/>
                <w:color w:val="000000"/>
                <w:sz w:val="18"/>
                <w:szCs w:val="20"/>
                <w:lang w:eastAsia="en-AU"/>
              </w:rPr>
            </w:pPr>
            <w:r w:rsidRPr="00B16E6B">
              <w:rPr>
                <w:rFonts w:eastAsia="Times New Roman" w:cs="Arial"/>
                <w:color w:val="000000"/>
                <w:sz w:val="18"/>
                <w:szCs w:val="20"/>
                <w:lang w:eastAsia="en-AU"/>
              </w:rPr>
              <w:t>Physical hazards may disrupt the functioning of critical infrastructure and the systems that rely upon its function. This may include systems and networks which operate to protect from and mitigate the i</w:t>
            </w:r>
            <w:r w:rsidR="00E81C6F" w:rsidRPr="00B16E6B">
              <w:rPr>
                <w:rFonts w:eastAsia="Times New Roman" w:cs="Arial"/>
                <w:color w:val="000000"/>
                <w:sz w:val="18"/>
                <w:szCs w:val="20"/>
                <w:lang w:eastAsia="en-AU"/>
              </w:rPr>
              <w:t>mpacts of human induced threats</w:t>
            </w:r>
            <w:r w:rsidRPr="00B16E6B">
              <w:rPr>
                <w:rFonts w:eastAsia="Times New Roman" w:cs="Arial"/>
                <w:color w:val="000000"/>
                <w:sz w:val="18"/>
                <w:szCs w:val="20"/>
                <w:lang w:eastAsia="en-AU"/>
              </w:rPr>
              <w:t xml:space="preserve"> </w:t>
            </w:r>
          </w:p>
        </w:tc>
        <w:tc>
          <w:tcPr>
            <w:tcW w:w="5244" w:type="dxa"/>
            <w:tcBorders>
              <w:top w:val="single" w:sz="6" w:space="0" w:color="A5A5A5"/>
              <w:left w:val="single" w:sz="6" w:space="0" w:color="A5A5A5"/>
              <w:bottom w:val="single" w:sz="6" w:space="0" w:color="A5A5A5"/>
              <w:right w:val="nil"/>
            </w:tcBorders>
            <w:shd w:val="clear" w:color="auto" w:fill="FFFFFF"/>
            <w:vAlign w:val="center"/>
            <w:hideMark/>
          </w:tcPr>
          <w:p w14:paraId="770516B7" w14:textId="77777777" w:rsidR="00681647" w:rsidRPr="00B16E6B" w:rsidRDefault="00681647" w:rsidP="009613E1">
            <w:pPr>
              <w:spacing w:before="20" w:after="20" w:line="271" w:lineRule="auto"/>
              <w:ind w:left="113"/>
              <w:textAlignment w:val="baseline"/>
              <w:rPr>
                <w:rFonts w:eastAsia="Times New Roman" w:cs="Times New Roman"/>
                <w:color w:val="000000"/>
                <w:sz w:val="18"/>
                <w:szCs w:val="20"/>
                <w:lang w:eastAsia="en-AU"/>
              </w:rPr>
            </w:pPr>
            <w:r w:rsidRPr="00B16E6B">
              <w:rPr>
                <w:rFonts w:eastAsia="Times New Roman" w:cs="Arial"/>
                <w:color w:val="000000"/>
                <w:sz w:val="18"/>
                <w:szCs w:val="20"/>
                <w:lang w:eastAsia="en-AU"/>
              </w:rPr>
              <w:t>Threats of terrorism or piracy may attempt to disrupt physical facilities such as airports, seaports, or maritime vessels through acts of sabotage, hijacking or armed attacks posing risks to passengers and infrastructure. There are also risks of sabotage by malicious actors to critical infrastructure’s physical facilities </w:t>
            </w:r>
          </w:p>
        </w:tc>
      </w:tr>
      <w:tr w:rsidR="00681647" w:rsidRPr="00B16E6B" w14:paraId="3C780031" w14:textId="77777777" w:rsidTr="006B18C7">
        <w:trPr>
          <w:trHeight w:val="300"/>
        </w:trPr>
        <w:tc>
          <w:tcPr>
            <w:tcW w:w="1023" w:type="dxa"/>
            <w:tcBorders>
              <w:top w:val="single" w:sz="6" w:space="0" w:color="A5A5A5"/>
              <w:left w:val="nil"/>
              <w:bottom w:val="single" w:sz="6" w:space="0" w:color="A5A5A5"/>
              <w:right w:val="nil"/>
            </w:tcBorders>
            <w:shd w:val="clear" w:color="auto" w:fill="E7E6E6"/>
            <w:vAlign w:val="center"/>
            <w:hideMark/>
          </w:tcPr>
          <w:p w14:paraId="13D612E2" w14:textId="77777777" w:rsidR="00681647" w:rsidRPr="00B16E6B" w:rsidRDefault="00681647" w:rsidP="009613E1">
            <w:pPr>
              <w:spacing w:after="0" w:line="271" w:lineRule="auto"/>
              <w:textAlignment w:val="baseline"/>
              <w:rPr>
                <w:rFonts w:eastAsia="Times New Roman" w:cs="Arial"/>
                <w:b/>
                <w:bCs/>
                <w:sz w:val="20"/>
                <w:szCs w:val="20"/>
                <w:lang w:eastAsia="en-AU"/>
              </w:rPr>
            </w:pPr>
            <w:r w:rsidRPr="00B16E6B">
              <w:rPr>
                <w:rFonts w:eastAsia="Times New Roman" w:cs="Arial"/>
                <w:b/>
                <w:bCs/>
                <w:sz w:val="20"/>
                <w:szCs w:val="20"/>
                <w:lang w:eastAsia="en-AU"/>
              </w:rPr>
              <w:t>Personnel</w:t>
            </w:r>
            <w:r w:rsidRPr="00B16E6B">
              <w:rPr>
                <w:rFonts w:eastAsia="Times New Roman" w:cs="Arial"/>
                <w:sz w:val="20"/>
                <w:szCs w:val="20"/>
                <w:lang w:eastAsia="en-AU"/>
              </w:rPr>
              <w:t> </w:t>
            </w:r>
          </w:p>
        </w:tc>
        <w:tc>
          <w:tcPr>
            <w:tcW w:w="4223" w:type="dxa"/>
            <w:tcBorders>
              <w:top w:val="single" w:sz="6" w:space="0" w:color="A5A5A5"/>
              <w:left w:val="nil"/>
              <w:bottom w:val="single" w:sz="6" w:space="0" w:color="A5A5A5"/>
              <w:right w:val="single" w:sz="6" w:space="0" w:color="A5A5A5"/>
            </w:tcBorders>
            <w:shd w:val="clear" w:color="auto" w:fill="FFFFFF"/>
            <w:vAlign w:val="center"/>
            <w:hideMark/>
          </w:tcPr>
          <w:p w14:paraId="169F2519" w14:textId="77777777" w:rsidR="00681647" w:rsidRPr="00B16E6B" w:rsidRDefault="00681647" w:rsidP="009613E1">
            <w:pPr>
              <w:spacing w:before="20" w:after="20" w:line="271" w:lineRule="auto"/>
              <w:ind w:left="113"/>
              <w:textAlignment w:val="baseline"/>
              <w:rPr>
                <w:rFonts w:eastAsia="Times New Roman" w:cs="Arial"/>
                <w:color w:val="000000"/>
                <w:sz w:val="18"/>
                <w:szCs w:val="20"/>
                <w:lang w:eastAsia="en-AU"/>
              </w:rPr>
            </w:pPr>
            <w:r w:rsidRPr="00B16E6B">
              <w:rPr>
                <w:rFonts w:eastAsia="Times New Roman" w:cs="Arial"/>
                <w:color w:val="000000"/>
                <w:sz w:val="18"/>
                <w:szCs w:val="20"/>
                <w:lang w:eastAsia="en-AU"/>
              </w:rPr>
              <w:t>P</w:t>
            </w:r>
            <w:r w:rsidRPr="00B16E6B">
              <w:rPr>
                <w:rFonts w:eastAsia="Times New Roman" w:cs="Arial"/>
                <w:sz w:val="18"/>
                <w:szCs w:val="20"/>
                <w:lang w:eastAsia="en-AU"/>
              </w:rPr>
              <w:t xml:space="preserve">ersonnel with access to systems, data or premises may pose insider threat risks including fraud, theft, espionage, infrastructure sabotage and misuse of sensitive data. This includes personnel such as </w:t>
            </w:r>
            <w:r w:rsidRPr="00B16E6B">
              <w:rPr>
                <w:rFonts w:eastAsia="Times New Roman" w:cs="Arial"/>
                <w:color w:val="000000"/>
                <w:sz w:val="18"/>
                <w:szCs w:val="20"/>
                <w:lang w:eastAsia="en-AU"/>
              </w:rPr>
              <w:t xml:space="preserve">employees, owners, operators, </w:t>
            </w:r>
            <w:r w:rsidR="00E81C6F" w:rsidRPr="00B16E6B">
              <w:rPr>
                <w:rFonts w:eastAsia="Times New Roman" w:cs="Arial"/>
                <w:color w:val="000000"/>
                <w:sz w:val="18"/>
                <w:szCs w:val="20"/>
                <w:lang w:eastAsia="en-AU"/>
              </w:rPr>
              <w:t>contractors, and subcontractors</w:t>
            </w:r>
          </w:p>
        </w:tc>
        <w:tc>
          <w:tcPr>
            <w:tcW w:w="5244" w:type="dxa"/>
            <w:tcBorders>
              <w:top w:val="single" w:sz="6" w:space="0" w:color="A5A5A5"/>
              <w:left w:val="single" w:sz="6" w:space="0" w:color="A5A5A5"/>
              <w:bottom w:val="single" w:sz="6" w:space="0" w:color="A5A5A5"/>
              <w:right w:val="nil"/>
            </w:tcBorders>
            <w:shd w:val="clear" w:color="auto" w:fill="FFFFFF"/>
            <w:vAlign w:val="center"/>
            <w:hideMark/>
          </w:tcPr>
          <w:p w14:paraId="725EDE03" w14:textId="77777777" w:rsidR="00681647" w:rsidRPr="00B16E6B" w:rsidRDefault="00681647" w:rsidP="009613E1">
            <w:pPr>
              <w:spacing w:before="20" w:after="20" w:line="271" w:lineRule="auto"/>
              <w:ind w:left="113"/>
              <w:textAlignment w:val="baseline"/>
              <w:rPr>
                <w:rFonts w:eastAsia="Times New Roman" w:cs="Arial"/>
                <w:color w:val="000000"/>
                <w:sz w:val="18"/>
                <w:szCs w:val="20"/>
                <w:lang w:eastAsia="en-AU"/>
              </w:rPr>
            </w:pPr>
            <w:r w:rsidRPr="00B16E6B">
              <w:rPr>
                <w:rFonts w:eastAsia="Times New Roman" w:cs="Arial"/>
                <w:sz w:val="18"/>
                <w:szCs w:val="20"/>
                <w:lang w:eastAsia="en-AU"/>
              </w:rPr>
              <w:t xml:space="preserve">In the transport sector, there has been a risk of issue-motivated disruptions perpetrated by insider </w:t>
            </w:r>
            <w:r w:rsidRPr="00B16E6B">
              <w:rPr>
                <w:rFonts w:cs="Arial"/>
                <w:sz w:val="18"/>
                <w:szCs w:val="20"/>
              </w:rPr>
              <w:t>personnel.</w:t>
            </w:r>
            <w:r w:rsidRPr="00B16E6B">
              <w:rPr>
                <w:rStyle w:val="FootnoteReference"/>
                <w:rFonts w:cs="Arial"/>
                <w:bCs/>
                <w:sz w:val="18"/>
                <w:szCs w:val="20"/>
              </w:rPr>
              <w:footnoteReference w:id="20"/>
            </w:r>
            <w:r w:rsidRPr="00B16E6B">
              <w:rPr>
                <w:rFonts w:cs="Arial"/>
                <w:sz w:val="18"/>
                <w:szCs w:val="20"/>
              </w:rPr>
              <w:t xml:space="preserve"> </w:t>
            </w:r>
            <w:r w:rsidRPr="00B16E6B">
              <w:rPr>
                <w:rFonts w:eastAsia="Times New Roman" w:cs="Arial"/>
                <w:sz w:val="18"/>
                <w:szCs w:val="20"/>
                <w:lang w:eastAsia="en-AU"/>
              </w:rPr>
              <w:t xml:space="preserve">Issue motivated groups can create disruptions through cyberspace and via non-violent protests, as well as serious and organised crime groups concealing illicit commodities from authorities while in </w:t>
            </w:r>
            <w:r w:rsidRPr="00B16E6B">
              <w:rPr>
                <w:rFonts w:cs="Arial"/>
                <w:sz w:val="18"/>
                <w:szCs w:val="20"/>
              </w:rPr>
              <w:t>transit</w:t>
            </w:r>
            <w:r w:rsidRPr="00B16E6B">
              <w:rPr>
                <w:rStyle w:val="FootnoteReference"/>
                <w:rFonts w:cs="Arial"/>
                <w:sz w:val="18"/>
                <w:szCs w:val="20"/>
              </w:rPr>
              <w:footnoteReference w:id="21"/>
            </w:r>
            <w:r w:rsidRPr="00B16E6B">
              <w:rPr>
                <w:rFonts w:cs="Arial"/>
                <w:sz w:val="18"/>
                <w:szCs w:val="20"/>
              </w:rPr>
              <w:t> </w:t>
            </w:r>
          </w:p>
        </w:tc>
      </w:tr>
      <w:tr w:rsidR="00681647" w:rsidRPr="00B16E6B" w14:paraId="7AF44D50" w14:textId="77777777" w:rsidTr="006B18C7">
        <w:trPr>
          <w:trHeight w:val="300"/>
        </w:trPr>
        <w:tc>
          <w:tcPr>
            <w:tcW w:w="1023" w:type="dxa"/>
            <w:tcBorders>
              <w:top w:val="single" w:sz="6" w:space="0" w:color="A5A5A5"/>
              <w:left w:val="nil"/>
              <w:bottom w:val="single" w:sz="6" w:space="0" w:color="A5A5A5"/>
              <w:right w:val="nil"/>
            </w:tcBorders>
            <w:shd w:val="clear" w:color="auto" w:fill="E7E6E6"/>
            <w:vAlign w:val="center"/>
            <w:hideMark/>
          </w:tcPr>
          <w:p w14:paraId="62AC2F3E" w14:textId="77777777" w:rsidR="00681647" w:rsidRPr="00B16E6B" w:rsidRDefault="00681647" w:rsidP="009613E1">
            <w:pPr>
              <w:spacing w:after="0" w:line="271" w:lineRule="auto"/>
              <w:textAlignment w:val="baseline"/>
              <w:rPr>
                <w:rFonts w:eastAsia="Times New Roman" w:cs="Arial"/>
                <w:b/>
                <w:bCs/>
                <w:sz w:val="20"/>
                <w:szCs w:val="20"/>
                <w:lang w:eastAsia="en-AU"/>
              </w:rPr>
            </w:pPr>
            <w:r w:rsidRPr="00B16E6B">
              <w:rPr>
                <w:rFonts w:eastAsia="Times New Roman" w:cs="Arial"/>
                <w:b/>
                <w:bCs/>
                <w:sz w:val="20"/>
                <w:szCs w:val="20"/>
                <w:lang w:eastAsia="en-AU"/>
              </w:rPr>
              <w:t>Cyber</w:t>
            </w:r>
            <w:r w:rsidRPr="00B16E6B">
              <w:rPr>
                <w:rFonts w:eastAsia="Times New Roman" w:cs="Arial"/>
                <w:sz w:val="20"/>
                <w:szCs w:val="20"/>
                <w:lang w:eastAsia="en-AU"/>
              </w:rPr>
              <w:t> </w:t>
            </w:r>
          </w:p>
        </w:tc>
        <w:tc>
          <w:tcPr>
            <w:tcW w:w="4223" w:type="dxa"/>
            <w:tcBorders>
              <w:top w:val="single" w:sz="6" w:space="0" w:color="A5A5A5"/>
              <w:left w:val="nil"/>
              <w:bottom w:val="single" w:sz="6" w:space="0" w:color="A5A5A5"/>
              <w:right w:val="single" w:sz="6" w:space="0" w:color="A5A5A5"/>
            </w:tcBorders>
            <w:shd w:val="clear" w:color="auto" w:fill="FFFFFF"/>
            <w:vAlign w:val="center"/>
            <w:hideMark/>
          </w:tcPr>
          <w:p w14:paraId="029D3664" w14:textId="42C0D2B8" w:rsidR="00681647" w:rsidRPr="00B16E6B" w:rsidRDefault="00681647" w:rsidP="009613E1">
            <w:pPr>
              <w:spacing w:before="20" w:after="20" w:line="271" w:lineRule="auto"/>
              <w:ind w:left="113"/>
              <w:textAlignment w:val="baseline"/>
              <w:rPr>
                <w:rFonts w:eastAsia="Times New Roman" w:cs="Arial"/>
                <w:color w:val="000000"/>
                <w:sz w:val="18"/>
                <w:szCs w:val="20"/>
                <w:lang w:eastAsia="en-AU"/>
              </w:rPr>
            </w:pPr>
            <w:r w:rsidRPr="00B16E6B">
              <w:rPr>
                <w:rFonts w:eastAsia="Times New Roman" w:cs="Arial"/>
                <w:color w:val="000000"/>
                <w:sz w:val="18"/>
                <w:szCs w:val="20"/>
                <w:lang w:eastAsia="en-AU"/>
              </w:rPr>
              <w:t>Cyber threats can disrupt the digital systems, computers, datasets, and networks an organisation relies on. This can result in</w:t>
            </w:r>
            <w:r w:rsidR="00941A66" w:rsidRPr="00B16E6B">
              <w:rPr>
                <w:rFonts w:eastAsia="Times New Roman" w:cs="Arial"/>
                <w:color w:val="000000"/>
                <w:sz w:val="18"/>
                <w:szCs w:val="20"/>
                <w:lang w:eastAsia="en-AU"/>
              </w:rPr>
              <w:t xml:space="preserve"> an</w:t>
            </w:r>
            <w:r w:rsidRPr="00B16E6B">
              <w:rPr>
                <w:rFonts w:eastAsia="Times New Roman" w:cs="Arial"/>
                <w:color w:val="000000"/>
                <w:sz w:val="18"/>
                <w:szCs w:val="20"/>
                <w:lang w:eastAsia="en-AU"/>
              </w:rPr>
              <w:t xml:space="preserve"> ‘u</w:t>
            </w:r>
            <w:r w:rsidRPr="00B16E6B">
              <w:rPr>
                <w:rFonts w:eastAsia="Times New Roman" w:cs="Arial"/>
                <w:sz w:val="18"/>
                <w:szCs w:val="20"/>
                <w:lang w:eastAsia="en-AU"/>
              </w:rPr>
              <w:t xml:space="preserve">nintended taint’ (where software design or implementation flaws increase susceptibility to cyber risks) </w:t>
            </w:r>
            <w:r w:rsidR="000B5682" w:rsidRPr="00B16E6B">
              <w:rPr>
                <w:rFonts w:eastAsia="Times New Roman" w:cs="Arial"/>
                <w:sz w:val="18"/>
                <w:szCs w:val="20"/>
                <w:lang w:eastAsia="en-AU"/>
              </w:rPr>
              <w:t>or</w:t>
            </w:r>
            <w:r w:rsidRPr="00B16E6B">
              <w:rPr>
                <w:rFonts w:eastAsia="Times New Roman" w:cs="Arial"/>
                <w:sz w:val="18"/>
                <w:szCs w:val="20"/>
                <w:lang w:eastAsia="en-AU"/>
              </w:rPr>
              <w:t xml:space="preserve"> ‘malicious taint’ (deliberate diversion or disruption to c</w:t>
            </w:r>
            <w:r w:rsidR="00E81C6F" w:rsidRPr="00B16E6B">
              <w:rPr>
                <w:rFonts w:eastAsia="Times New Roman" w:cs="Arial"/>
                <w:sz w:val="18"/>
                <w:szCs w:val="20"/>
                <w:lang w:eastAsia="en-AU"/>
              </w:rPr>
              <w:t>yber supply chains)</w:t>
            </w:r>
          </w:p>
        </w:tc>
        <w:tc>
          <w:tcPr>
            <w:tcW w:w="5244" w:type="dxa"/>
            <w:tcBorders>
              <w:top w:val="single" w:sz="6" w:space="0" w:color="A5A5A5"/>
              <w:left w:val="single" w:sz="6" w:space="0" w:color="A5A5A5"/>
              <w:bottom w:val="single" w:sz="6" w:space="0" w:color="A5A5A5"/>
              <w:right w:val="nil"/>
            </w:tcBorders>
            <w:shd w:val="clear" w:color="auto" w:fill="FFFFFF"/>
            <w:vAlign w:val="center"/>
            <w:hideMark/>
          </w:tcPr>
          <w:p w14:paraId="643C5E23" w14:textId="77777777" w:rsidR="00681647" w:rsidRPr="00B16E6B" w:rsidRDefault="00681647" w:rsidP="009613E1">
            <w:pPr>
              <w:spacing w:before="20" w:after="20" w:line="271" w:lineRule="auto"/>
              <w:ind w:left="113"/>
              <w:textAlignment w:val="baseline"/>
              <w:rPr>
                <w:rFonts w:eastAsia="Times New Roman" w:cs="Arial"/>
                <w:sz w:val="18"/>
                <w:szCs w:val="20"/>
                <w:lang w:eastAsia="en-AU"/>
              </w:rPr>
            </w:pPr>
            <w:r w:rsidRPr="00B16E6B">
              <w:rPr>
                <w:rFonts w:eastAsia="Times New Roman" w:cs="Arial"/>
                <w:sz w:val="18"/>
                <w:szCs w:val="20"/>
                <w:lang w:eastAsia="en-AU"/>
              </w:rPr>
              <w:t xml:space="preserve">Cyber security threats are outpacing terrorism </w:t>
            </w:r>
            <w:r w:rsidRPr="00B16E6B">
              <w:rPr>
                <w:rFonts w:cs="Arial"/>
                <w:sz w:val="18"/>
                <w:szCs w:val="20"/>
              </w:rPr>
              <w:t>threats.</w:t>
            </w:r>
            <w:r w:rsidRPr="00B16E6B">
              <w:rPr>
                <w:rStyle w:val="FootnoteReference"/>
                <w:rFonts w:cs="Arial"/>
                <w:bCs/>
                <w:sz w:val="18"/>
                <w:szCs w:val="20"/>
              </w:rPr>
              <w:footnoteReference w:id="22"/>
            </w:r>
            <w:r w:rsidRPr="00B16E6B">
              <w:rPr>
                <w:rFonts w:cs="Arial"/>
                <w:sz w:val="18"/>
                <w:szCs w:val="20"/>
              </w:rPr>
              <w:t xml:space="preserve"> </w:t>
            </w:r>
            <w:r w:rsidR="000B5682" w:rsidRPr="00B16E6B">
              <w:rPr>
                <w:rFonts w:eastAsia="Times New Roman" w:cs="Arial"/>
                <w:sz w:val="18"/>
                <w:szCs w:val="20"/>
                <w:lang w:eastAsia="en-AU"/>
              </w:rPr>
              <w:t>DDoS</w:t>
            </w:r>
            <w:r w:rsidRPr="00B16E6B">
              <w:rPr>
                <w:rFonts w:eastAsia="Times New Roman" w:cs="Arial"/>
                <w:sz w:val="18"/>
                <w:szCs w:val="20"/>
                <w:lang w:eastAsia="en-AU"/>
              </w:rPr>
              <w:t xml:space="preserve"> attacks, fraudulent websites and emails, and ransomware attacks are of key c</w:t>
            </w:r>
            <w:r w:rsidR="00E81C6F" w:rsidRPr="00B16E6B">
              <w:rPr>
                <w:rFonts w:eastAsia="Times New Roman" w:cs="Arial"/>
                <w:sz w:val="18"/>
                <w:szCs w:val="20"/>
                <w:lang w:eastAsia="en-AU"/>
              </w:rPr>
              <w:t>oncern for the transport sector</w:t>
            </w:r>
            <w:r w:rsidRPr="00B16E6B">
              <w:rPr>
                <w:rFonts w:eastAsia="Times New Roman" w:cs="Arial"/>
                <w:sz w:val="18"/>
                <w:szCs w:val="20"/>
                <w:lang w:eastAsia="en-AU"/>
              </w:rPr>
              <w:t> </w:t>
            </w:r>
          </w:p>
        </w:tc>
      </w:tr>
      <w:tr w:rsidR="00681647" w:rsidRPr="00B16E6B" w14:paraId="1A7D405A" w14:textId="77777777" w:rsidTr="006B18C7">
        <w:trPr>
          <w:trHeight w:val="300"/>
        </w:trPr>
        <w:tc>
          <w:tcPr>
            <w:tcW w:w="1023" w:type="dxa"/>
            <w:tcBorders>
              <w:top w:val="single" w:sz="6" w:space="0" w:color="A5A5A5"/>
              <w:left w:val="nil"/>
              <w:bottom w:val="single" w:sz="6" w:space="0" w:color="A5A5A5"/>
              <w:right w:val="nil"/>
            </w:tcBorders>
            <w:shd w:val="clear" w:color="auto" w:fill="E7E6E6"/>
            <w:vAlign w:val="center"/>
            <w:hideMark/>
          </w:tcPr>
          <w:p w14:paraId="0946FCCA" w14:textId="77777777" w:rsidR="00681647" w:rsidRPr="00B16E6B" w:rsidRDefault="00681647" w:rsidP="009613E1">
            <w:pPr>
              <w:spacing w:after="0" w:line="271" w:lineRule="auto"/>
              <w:textAlignment w:val="baseline"/>
              <w:rPr>
                <w:rFonts w:eastAsia="Times New Roman" w:cs="Arial"/>
                <w:b/>
                <w:bCs/>
                <w:sz w:val="20"/>
                <w:szCs w:val="20"/>
                <w:lang w:eastAsia="en-AU"/>
              </w:rPr>
            </w:pPr>
            <w:r w:rsidRPr="00B16E6B">
              <w:rPr>
                <w:rFonts w:eastAsia="Times New Roman" w:cs="Arial"/>
                <w:b/>
                <w:bCs/>
                <w:sz w:val="20"/>
                <w:szCs w:val="20"/>
                <w:lang w:eastAsia="en-AU"/>
              </w:rPr>
              <w:t>Supply chain</w:t>
            </w:r>
            <w:r w:rsidRPr="00B16E6B">
              <w:rPr>
                <w:rFonts w:eastAsia="Times New Roman" w:cs="Arial"/>
                <w:sz w:val="20"/>
                <w:szCs w:val="20"/>
                <w:lang w:eastAsia="en-AU"/>
              </w:rPr>
              <w:t> </w:t>
            </w:r>
          </w:p>
        </w:tc>
        <w:tc>
          <w:tcPr>
            <w:tcW w:w="4223" w:type="dxa"/>
            <w:tcBorders>
              <w:top w:val="single" w:sz="6" w:space="0" w:color="A5A5A5"/>
              <w:left w:val="nil"/>
              <w:bottom w:val="single" w:sz="6" w:space="0" w:color="A5A5A5"/>
              <w:right w:val="single" w:sz="6" w:space="0" w:color="A5A5A5"/>
            </w:tcBorders>
            <w:shd w:val="clear" w:color="auto" w:fill="FFFFFF"/>
            <w:vAlign w:val="center"/>
            <w:hideMark/>
          </w:tcPr>
          <w:p w14:paraId="035C7547" w14:textId="77777777" w:rsidR="00681647" w:rsidRPr="00B16E6B" w:rsidRDefault="00681647" w:rsidP="009613E1">
            <w:pPr>
              <w:spacing w:before="20" w:after="20" w:line="271" w:lineRule="auto"/>
              <w:ind w:left="113"/>
              <w:textAlignment w:val="baseline"/>
              <w:rPr>
                <w:rFonts w:eastAsia="Times New Roman" w:cs="Arial"/>
                <w:color w:val="000000"/>
                <w:sz w:val="18"/>
                <w:szCs w:val="20"/>
                <w:lang w:eastAsia="en-AU"/>
              </w:rPr>
            </w:pPr>
            <w:r w:rsidRPr="00B16E6B">
              <w:rPr>
                <w:rFonts w:eastAsia="Times New Roman" w:cs="Arial"/>
                <w:color w:val="000000"/>
                <w:sz w:val="18"/>
                <w:szCs w:val="20"/>
                <w:lang w:eastAsia="en-AU"/>
              </w:rPr>
              <w:t xml:space="preserve">Supply chain </w:t>
            </w:r>
            <w:r w:rsidR="0022690C" w:rsidRPr="00B16E6B">
              <w:rPr>
                <w:rFonts w:eastAsia="Times New Roman" w:cs="Arial"/>
                <w:color w:val="000000"/>
                <w:sz w:val="18"/>
                <w:szCs w:val="20"/>
                <w:lang w:eastAsia="en-AU"/>
              </w:rPr>
              <w:t>risks</w:t>
            </w:r>
            <w:r w:rsidRPr="00B16E6B">
              <w:rPr>
                <w:rFonts w:eastAsia="Times New Roman" w:cs="Arial"/>
                <w:color w:val="000000"/>
                <w:sz w:val="18"/>
                <w:szCs w:val="20"/>
                <w:lang w:eastAsia="en-AU"/>
              </w:rPr>
              <w:t xml:space="preserve"> include threats to organisations, people, activities, information, and resources that support Australia’s critical infrastructure</w:t>
            </w:r>
            <w:r w:rsidR="00865D73" w:rsidRPr="00B16E6B">
              <w:rPr>
                <w:rFonts w:eastAsia="Times New Roman" w:cs="Arial"/>
                <w:color w:val="000000"/>
                <w:sz w:val="18"/>
                <w:szCs w:val="20"/>
                <w:lang w:eastAsia="en-AU"/>
              </w:rPr>
              <w:t xml:space="preserve"> and the delivery of essential</w:t>
            </w:r>
            <w:r w:rsidRPr="00B16E6B">
              <w:rPr>
                <w:rFonts w:eastAsia="Times New Roman" w:cs="Arial"/>
                <w:color w:val="000000"/>
                <w:sz w:val="18"/>
                <w:szCs w:val="20"/>
                <w:lang w:eastAsia="en-AU"/>
              </w:rPr>
              <w:t xml:space="preserve">. </w:t>
            </w:r>
            <w:r w:rsidR="00865D73" w:rsidRPr="00B16E6B">
              <w:rPr>
                <w:rFonts w:eastAsia="Times New Roman" w:cs="Arial"/>
                <w:color w:val="000000"/>
                <w:sz w:val="18"/>
                <w:szCs w:val="20"/>
                <w:lang w:eastAsia="en-AU"/>
              </w:rPr>
              <w:t>goods and services</w:t>
            </w:r>
            <w:r w:rsidR="00865D73" w:rsidRPr="00B16E6B">
              <w:rPr>
                <w:rFonts w:eastAsia="Times New Roman" w:cs="Arial"/>
                <w:sz w:val="18"/>
                <w:szCs w:val="20"/>
                <w:lang w:eastAsia="en-AU"/>
              </w:rPr>
              <w:t xml:space="preserve"> </w:t>
            </w:r>
            <w:r w:rsidRPr="00B16E6B">
              <w:rPr>
                <w:rFonts w:eastAsia="Times New Roman" w:cs="Arial"/>
                <w:sz w:val="18"/>
                <w:szCs w:val="20"/>
                <w:lang w:eastAsia="en-AU"/>
              </w:rPr>
              <w:t xml:space="preserve">This risk is compounded where organisations are reliant on suppliers in a particular part of the world </w:t>
            </w:r>
            <w:r w:rsidR="0022690C" w:rsidRPr="00B16E6B">
              <w:rPr>
                <w:rFonts w:eastAsia="Times New Roman" w:cs="Arial"/>
                <w:sz w:val="18"/>
                <w:szCs w:val="20"/>
                <w:lang w:eastAsia="en-AU"/>
              </w:rPr>
              <w:t>that</w:t>
            </w:r>
            <w:r w:rsidRPr="00B16E6B">
              <w:rPr>
                <w:rFonts w:eastAsia="Times New Roman" w:cs="Arial"/>
                <w:sz w:val="18"/>
                <w:szCs w:val="20"/>
                <w:lang w:eastAsia="en-AU"/>
              </w:rPr>
              <w:t xml:space="preserve"> may </w:t>
            </w:r>
            <w:r w:rsidR="0022690C" w:rsidRPr="00B16E6B">
              <w:rPr>
                <w:rFonts w:eastAsia="Times New Roman" w:cs="Arial"/>
                <w:sz w:val="18"/>
                <w:szCs w:val="20"/>
                <w:lang w:eastAsia="en-AU"/>
              </w:rPr>
              <w:t>also experience</w:t>
            </w:r>
            <w:r w:rsidR="00E81C6F" w:rsidRPr="00B16E6B">
              <w:rPr>
                <w:rFonts w:eastAsia="Times New Roman" w:cs="Arial"/>
                <w:sz w:val="18"/>
                <w:szCs w:val="20"/>
                <w:lang w:eastAsia="en-AU"/>
              </w:rPr>
              <w:t xml:space="preserve"> supply chain disruptions</w:t>
            </w:r>
          </w:p>
        </w:tc>
        <w:tc>
          <w:tcPr>
            <w:tcW w:w="5244" w:type="dxa"/>
            <w:tcBorders>
              <w:top w:val="single" w:sz="6" w:space="0" w:color="A5A5A5"/>
              <w:left w:val="single" w:sz="6" w:space="0" w:color="A5A5A5"/>
              <w:bottom w:val="single" w:sz="6" w:space="0" w:color="A5A5A5"/>
              <w:right w:val="nil"/>
            </w:tcBorders>
            <w:shd w:val="clear" w:color="auto" w:fill="FFFFFF"/>
            <w:vAlign w:val="center"/>
            <w:hideMark/>
          </w:tcPr>
          <w:p w14:paraId="0D0BD87F" w14:textId="77777777" w:rsidR="00681647" w:rsidRPr="00B16E6B" w:rsidRDefault="00681647" w:rsidP="009613E1">
            <w:pPr>
              <w:spacing w:before="20" w:after="20" w:line="271" w:lineRule="auto"/>
              <w:ind w:left="113"/>
              <w:textAlignment w:val="baseline"/>
              <w:rPr>
                <w:rFonts w:eastAsia="Times New Roman" w:cs="Arial"/>
                <w:sz w:val="18"/>
                <w:szCs w:val="20"/>
                <w:lang w:eastAsia="en-AU"/>
              </w:rPr>
            </w:pPr>
            <w:r w:rsidRPr="00B16E6B">
              <w:rPr>
                <w:rFonts w:eastAsia="Times New Roman" w:cs="Arial"/>
                <w:sz w:val="18"/>
                <w:szCs w:val="20"/>
                <w:lang w:eastAsia="en-AU"/>
              </w:rPr>
              <w:t>Australia’s transport sector acts as a gateway and point of connection to resources and services across other critical infrastruc</w:t>
            </w:r>
            <w:r w:rsidR="0022690C" w:rsidRPr="00B16E6B">
              <w:rPr>
                <w:rFonts w:eastAsia="Times New Roman" w:cs="Arial"/>
                <w:sz w:val="18"/>
                <w:szCs w:val="20"/>
                <w:lang w:eastAsia="en-AU"/>
              </w:rPr>
              <w:t>ture sectors including energy, health care and services, and food and grocery</w:t>
            </w:r>
            <w:r w:rsidRPr="00B16E6B">
              <w:rPr>
                <w:rFonts w:eastAsia="Times New Roman" w:cs="Arial"/>
                <w:sz w:val="18"/>
                <w:szCs w:val="20"/>
                <w:lang w:eastAsia="en-AU"/>
              </w:rPr>
              <w:t xml:space="preserve">. Disruptions to the transport sector can have significant impacts to the supply chains of other </w:t>
            </w:r>
            <w:r w:rsidR="00E81C6F" w:rsidRPr="00B16E6B">
              <w:rPr>
                <w:rFonts w:cs="Arial"/>
                <w:sz w:val="18"/>
                <w:szCs w:val="20"/>
              </w:rPr>
              <w:t>sectors</w:t>
            </w:r>
            <w:r w:rsidRPr="00B16E6B">
              <w:rPr>
                <w:rStyle w:val="FootnoteReference"/>
                <w:rFonts w:cs="Arial"/>
                <w:bCs/>
                <w:sz w:val="18"/>
                <w:szCs w:val="20"/>
              </w:rPr>
              <w:footnoteReference w:id="23"/>
            </w:r>
            <w:r w:rsidRPr="00B16E6B">
              <w:rPr>
                <w:rFonts w:cs="Arial"/>
                <w:sz w:val="18"/>
                <w:szCs w:val="20"/>
              </w:rPr>
              <w:t xml:space="preserve"> </w:t>
            </w:r>
          </w:p>
        </w:tc>
      </w:tr>
      <w:tr w:rsidR="00681647" w:rsidRPr="00B16E6B" w14:paraId="013EA19B" w14:textId="77777777" w:rsidTr="006B18C7">
        <w:trPr>
          <w:trHeight w:val="300"/>
        </w:trPr>
        <w:tc>
          <w:tcPr>
            <w:tcW w:w="1023" w:type="dxa"/>
            <w:tcBorders>
              <w:top w:val="single" w:sz="6" w:space="0" w:color="A5A5A5"/>
              <w:left w:val="nil"/>
              <w:bottom w:val="single" w:sz="6" w:space="0" w:color="A5A5A5"/>
              <w:right w:val="nil"/>
            </w:tcBorders>
            <w:shd w:val="clear" w:color="auto" w:fill="E7E6E6"/>
            <w:vAlign w:val="center"/>
            <w:hideMark/>
          </w:tcPr>
          <w:p w14:paraId="521A89B9" w14:textId="77777777" w:rsidR="00681647" w:rsidRPr="00B16E6B" w:rsidRDefault="00681647" w:rsidP="009613E1">
            <w:pPr>
              <w:spacing w:after="0" w:line="271" w:lineRule="auto"/>
              <w:textAlignment w:val="baseline"/>
              <w:rPr>
                <w:rFonts w:eastAsia="Times New Roman" w:cs="Times New Roman"/>
                <w:sz w:val="20"/>
                <w:szCs w:val="20"/>
                <w:lang w:eastAsia="en-AU"/>
              </w:rPr>
            </w:pPr>
            <w:r w:rsidRPr="00B16E6B">
              <w:rPr>
                <w:rFonts w:eastAsia="Times New Roman" w:cs="Arial"/>
                <w:b/>
                <w:bCs/>
                <w:sz w:val="20"/>
                <w:szCs w:val="20"/>
                <w:lang w:eastAsia="en-AU"/>
              </w:rPr>
              <w:t>Natural hazard</w:t>
            </w:r>
            <w:r w:rsidRPr="00B16E6B">
              <w:rPr>
                <w:rFonts w:eastAsia="Times New Roman" w:cs="Arial"/>
                <w:sz w:val="20"/>
                <w:szCs w:val="20"/>
                <w:lang w:eastAsia="en-AU"/>
              </w:rPr>
              <w:t> </w:t>
            </w:r>
          </w:p>
        </w:tc>
        <w:tc>
          <w:tcPr>
            <w:tcW w:w="4223" w:type="dxa"/>
            <w:tcBorders>
              <w:top w:val="single" w:sz="6" w:space="0" w:color="A5A5A5"/>
              <w:left w:val="nil"/>
              <w:bottom w:val="single" w:sz="6" w:space="0" w:color="A5A5A5"/>
              <w:right w:val="single" w:sz="6" w:space="0" w:color="A5A5A5"/>
            </w:tcBorders>
            <w:shd w:val="clear" w:color="auto" w:fill="FFFFFF"/>
            <w:vAlign w:val="center"/>
            <w:hideMark/>
          </w:tcPr>
          <w:p w14:paraId="5F224D8E" w14:textId="77777777" w:rsidR="00681647" w:rsidRPr="00B16E6B" w:rsidRDefault="00681647" w:rsidP="009613E1">
            <w:pPr>
              <w:spacing w:before="20" w:after="20" w:line="271" w:lineRule="auto"/>
              <w:ind w:left="113"/>
              <w:textAlignment w:val="baseline"/>
              <w:rPr>
                <w:rFonts w:eastAsia="Times New Roman" w:cs="Times New Roman"/>
                <w:sz w:val="18"/>
                <w:szCs w:val="20"/>
                <w:lang w:eastAsia="en-AU"/>
              </w:rPr>
            </w:pPr>
            <w:r w:rsidRPr="00B16E6B">
              <w:rPr>
                <w:rFonts w:eastAsia="Times New Roman" w:cs="Arial"/>
                <w:color w:val="000000"/>
                <w:sz w:val="18"/>
                <w:szCs w:val="20"/>
                <w:lang w:eastAsia="en-AU"/>
              </w:rPr>
              <w:t>Natural hazards are unexpected or uncontrollable geophysical events, which have the potential to cause damage or loss to an organisation, its people, systems, or property</w:t>
            </w:r>
          </w:p>
        </w:tc>
        <w:tc>
          <w:tcPr>
            <w:tcW w:w="5244" w:type="dxa"/>
            <w:tcBorders>
              <w:top w:val="single" w:sz="6" w:space="0" w:color="A5A5A5"/>
              <w:left w:val="single" w:sz="6" w:space="0" w:color="A5A5A5"/>
              <w:bottom w:val="single" w:sz="6" w:space="0" w:color="A5A5A5"/>
              <w:right w:val="nil"/>
            </w:tcBorders>
            <w:shd w:val="clear" w:color="auto" w:fill="FFFFFF"/>
            <w:vAlign w:val="center"/>
            <w:hideMark/>
          </w:tcPr>
          <w:p w14:paraId="42062823" w14:textId="77777777" w:rsidR="00681647" w:rsidRPr="00B16E6B" w:rsidRDefault="00681647" w:rsidP="009613E1">
            <w:pPr>
              <w:spacing w:before="20" w:after="20" w:line="271" w:lineRule="auto"/>
              <w:ind w:left="113"/>
              <w:textAlignment w:val="baseline"/>
              <w:rPr>
                <w:rFonts w:eastAsia="Times New Roman" w:cs="Times New Roman"/>
                <w:sz w:val="18"/>
                <w:szCs w:val="20"/>
                <w:lang w:eastAsia="en-AU"/>
              </w:rPr>
            </w:pPr>
            <w:r w:rsidRPr="00B16E6B">
              <w:rPr>
                <w:rFonts w:eastAsia="Times New Roman" w:cs="Arial"/>
                <w:color w:val="000000"/>
                <w:sz w:val="18"/>
                <w:szCs w:val="20"/>
                <w:lang w:eastAsia="en-AU"/>
              </w:rPr>
              <w:t>Climate change is a threat to transport infrastructure</w:t>
            </w:r>
            <w:r w:rsidR="00865D73" w:rsidRPr="00B16E6B">
              <w:rPr>
                <w:rFonts w:eastAsia="Times New Roman" w:cs="Arial"/>
                <w:color w:val="000000"/>
                <w:sz w:val="18"/>
                <w:szCs w:val="20"/>
                <w:lang w:eastAsia="en-AU"/>
              </w:rPr>
              <w:t>.</w:t>
            </w:r>
            <w:r w:rsidR="00636E0E" w:rsidRPr="00B16E6B">
              <w:rPr>
                <w:rFonts w:eastAsia="Times New Roman" w:cs="Arial"/>
                <w:color w:val="000000"/>
                <w:sz w:val="18"/>
                <w:szCs w:val="20"/>
                <w:lang w:eastAsia="en-AU"/>
              </w:rPr>
              <w:t xml:space="preserve"> </w:t>
            </w:r>
            <w:r w:rsidR="00865D73" w:rsidRPr="00B16E6B">
              <w:rPr>
                <w:rFonts w:eastAsia="Times New Roman" w:cs="Arial"/>
                <w:color w:val="000000"/>
                <w:sz w:val="18"/>
                <w:szCs w:val="20"/>
                <w:lang w:eastAsia="en-AU"/>
              </w:rPr>
              <w:t>Airlines and their pilots rely on predictable weather conditions to make crucial decisions to enable safe flights, and t</w:t>
            </w:r>
            <w:r w:rsidRPr="00B16E6B">
              <w:rPr>
                <w:rFonts w:eastAsia="Times New Roman" w:cs="Arial"/>
                <w:color w:val="000000"/>
                <w:sz w:val="18"/>
                <w:szCs w:val="20"/>
                <w:lang w:eastAsia="en-AU"/>
              </w:rPr>
              <w:t>he maritime sector is vulnerable to sea-borne weather events due to its littoral nature</w:t>
            </w:r>
            <w:r w:rsidR="00636E0E" w:rsidRPr="00B16E6B">
              <w:rPr>
                <w:rFonts w:eastAsia="Times New Roman" w:cs="Arial"/>
                <w:color w:val="000000"/>
                <w:sz w:val="18"/>
                <w:szCs w:val="20"/>
                <w:lang w:eastAsia="en-AU"/>
              </w:rPr>
              <w:t xml:space="preserve">. </w:t>
            </w:r>
            <w:r w:rsidRPr="00B16E6B">
              <w:rPr>
                <w:rFonts w:eastAsia="Times New Roman" w:cs="Arial"/>
                <w:color w:val="000000"/>
                <w:sz w:val="18"/>
                <w:szCs w:val="20"/>
                <w:lang w:eastAsia="en-AU"/>
              </w:rPr>
              <w:t>Natural hazards can cause up-stream supply chain outages that may affect the delivery o</w:t>
            </w:r>
            <w:r w:rsidR="00E81C6F" w:rsidRPr="00B16E6B">
              <w:rPr>
                <w:rFonts w:eastAsia="Times New Roman" w:cs="Arial"/>
                <w:color w:val="000000"/>
                <w:sz w:val="18"/>
                <w:szCs w:val="20"/>
                <w:lang w:eastAsia="en-AU"/>
              </w:rPr>
              <w:t>f essential transport services</w:t>
            </w:r>
          </w:p>
        </w:tc>
      </w:tr>
    </w:tbl>
    <w:p w14:paraId="5ACA7772" w14:textId="7A12E163" w:rsidR="00681647" w:rsidRPr="00B16E6B" w:rsidRDefault="00681647" w:rsidP="009613E1">
      <w:pPr>
        <w:spacing w:before="240" w:line="271" w:lineRule="auto"/>
        <w:textAlignment w:val="baseline"/>
        <w:rPr>
          <w:rFonts w:eastAsia="Times New Roman" w:cs="Arial"/>
          <w:szCs w:val="22"/>
          <w:lang w:eastAsia="en-AU"/>
        </w:rPr>
      </w:pPr>
      <w:r w:rsidRPr="00B16E6B">
        <w:rPr>
          <w:rFonts w:eastAsia="Times New Roman" w:cs="Arial"/>
          <w:szCs w:val="22"/>
          <w:lang w:eastAsia="en-AU"/>
        </w:rPr>
        <w:t>New technologies have resulted in the enhanced connectivity and complex</w:t>
      </w:r>
      <w:r w:rsidR="00205026" w:rsidRPr="00B16E6B">
        <w:rPr>
          <w:rFonts w:eastAsia="Times New Roman" w:cs="Arial"/>
          <w:szCs w:val="22"/>
          <w:lang w:eastAsia="en-AU"/>
        </w:rPr>
        <w:t xml:space="preserve">ity of transport </w:t>
      </w:r>
      <w:r w:rsidR="00064490" w:rsidRPr="00B16E6B">
        <w:rPr>
          <w:rFonts w:eastAsia="Times New Roman" w:cs="Arial"/>
          <w:szCs w:val="22"/>
          <w:lang w:eastAsia="en-AU"/>
        </w:rPr>
        <w:t>operations</w:t>
      </w:r>
      <w:r w:rsidR="00205026" w:rsidRPr="00B16E6B">
        <w:rPr>
          <w:rFonts w:eastAsia="Times New Roman" w:cs="Arial"/>
          <w:szCs w:val="22"/>
          <w:lang w:eastAsia="en-AU"/>
        </w:rPr>
        <w:t>. Large IT</w:t>
      </w:r>
      <w:r w:rsidRPr="00B16E6B">
        <w:rPr>
          <w:rFonts w:eastAsia="Times New Roman" w:cs="Arial"/>
          <w:szCs w:val="22"/>
          <w:lang w:eastAsia="en-AU"/>
        </w:rPr>
        <w:t xml:space="preserve"> systems organise and sort data in quantities impractical to humans, and </w:t>
      </w:r>
      <w:r w:rsidR="00205026" w:rsidRPr="00B16E6B">
        <w:rPr>
          <w:rFonts w:eastAsia="Times New Roman" w:cs="Arial"/>
          <w:szCs w:val="22"/>
          <w:lang w:eastAsia="en-AU"/>
        </w:rPr>
        <w:t>OT</w:t>
      </w:r>
      <w:r w:rsidRPr="00B16E6B">
        <w:rPr>
          <w:rFonts w:eastAsia="Times New Roman" w:cs="Arial"/>
          <w:szCs w:val="22"/>
          <w:lang w:eastAsia="en-AU"/>
        </w:rPr>
        <w:t xml:space="preserve"> performs these outcomes autonomously. Such systems are critical to the coordinated operation of air and seaports, and link information and systems to operations.   </w:t>
      </w:r>
    </w:p>
    <w:p w14:paraId="7853E3EA" w14:textId="77777777" w:rsidR="000A140E" w:rsidRPr="00B16E6B" w:rsidRDefault="000A140E" w:rsidP="009613E1">
      <w:pPr>
        <w:spacing w:after="200" w:line="271" w:lineRule="auto"/>
        <w:rPr>
          <w:rFonts w:eastAsia="Times New Roman" w:cs="Arial"/>
          <w:szCs w:val="22"/>
          <w:lang w:eastAsia="en-AU"/>
        </w:rPr>
      </w:pPr>
      <w:r w:rsidRPr="00B16E6B">
        <w:rPr>
          <w:rFonts w:eastAsia="Times New Roman" w:cs="Arial"/>
          <w:szCs w:val="22"/>
          <w:lang w:eastAsia="en-AU"/>
        </w:rPr>
        <w:br w:type="page"/>
      </w:r>
    </w:p>
    <w:p w14:paraId="24553CD7" w14:textId="27FC8736" w:rsidR="00681647" w:rsidRDefault="00681647" w:rsidP="009613E1">
      <w:pPr>
        <w:spacing w:line="271" w:lineRule="auto"/>
        <w:textAlignment w:val="baseline"/>
        <w:rPr>
          <w:rFonts w:cs="Arial"/>
          <w:szCs w:val="22"/>
        </w:rPr>
      </w:pPr>
      <w:r w:rsidRPr="00B16E6B">
        <w:rPr>
          <w:rFonts w:eastAsia="Times New Roman" w:cs="Arial"/>
          <w:szCs w:val="22"/>
          <w:lang w:eastAsia="en-AU"/>
        </w:rPr>
        <w:lastRenderedPageBreak/>
        <w:t>In the aviation sector, international commercial travel has expanded exponentially since the 1970s, as depicted in by Figure 1 below. Despite the impact of COVID-19 and associated border closures on the demand for commercial air travel, the numbers of domestic and international travellers are slowly returning to pre-pandemic levels</w:t>
      </w:r>
      <w:r w:rsidR="00063418" w:rsidRPr="00B16E6B">
        <w:rPr>
          <w:rFonts w:eastAsia="Times New Roman" w:cs="Arial"/>
          <w:szCs w:val="22"/>
          <w:lang w:eastAsia="en-AU"/>
        </w:rPr>
        <w:t>.</w:t>
      </w:r>
      <w:r w:rsidR="0022690C" w:rsidRPr="00B16E6B">
        <w:rPr>
          <w:rStyle w:val="FootnoteReference"/>
          <w:rFonts w:eastAsia="Times New Roman" w:cs="Arial"/>
          <w:szCs w:val="22"/>
          <w:lang w:eastAsia="en-AU"/>
        </w:rPr>
        <w:footnoteReference w:id="24"/>
      </w:r>
      <w:r w:rsidR="00D82EEB" w:rsidRPr="00B16E6B">
        <w:rPr>
          <w:rFonts w:eastAsia="Times New Roman" w:cs="Arial"/>
          <w:szCs w:val="22"/>
          <w:lang w:eastAsia="en-AU"/>
        </w:rPr>
        <w:t xml:space="preserve"> The aviation sector is experiencing advances in technology that could lead to greater increases in travel and freight volumes</w:t>
      </w:r>
      <w:r w:rsidRPr="00B16E6B">
        <w:rPr>
          <w:rFonts w:eastAsia="Times New Roman" w:cs="Arial"/>
          <w:szCs w:val="22"/>
          <w:lang w:eastAsia="en-AU"/>
        </w:rPr>
        <w:t xml:space="preserve">. These technologies </w:t>
      </w:r>
      <w:r w:rsidR="00D82EEB" w:rsidRPr="00B16E6B">
        <w:rPr>
          <w:rFonts w:cs="Arial"/>
          <w:szCs w:val="22"/>
        </w:rPr>
        <w:t>could result in the further integration of OT with computer and IT systems</w:t>
      </w:r>
      <w:r w:rsidRPr="00B16E6B">
        <w:rPr>
          <w:rFonts w:cs="Arial"/>
          <w:szCs w:val="22"/>
        </w:rPr>
        <w:t>.</w:t>
      </w:r>
    </w:p>
    <w:p w14:paraId="5194F558" w14:textId="250532A4" w:rsidR="00344BEE" w:rsidRPr="00B16E6B" w:rsidRDefault="00E03359" w:rsidP="00E03359">
      <w:pPr>
        <w:spacing w:after="60" w:line="271" w:lineRule="auto"/>
        <w:ind w:left="-284" w:firstLine="284"/>
        <w:textAlignment w:val="baseline"/>
        <w:rPr>
          <w:rFonts w:eastAsia="Times New Roman" w:cs="Arial"/>
          <w:szCs w:val="22"/>
          <w:lang w:eastAsia="en-AU"/>
        </w:rPr>
      </w:pPr>
      <w:r w:rsidRPr="00E03359">
        <w:rPr>
          <w:rFonts w:ascii="Arial" w:eastAsia="Times New Roman" w:hAnsi="Arial" w:cs="Arial"/>
          <w:b/>
          <w:bCs/>
          <w:i/>
          <w:iCs/>
          <w:color w:val="44546A"/>
          <w:sz w:val="18"/>
          <w:szCs w:val="18"/>
          <w:lang w:eastAsia="en-AU"/>
        </w:rPr>
        <w:t>Figure 1: Revenue trends in international travel</w:t>
      </w:r>
      <w:r w:rsidR="00FE4A7D" w:rsidRPr="00B16E6B">
        <w:rPr>
          <w:rFonts w:eastAsia="Times New Roman" w:cs="Arial"/>
          <w:noProof/>
          <w:szCs w:val="22"/>
          <w:lang w:eastAsia="en-AU"/>
        </w:rPr>
        <w:drawing>
          <wp:inline distT="0" distB="0" distL="0" distR="0" wp14:anchorId="72C17260" wp14:editId="5DA7CC2C">
            <wp:extent cx="4425950" cy="2458720"/>
            <wp:effectExtent l="0" t="0" r="0" b="0"/>
            <wp:docPr id="11" name="Picture 11" descr="Graph showing the revenue trends in international travel from 1977-78 to 2021-22. The graph notes a steady increase in the number of passengers and revenue  across the years with a steep decline in 2020. The trend then continues to rise progressively to the 2021-2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 showing the revenue trends in international travel from 1977-78 to 2021-22. The graph notes a steady increase in the number of passengers and revenue  across the years with a steep decline in 2020. The trend then continues to rise progressively to the 2021-2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0" cy="2458720"/>
                    </a:xfrm>
                    <a:prstGeom prst="rect">
                      <a:avLst/>
                    </a:prstGeom>
                    <a:noFill/>
                  </pic:spPr>
                </pic:pic>
              </a:graphicData>
            </a:graphic>
          </wp:inline>
        </w:drawing>
      </w:r>
    </w:p>
    <w:p w14:paraId="750BBCAC" w14:textId="7540CA11" w:rsidR="00BA3CF3" w:rsidRPr="00B16E6B" w:rsidRDefault="00BA3CF3" w:rsidP="009613E1">
      <w:pPr>
        <w:spacing w:before="240" w:after="120" w:line="271" w:lineRule="auto"/>
        <w:textAlignment w:val="baseline"/>
        <w:rPr>
          <w:rFonts w:eastAsia="Times New Roman" w:cs="Arial"/>
          <w:szCs w:val="22"/>
          <w:lang w:eastAsia="en-AU"/>
        </w:rPr>
      </w:pPr>
      <w:r w:rsidRPr="00B16E6B">
        <w:rPr>
          <w:rFonts w:eastAsia="Times New Roman" w:cs="Arial"/>
          <w:szCs w:val="22"/>
          <w:lang w:eastAsia="en-AU"/>
        </w:rPr>
        <w:t xml:space="preserve">In the maritime context, the number of twenty-foot equivalent units (TEU) of containers moved through Australian ports grew </w:t>
      </w:r>
      <w:r w:rsidR="00D145CC" w:rsidRPr="00B16E6B">
        <w:rPr>
          <w:rFonts w:eastAsia="Times New Roman" w:cs="Arial"/>
          <w:szCs w:val="22"/>
          <w:lang w:eastAsia="en-AU"/>
        </w:rPr>
        <w:t>130% between 2000 and 2021.</w:t>
      </w:r>
      <w:r w:rsidR="00D145CC" w:rsidRPr="00B16E6B">
        <w:rPr>
          <w:rStyle w:val="FootnoteReference"/>
          <w:rFonts w:eastAsia="Times New Roman" w:cs="Arial"/>
          <w:szCs w:val="22"/>
          <w:lang w:eastAsia="en-AU"/>
        </w:rPr>
        <w:footnoteReference w:id="25"/>
      </w:r>
      <w:r w:rsidR="00D145CC" w:rsidRPr="00B16E6B">
        <w:rPr>
          <w:rFonts w:eastAsia="Times New Roman" w:cs="Arial"/>
          <w:szCs w:val="22"/>
          <w:lang w:eastAsia="en-AU"/>
        </w:rPr>
        <w:t xml:space="preserve"> </w:t>
      </w:r>
      <w:r w:rsidRPr="00B16E6B">
        <w:rPr>
          <w:rFonts w:eastAsia="Times New Roman" w:cs="Arial"/>
          <w:szCs w:val="22"/>
          <w:lang w:eastAsia="en-AU"/>
        </w:rPr>
        <w:t xml:space="preserve">This example of increased demand alone has resulted in a requirement for larger ships and increased maritime traffic in Australia. </w:t>
      </w:r>
    </w:p>
    <w:p w14:paraId="2B6E635F" w14:textId="01C87892" w:rsidR="00D82EEB" w:rsidRPr="00B16E6B" w:rsidRDefault="00BA3CF3" w:rsidP="009613E1">
      <w:pPr>
        <w:spacing w:after="240" w:line="271" w:lineRule="auto"/>
        <w:textAlignment w:val="baseline"/>
        <w:rPr>
          <w:rFonts w:eastAsia="Times New Roman" w:cs="Arial"/>
          <w:b/>
          <w:bCs/>
          <w:i/>
          <w:iCs/>
          <w:color w:val="44546A"/>
          <w:sz w:val="18"/>
          <w:szCs w:val="18"/>
          <w:lang w:eastAsia="en-AU"/>
        </w:rPr>
      </w:pPr>
      <w:r w:rsidRPr="00B16E6B">
        <w:rPr>
          <w:rFonts w:cs="Arial"/>
          <w:szCs w:val="22"/>
        </w:rPr>
        <w:t xml:space="preserve">The maritime sector has experienced changes to shipping traffic (as outline in </w:t>
      </w:r>
      <w:r w:rsidR="00E2411D" w:rsidRPr="00B16E6B">
        <w:rPr>
          <w:rFonts w:cs="Arial"/>
          <w:szCs w:val="22"/>
        </w:rPr>
        <w:t>table</w:t>
      </w:r>
      <w:r w:rsidRPr="00B16E6B">
        <w:rPr>
          <w:rFonts w:cs="Arial"/>
          <w:szCs w:val="22"/>
        </w:rPr>
        <w:t xml:space="preserve"> 6 below), creating challenges in maintaining a risk-based approach to compliance. For example, increased shipping traffic creates a need for additional resources to </w:t>
      </w:r>
      <w:r w:rsidR="00B905E7" w:rsidRPr="00B16E6B">
        <w:rPr>
          <w:rFonts w:cs="Arial"/>
          <w:szCs w:val="22"/>
        </w:rPr>
        <w:t>conduct inspections</w:t>
      </w:r>
      <w:r w:rsidRPr="00B16E6B">
        <w:rPr>
          <w:rFonts w:cs="Arial"/>
          <w:szCs w:val="22"/>
        </w:rPr>
        <w:t xml:space="preserve"> of foreign ships.</w:t>
      </w:r>
      <w:r w:rsidR="00212AAA" w:rsidRPr="00B16E6B">
        <w:rPr>
          <w:rFonts w:cs="Arial"/>
          <w:szCs w:val="22"/>
        </w:rPr>
        <w:t xml:space="preserve"> </w:t>
      </w:r>
      <w:r w:rsidRPr="00B16E6B">
        <w:rPr>
          <w:rFonts w:cs="Arial"/>
          <w:szCs w:val="22"/>
        </w:rPr>
        <w:t>These inspections are crucial for verifying compliance with international regulations and ensuring maritime safety and security.</w:t>
      </w:r>
      <w:r w:rsidRPr="00B16E6B">
        <w:rPr>
          <w:rStyle w:val="FootnoteReference"/>
          <w:rFonts w:cs="Arial"/>
          <w:szCs w:val="22"/>
        </w:rPr>
        <w:footnoteReference w:id="26"/>
      </w:r>
    </w:p>
    <w:p w14:paraId="4E07D1CC" w14:textId="77777777" w:rsidR="00760092" w:rsidRPr="00B16E6B" w:rsidRDefault="00760092" w:rsidP="009613E1">
      <w:pPr>
        <w:spacing w:after="60" w:line="271" w:lineRule="auto"/>
        <w:rPr>
          <w:rFonts w:eastAsia="Times New Roman" w:cs="Arial"/>
          <w:b/>
          <w:bCs/>
          <w:i/>
          <w:iCs/>
          <w:color w:val="44546A"/>
          <w:sz w:val="18"/>
          <w:szCs w:val="18"/>
          <w:lang w:eastAsia="en-AU"/>
        </w:rPr>
      </w:pPr>
    </w:p>
    <w:p w14:paraId="628444FA" w14:textId="77777777" w:rsidR="000A140E" w:rsidRPr="00B16E6B" w:rsidRDefault="000A140E" w:rsidP="009613E1">
      <w:pPr>
        <w:spacing w:after="200" w:line="271" w:lineRule="auto"/>
        <w:rPr>
          <w:rFonts w:eastAsia="Times New Roman" w:cs="Arial"/>
          <w:b/>
          <w:bCs/>
          <w:i/>
          <w:iCs/>
          <w:color w:val="44546A"/>
          <w:sz w:val="18"/>
          <w:szCs w:val="18"/>
          <w:lang w:eastAsia="en-AU"/>
        </w:rPr>
      </w:pPr>
      <w:r w:rsidRPr="00B16E6B">
        <w:rPr>
          <w:rFonts w:eastAsia="Times New Roman" w:cs="Arial"/>
          <w:b/>
          <w:bCs/>
          <w:i/>
          <w:iCs/>
          <w:color w:val="44546A"/>
          <w:sz w:val="18"/>
          <w:szCs w:val="18"/>
          <w:lang w:eastAsia="en-AU"/>
        </w:rPr>
        <w:br w:type="page"/>
      </w:r>
    </w:p>
    <w:p w14:paraId="72EE4709" w14:textId="2129FAB9" w:rsidR="00BA3CF3" w:rsidRPr="00B16E6B" w:rsidRDefault="00BA3CF3" w:rsidP="009613E1">
      <w:pPr>
        <w:spacing w:after="60" w:line="271" w:lineRule="auto"/>
        <w:rPr>
          <w:rFonts w:eastAsia="Times New Roman" w:cs="Segoe UI"/>
          <w:i/>
          <w:iCs/>
          <w:color w:val="44546A"/>
          <w:sz w:val="18"/>
          <w:szCs w:val="18"/>
          <w:lang w:eastAsia="en-AU"/>
        </w:rPr>
      </w:pPr>
      <w:r w:rsidRPr="00B16E6B">
        <w:rPr>
          <w:rFonts w:eastAsia="Times New Roman" w:cs="Arial"/>
          <w:b/>
          <w:bCs/>
          <w:i/>
          <w:iCs/>
          <w:color w:val="44546A"/>
          <w:sz w:val="18"/>
          <w:szCs w:val="18"/>
          <w:lang w:eastAsia="en-AU"/>
        </w:rPr>
        <w:lastRenderedPageBreak/>
        <w:t>Table 6:</w:t>
      </w:r>
      <w:r w:rsidRPr="00B16E6B">
        <w:rPr>
          <w:rFonts w:eastAsia="Times New Roman" w:cs="Arial"/>
          <w:i/>
          <w:iCs/>
          <w:color w:val="44546A"/>
          <w:sz w:val="18"/>
          <w:szCs w:val="18"/>
          <w:lang w:eastAsia="en-AU"/>
        </w:rPr>
        <w:t xml:space="preserve"> Ship arrivals data</w:t>
      </w:r>
      <w:r w:rsidRPr="00B16E6B">
        <w:rPr>
          <w:rFonts w:eastAsia="Times New Roman" w:cs="Arial"/>
          <w:i/>
          <w:iCs/>
          <w:color w:val="44546A"/>
          <w:sz w:val="18"/>
          <w:szCs w:val="18"/>
          <w:vertAlign w:val="superscript"/>
          <w:lang w:eastAsia="en-AU"/>
        </w:rPr>
        <w:footnoteReference w:id="27"/>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2115"/>
        <w:gridCol w:w="1980"/>
        <w:gridCol w:w="1365"/>
      </w:tblGrid>
      <w:tr w:rsidR="00BA3CF3" w:rsidRPr="00B16E6B" w14:paraId="3D3ECBF9" w14:textId="77777777" w:rsidTr="00865D73">
        <w:trPr>
          <w:trHeight w:val="300"/>
        </w:trPr>
        <w:tc>
          <w:tcPr>
            <w:tcW w:w="3525" w:type="dxa"/>
            <w:tcBorders>
              <w:top w:val="single" w:sz="4" w:space="0" w:color="BFBFBF" w:themeColor="background2" w:themeShade="BF"/>
              <w:left w:val="nil"/>
              <w:bottom w:val="single" w:sz="6" w:space="0" w:color="D9D9D9"/>
              <w:right w:val="single" w:sz="6" w:space="0" w:color="D9D9D9"/>
            </w:tcBorders>
            <w:shd w:val="clear" w:color="auto" w:fill="1C2B39" w:themeFill="accent1"/>
            <w:vAlign w:val="center"/>
            <w:hideMark/>
          </w:tcPr>
          <w:p w14:paraId="3A282B37" w14:textId="77777777" w:rsidR="00BA3CF3" w:rsidRPr="00B16E6B" w:rsidRDefault="00BA3CF3" w:rsidP="009613E1">
            <w:pPr>
              <w:spacing w:before="60" w:after="60" w:line="271" w:lineRule="auto"/>
              <w:ind w:left="113"/>
              <w:textAlignment w:val="baseline"/>
              <w:rPr>
                <w:rFonts w:eastAsia="Times New Roman" w:cs="Times New Roman"/>
                <w:sz w:val="20"/>
                <w:szCs w:val="20"/>
                <w:lang w:eastAsia="en-AU"/>
              </w:rPr>
            </w:pPr>
            <w:r w:rsidRPr="00B16E6B">
              <w:rPr>
                <w:rFonts w:eastAsia="Times New Roman" w:cs="Arial"/>
                <w:b/>
                <w:bCs/>
                <w:sz w:val="20"/>
                <w:szCs w:val="20"/>
                <w:lang w:eastAsia="en-AU"/>
              </w:rPr>
              <w:t>Ship Type </w:t>
            </w:r>
            <w:r w:rsidRPr="00B16E6B">
              <w:rPr>
                <w:rFonts w:eastAsia="Times New Roman" w:cs="Arial"/>
                <w:sz w:val="20"/>
                <w:szCs w:val="20"/>
                <w:lang w:eastAsia="en-AU"/>
              </w:rPr>
              <w:t> </w:t>
            </w:r>
          </w:p>
        </w:tc>
        <w:tc>
          <w:tcPr>
            <w:tcW w:w="2115" w:type="dxa"/>
            <w:tcBorders>
              <w:top w:val="single" w:sz="4" w:space="0" w:color="BFBFBF" w:themeColor="background2" w:themeShade="BF"/>
              <w:left w:val="single" w:sz="6" w:space="0" w:color="D9D9D9"/>
              <w:bottom w:val="single" w:sz="6" w:space="0" w:color="D9D9D9"/>
              <w:right w:val="single" w:sz="6" w:space="0" w:color="D9D9D9"/>
            </w:tcBorders>
            <w:shd w:val="clear" w:color="auto" w:fill="1C2B39" w:themeFill="accent1"/>
            <w:vAlign w:val="center"/>
            <w:hideMark/>
          </w:tcPr>
          <w:p w14:paraId="320EBC11" w14:textId="77777777" w:rsidR="00BA3CF3" w:rsidRPr="00B16E6B" w:rsidRDefault="00BA3CF3" w:rsidP="009613E1">
            <w:pPr>
              <w:spacing w:before="60" w:after="60" w:line="271" w:lineRule="auto"/>
              <w:ind w:left="113"/>
              <w:textAlignment w:val="baseline"/>
              <w:rPr>
                <w:rFonts w:eastAsia="Times New Roman" w:cs="Times New Roman"/>
                <w:sz w:val="20"/>
                <w:szCs w:val="20"/>
                <w:lang w:eastAsia="en-AU"/>
              </w:rPr>
            </w:pPr>
            <w:r w:rsidRPr="00B16E6B">
              <w:rPr>
                <w:rFonts w:eastAsia="Times New Roman" w:cs="Arial"/>
                <w:b/>
                <w:bCs/>
                <w:sz w:val="20"/>
                <w:szCs w:val="20"/>
                <w:lang w:eastAsia="en-AU"/>
              </w:rPr>
              <w:t>2020</w:t>
            </w:r>
            <w:r w:rsidRPr="00B16E6B">
              <w:rPr>
                <w:rFonts w:eastAsia="Times New Roman" w:cs="Arial"/>
                <w:sz w:val="20"/>
                <w:szCs w:val="20"/>
                <w:lang w:eastAsia="en-AU"/>
              </w:rPr>
              <w:t> </w:t>
            </w:r>
          </w:p>
        </w:tc>
        <w:tc>
          <w:tcPr>
            <w:tcW w:w="1980" w:type="dxa"/>
            <w:tcBorders>
              <w:top w:val="single" w:sz="4" w:space="0" w:color="BFBFBF" w:themeColor="background2" w:themeShade="BF"/>
              <w:left w:val="single" w:sz="6" w:space="0" w:color="D9D9D9"/>
              <w:bottom w:val="single" w:sz="6" w:space="0" w:color="D9D9D9"/>
              <w:right w:val="single" w:sz="6" w:space="0" w:color="D9D9D9"/>
            </w:tcBorders>
            <w:shd w:val="clear" w:color="auto" w:fill="1C2B39" w:themeFill="accent1"/>
            <w:vAlign w:val="center"/>
            <w:hideMark/>
          </w:tcPr>
          <w:p w14:paraId="7A519EE8" w14:textId="77777777" w:rsidR="00BA3CF3" w:rsidRPr="00B16E6B" w:rsidRDefault="00BA3CF3" w:rsidP="009613E1">
            <w:pPr>
              <w:spacing w:before="60" w:after="60" w:line="271" w:lineRule="auto"/>
              <w:ind w:left="113"/>
              <w:textAlignment w:val="baseline"/>
              <w:rPr>
                <w:rFonts w:eastAsia="Times New Roman" w:cs="Times New Roman"/>
                <w:sz w:val="20"/>
                <w:szCs w:val="20"/>
                <w:lang w:eastAsia="en-AU"/>
              </w:rPr>
            </w:pPr>
            <w:r w:rsidRPr="00B16E6B">
              <w:rPr>
                <w:rFonts w:eastAsia="Times New Roman" w:cs="Arial"/>
                <w:b/>
                <w:bCs/>
                <w:sz w:val="20"/>
                <w:szCs w:val="20"/>
                <w:lang w:eastAsia="en-AU"/>
              </w:rPr>
              <w:t>202</w:t>
            </w:r>
            <w:r w:rsidR="00D145CC" w:rsidRPr="00B16E6B">
              <w:rPr>
                <w:rFonts w:eastAsia="Times New Roman" w:cs="Arial"/>
                <w:b/>
                <w:bCs/>
                <w:sz w:val="20"/>
                <w:szCs w:val="20"/>
                <w:lang w:eastAsia="en-AU"/>
              </w:rPr>
              <w:t>1</w:t>
            </w:r>
            <w:r w:rsidRPr="00B16E6B">
              <w:rPr>
                <w:rFonts w:eastAsia="Times New Roman" w:cs="Arial"/>
                <w:sz w:val="20"/>
                <w:szCs w:val="20"/>
                <w:lang w:eastAsia="en-AU"/>
              </w:rPr>
              <w:t> </w:t>
            </w:r>
          </w:p>
        </w:tc>
        <w:tc>
          <w:tcPr>
            <w:tcW w:w="1365" w:type="dxa"/>
            <w:tcBorders>
              <w:top w:val="single" w:sz="4" w:space="0" w:color="BFBFBF" w:themeColor="background2" w:themeShade="BF"/>
              <w:left w:val="single" w:sz="6" w:space="0" w:color="D9D9D9"/>
              <w:bottom w:val="single" w:sz="6" w:space="0" w:color="D9D9D9"/>
              <w:right w:val="nil"/>
            </w:tcBorders>
            <w:shd w:val="clear" w:color="auto" w:fill="1C2B39" w:themeFill="accent1"/>
            <w:vAlign w:val="center"/>
            <w:hideMark/>
          </w:tcPr>
          <w:p w14:paraId="284A161B" w14:textId="77777777" w:rsidR="00BA3CF3" w:rsidRPr="00B16E6B" w:rsidRDefault="00BA3CF3" w:rsidP="009613E1">
            <w:pPr>
              <w:spacing w:before="60" w:after="60" w:line="271" w:lineRule="auto"/>
              <w:ind w:left="113"/>
              <w:textAlignment w:val="baseline"/>
              <w:rPr>
                <w:rFonts w:eastAsia="Times New Roman" w:cs="Times New Roman"/>
                <w:sz w:val="20"/>
                <w:szCs w:val="20"/>
                <w:lang w:eastAsia="en-AU"/>
              </w:rPr>
            </w:pPr>
            <w:r w:rsidRPr="00B16E6B">
              <w:rPr>
                <w:rFonts w:eastAsia="Times New Roman" w:cs="Arial"/>
                <w:b/>
                <w:bCs/>
                <w:sz w:val="20"/>
                <w:szCs w:val="20"/>
                <w:lang w:eastAsia="en-AU"/>
              </w:rPr>
              <w:t>Change </w:t>
            </w:r>
            <w:r w:rsidRPr="00B16E6B">
              <w:rPr>
                <w:rFonts w:eastAsia="Times New Roman" w:cs="Arial"/>
                <w:sz w:val="20"/>
                <w:szCs w:val="20"/>
                <w:lang w:eastAsia="en-AU"/>
              </w:rPr>
              <w:t> </w:t>
            </w:r>
          </w:p>
        </w:tc>
      </w:tr>
      <w:tr w:rsidR="00BA3CF3" w:rsidRPr="00B16E6B" w14:paraId="425C0740" w14:textId="77777777" w:rsidTr="00B905E7">
        <w:trPr>
          <w:trHeight w:val="300"/>
        </w:trPr>
        <w:tc>
          <w:tcPr>
            <w:tcW w:w="3525" w:type="dxa"/>
            <w:tcBorders>
              <w:top w:val="single" w:sz="6" w:space="0" w:color="D9D9D9"/>
              <w:left w:val="nil"/>
              <w:bottom w:val="single" w:sz="6" w:space="0" w:color="D9D9D9"/>
              <w:right w:val="single" w:sz="6" w:space="0" w:color="D9D9D9"/>
            </w:tcBorders>
            <w:shd w:val="clear" w:color="auto" w:fill="FFFFFF" w:themeFill="background1"/>
            <w:vAlign w:val="center"/>
            <w:hideMark/>
          </w:tcPr>
          <w:p w14:paraId="2D23D1D8"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Bulk Carrier </w:t>
            </w:r>
          </w:p>
        </w:tc>
        <w:tc>
          <w:tcPr>
            <w:tcW w:w="2115"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523622C2"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14,355 </w:t>
            </w:r>
          </w:p>
        </w:tc>
        <w:tc>
          <w:tcPr>
            <w:tcW w:w="1980"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01E05DC6"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14,814 </w:t>
            </w:r>
          </w:p>
        </w:tc>
        <w:tc>
          <w:tcPr>
            <w:tcW w:w="1365" w:type="dxa"/>
            <w:tcBorders>
              <w:top w:val="single" w:sz="6" w:space="0" w:color="D9D9D9"/>
              <w:left w:val="single" w:sz="6" w:space="0" w:color="D9D9D9"/>
              <w:bottom w:val="single" w:sz="6" w:space="0" w:color="D9D9D9"/>
              <w:right w:val="nil"/>
            </w:tcBorders>
            <w:shd w:val="clear" w:color="auto" w:fill="FFFFFF" w:themeFill="background1"/>
            <w:vAlign w:val="center"/>
            <w:hideMark/>
          </w:tcPr>
          <w:p w14:paraId="177A1A9F"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3.2% </w:t>
            </w:r>
          </w:p>
        </w:tc>
      </w:tr>
      <w:tr w:rsidR="00BA3CF3" w:rsidRPr="00B16E6B" w14:paraId="1195A457" w14:textId="77777777" w:rsidTr="00B905E7">
        <w:trPr>
          <w:trHeight w:val="300"/>
        </w:trPr>
        <w:tc>
          <w:tcPr>
            <w:tcW w:w="3525" w:type="dxa"/>
            <w:tcBorders>
              <w:top w:val="single" w:sz="6" w:space="0" w:color="D9D9D9"/>
              <w:left w:val="nil"/>
              <w:bottom w:val="single" w:sz="6" w:space="0" w:color="D9D9D9"/>
              <w:right w:val="single" w:sz="6" w:space="0" w:color="D9D9D9"/>
            </w:tcBorders>
            <w:shd w:val="clear" w:color="auto" w:fill="FFFFFF" w:themeFill="background1"/>
            <w:vAlign w:val="center"/>
            <w:hideMark/>
          </w:tcPr>
          <w:p w14:paraId="5F8F09A6"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Chemical tanker </w:t>
            </w:r>
          </w:p>
        </w:tc>
        <w:tc>
          <w:tcPr>
            <w:tcW w:w="2115"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0D72189F"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1,555 </w:t>
            </w:r>
          </w:p>
        </w:tc>
        <w:tc>
          <w:tcPr>
            <w:tcW w:w="1980"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6D275424"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1,370 </w:t>
            </w:r>
          </w:p>
        </w:tc>
        <w:tc>
          <w:tcPr>
            <w:tcW w:w="1365" w:type="dxa"/>
            <w:tcBorders>
              <w:top w:val="single" w:sz="6" w:space="0" w:color="D9D9D9"/>
              <w:left w:val="single" w:sz="6" w:space="0" w:color="D9D9D9"/>
              <w:bottom w:val="single" w:sz="6" w:space="0" w:color="D9D9D9"/>
              <w:right w:val="nil"/>
            </w:tcBorders>
            <w:shd w:val="clear" w:color="auto" w:fill="FFFFFF" w:themeFill="background1"/>
            <w:vAlign w:val="center"/>
            <w:hideMark/>
          </w:tcPr>
          <w:p w14:paraId="18D3D4C1"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-11.9% </w:t>
            </w:r>
          </w:p>
        </w:tc>
      </w:tr>
      <w:tr w:rsidR="00BA3CF3" w:rsidRPr="00B16E6B" w14:paraId="64ADA89A" w14:textId="77777777" w:rsidTr="00B905E7">
        <w:trPr>
          <w:trHeight w:val="300"/>
        </w:trPr>
        <w:tc>
          <w:tcPr>
            <w:tcW w:w="3525" w:type="dxa"/>
            <w:tcBorders>
              <w:top w:val="single" w:sz="6" w:space="0" w:color="D9D9D9"/>
              <w:left w:val="nil"/>
              <w:bottom w:val="single" w:sz="6" w:space="0" w:color="D9D9D9"/>
              <w:right w:val="single" w:sz="6" w:space="0" w:color="D9D9D9"/>
            </w:tcBorders>
            <w:shd w:val="clear" w:color="auto" w:fill="FFFFFF" w:themeFill="background1"/>
            <w:vAlign w:val="center"/>
            <w:hideMark/>
          </w:tcPr>
          <w:p w14:paraId="34CE683C"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Container ship </w:t>
            </w:r>
          </w:p>
        </w:tc>
        <w:tc>
          <w:tcPr>
            <w:tcW w:w="2115"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6D819C56"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3,698 </w:t>
            </w:r>
          </w:p>
        </w:tc>
        <w:tc>
          <w:tcPr>
            <w:tcW w:w="1980"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20578794"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3,675 </w:t>
            </w:r>
          </w:p>
        </w:tc>
        <w:tc>
          <w:tcPr>
            <w:tcW w:w="1365" w:type="dxa"/>
            <w:tcBorders>
              <w:top w:val="single" w:sz="6" w:space="0" w:color="D9D9D9"/>
              <w:left w:val="single" w:sz="6" w:space="0" w:color="D9D9D9"/>
              <w:bottom w:val="single" w:sz="6" w:space="0" w:color="D9D9D9"/>
              <w:right w:val="nil"/>
            </w:tcBorders>
            <w:shd w:val="clear" w:color="auto" w:fill="FFFFFF" w:themeFill="background1"/>
            <w:vAlign w:val="center"/>
            <w:hideMark/>
          </w:tcPr>
          <w:p w14:paraId="58F907D0"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-0.6% </w:t>
            </w:r>
          </w:p>
        </w:tc>
      </w:tr>
      <w:tr w:rsidR="00BA3CF3" w:rsidRPr="00B16E6B" w14:paraId="2E1EB324" w14:textId="77777777" w:rsidTr="00B905E7">
        <w:trPr>
          <w:trHeight w:val="300"/>
        </w:trPr>
        <w:tc>
          <w:tcPr>
            <w:tcW w:w="3525" w:type="dxa"/>
            <w:tcBorders>
              <w:top w:val="single" w:sz="6" w:space="0" w:color="D9D9D9"/>
              <w:left w:val="nil"/>
              <w:bottom w:val="single" w:sz="6" w:space="0" w:color="D9D9D9"/>
              <w:right w:val="single" w:sz="6" w:space="0" w:color="D9D9D9"/>
            </w:tcBorders>
            <w:shd w:val="clear" w:color="auto" w:fill="FFFFFF" w:themeFill="background1"/>
            <w:vAlign w:val="center"/>
            <w:hideMark/>
          </w:tcPr>
          <w:p w14:paraId="752A0751"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Gas carrier </w:t>
            </w:r>
          </w:p>
        </w:tc>
        <w:tc>
          <w:tcPr>
            <w:tcW w:w="2115"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6867936D"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1,474 </w:t>
            </w:r>
          </w:p>
        </w:tc>
        <w:tc>
          <w:tcPr>
            <w:tcW w:w="1980"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688FB71A"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1,406 </w:t>
            </w:r>
          </w:p>
        </w:tc>
        <w:tc>
          <w:tcPr>
            <w:tcW w:w="1365" w:type="dxa"/>
            <w:tcBorders>
              <w:top w:val="single" w:sz="6" w:space="0" w:color="D9D9D9"/>
              <w:left w:val="single" w:sz="6" w:space="0" w:color="D9D9D9"/>
              <w:bottom w:val="single" w:sz="6" w:space="0" w:color="D9D9D9"/>
              <w:right w:val="nil"/>
            </w:tcBorders>
            <w:shd w:val="clear" w:color="auto" w:fill="FFFFFF" w:themeFill="background1"/>
            <w:vAlign w:val="center"/>
            <w:hideMark/>
          </w:tcPr>
          <w:p w14:paraId="6C705FF9"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-4.6% </w:t>
            </w:r>
          </w:p>
        </w:tc>
      </w:tr>
      <w:tr w:rsidR="00BA3CF3" w:rsidRPr="00B16E6B" w14:paraId="42776E70" w14:textId="77777777" w:rsidTr="00B905E7">
        <w:trPr>
          <w:trHeight w:val="300"/>
        </w:trPr>
        <w:tc>
          <w:tcPr>
            <w:tcW w:w="3525" w:type="dxa"/>
            <w:tcBorders>
              <w:top w:val="single" w:sz="6" w:space="0" w:color="D9D9D9"/>
              <w:left w:val="nil"/>
              <w:bottom w:val="single" w:sz="6" w:space="0" w:color="D9D9D9"/>
              <w:right w:val="single" w:sz="6" w:space="0" w:color="D9D9D9"/>
            </w:tcBorders>
            <w:shd w:val="clear" w:color="auto" w:fill="FFFFFF" w:themeFill="background1"/>
            <w:vAlign w:val="center"/>
            <w:hideMark/>
          </w:tcPr>
          <w:p w14:paraId="6ACB4444"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General cargo/ multi-purpose </w:t>
            </w:r>
          </w:p>
        </w:tc>
        <w:tc>
          <w:tcPr>
            <w:tcW w:w="2115"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1306DCE4"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927 </w:t>
            </w:r>
          </w:p>
        </w:tc>
        <w:tc>
          <w:tcPr>
            <w:tcW w:w="1980"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0954D7CB"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1,038 </w:t>
            </w:r>
          </w:p>
        </w:tc>
        <w:tc>
          <w:tcPr>
            <w:tcW w:w="1365" w:type="dxa"/>
            <w:tcBorders>
              <w:top w:val="single" w:sz="6" w:space="0" w:color="D9D9D9"/>
              <w:left w:val="single" w:sz="6" w:space="0" w:color="D9D9D9"/>
              <w:bottom w:val="single" w:sz="6" w:space="0" w:color="D9D9D9"/>
              <w:right w:val="nil"/>
            </w:tcBorders>
            <w:shd w:val="clear" w:color="auto" w:fill="FFFFFF" w:themeFill="background1"/>
            <w:vAlign w:val="center"/>
            <w:hideMark/>
          </w:tcPr>
          <w:p w14:paraId="16E74CBB"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12.0% </w:t>
            </w:r>
          </w:p>
        </w:tc>
      </w:tr>
      <w:tr w:rsidR="00BA3CF3" w:rsidRPr="00B16E6B" w14:paraId="229ED801" w14:textId="77777777" w:rsidTr="00B905E7">
        <w:trPr>
          <w:trHeight w:val="300"/>
        </w:trPr>
        <w:tc>
          <w:tcPr>
            <w:tcW w:w="3525" w:type="dxa"/>
            <w:tcBorders>
              <w:top w:val="single" w:sz="6" w:space="0" w:color="D9D9D9"/>
              <w:left w:val="nil"/>
              <w:bottom w:val="single" w:sz="6" w:space="0" w:color="D9D9D9"/>
              <w:right w:val="single" w:sz="6" w:space="0" w:color="D9D9D9"/>
            </w:tcBorders>
            <w:shd w:val="clear" w:color="auto" w:fill="FFFFFF" w:themeFill="background1"/>
            <w:vAlign w:val="center"/>
            <w:hideMark/>
          </w:tcPr>
          <w:p w14:paraId="7AD4839E"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Livestock carrier </w:t>
            </w:r>
          </w:p>
        </w:tc>
        <w:tc>
          <w:tcPr>
            <w:tcW w:w="2115"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45CA48CC"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351 </w:t>
            </w:r>
          </w:p>
        </w:tc>
        <w:tc>
          <w:tcPr>
            <w:tcW w:w="1980"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7C579272"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281 </w:t>
            </w:r>
          </w:p>
        </w:tc>
        <w:tc>
          <w:tcPr>
            <w:tcW w:w="1365" w:type="dxa"/>
            <w:tcBorders>
              <w:top w:val="single" w:sz="6" w:space="0" w:color="D9D9D9"/>
              <w:left w:val="single" w:sz="6" w:space="0" w:color="D9D9D9"/>
              <w:bottom w:val="single" w:sz="6" w:space="0" w:color="D9D9D9"/>
              <w:right w:val="nil"/>
            </w:tcBorders>
            <w:shd w:val="clear" w:color="auto" w:fill="FFFFFF" w:themeFill="background1"/>
            <w:vAlign w:val="center"/>
            <w:hideMark/>
          </w:tcPr>
          <w:p w14:paraId="469A2589"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-19.9% </w:t>
            </w:r>
          </w:p>
        </w:tc>
      </w:tr>
      <w:tr w:rsidR="00BA3CF3" w:rsidRPr="00B16E6B" w14:paraId="2BDA50C4" w14:textId="77777777" w:rsidTr="00B905E7">
        <w:trPr>
          <w:trHeight w:val="300"/>
        </w:trPr>
        <w:tc>
          <w:tcPr>
            <w:tcW w:w="3525" w:type="dxa"/>
            <w:tcBorders>
              <w:top w:val="single" w:sz="6" w:space="0" w:color="D9D9D9"/>
              <w:left w:val="nil"/>
              <w:bottom w:val="single" w:sz="6" w:space="0" w:color="D9D9D9"/>
              <w:right w:val="single" w:sz="6" w:space="0" w:color="D9D9D9"/>
            </w:tcBorders>
            <w:shd w:val="clear" w:color="auto" w:fill="FFFFFF" w:themeFill="background1"/>
            <w:vAlign w:val="center"/>
            <w:hideMark/>
          </w:tcPr>
          <w:p w14:paraId="42D17308"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Oil tanker </w:t>
            </w:r>
          </w:p>
        </w:tc>
        <w:tc>
          <w:tcPr>
            <w:tcW w:w="2115"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7836DD7C"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757 </w:t>
            </w:r>
          </w:p>
        </w:tc>
        <w:tc>
          <w:tcPr>
            <w:tcW w:w="1980"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6BDBC73E"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733 </w:t>
            </w:r>
          </w:p>
        </w:tc>
        <w:tc>
          <w:tcPr>
            <w:tcW w:w="1365" w:type="dxa"/>
            <w:tcBorders>
              <w:top w:val="single" w:sz="6" w:space="0" w:color="D9D9D9"/>
              <w:left w:val="single" w:sz="6" w:space="0" w:color="D9D9D9"/>
              <w:bottom w:val="single" w:sz="6" w:space="0" w:color="D9D9D9"/>
              <w:right w:val="nil"/>
            </w:tcBorders>
            <w:shd w:val="clear" w:color="auto" w:fill="FFFFFF" w:themeFill="background1"/>
            <w:vAlign w:val="center"/>
            <w:hideMark/>
          </w:tcPr>
          <w:p w14:paraId="6977969F"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-3.2% </w:t>
            </w:r>
          </w:p>
        </w:tc>
      </w:tr>
      <w:tr w:rsidR="00BA3CF3" w:rsidRPr="00B16E6B" w14:paraId="1F6F7610" w14:textId="77777777" w:rsidTr="00B905E7">
        <w:trPr>
          <w:trHeight w:val="300"/>
        </w:trPr>
        <w:tc>
          <w:tcPr>
            <w:tcW w:w="3525" w:type="dxa"/>
            <w:tcBorders>
              <w:top w:val="single" w:sz="6" w:space="0" w:color="D9D9D9"/>
              <w:left w:val="nil"/>
              <w:bottom w:val="single" w:sz="6" w:space="0" w:color="D9D9D9"/>
              <w:right w:val="single" w:sz="6" w:space="0" w:color="D9D9D9"/>
            </w:tcBorders>
            <w:shd w:val="clear" w:color="auto" w:fill="FFFFFF" w:themeFill="background1"/>
            <w:vAlign w:val="center"/>
            <w:hideMark/>
          </w:tcPr>
          <w:p w14:paraId="71594478"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Vehicle carrier </w:t>
            </w:r>
          </w:p>
        </w:tc>
        <w:tc>
          <w:tcPr>
            <w:tcW w:w="2115"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08A4A48F"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1,274 </w:t>
            </w:r>
          </w:p>
        </w:tc>
        <w:tc>
          <w:tcPr>
            <w:tcW w:w="1980"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2F49CA42"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1,524 </w:t>
            </w:r>
          </w:p>
        </w:tc>
        <w:tc>
          <w:tcPr>
            <w:tcW w:w="1365" w:type="dxa"/>
            <w:tcBorders>
              <w:top w:val="single" w:sz="6" w:space="0" w:color="D9D9D9"/>
              <w:left w:val="single" w:sz="6" w:space="0" w:color="D9D9D9"/>
              <w:bottom w:val="single" w:sz="6" w:space="0" w:color="D9D9D9"/>
              <w:right w:val="nil"/>
            </w:tcBorders>
            <w:shd w:val="clear" w:color="auto" w:fill="FFFFFF" w:themeFill="background1"/>
            <w:vAlign w:val="center"/>
            <w:hideMark/>
          </w:tcPr>
          <w:p w14:paraId="3CE10451"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19.6% </w:t>
            </w:r>
          </w:p>
        </w:tc>
      </w:tr>
      <w:tr w:rsidR="00BA3CF3" w:rsidRPr="00B16E6B" w14:paraId="287E7AF9" w14:textId="77777777" w:rsidTr="00CD3687">
        <w:trPr>
          <w:trHeight w:val="300"/>
        </w:trPr>
        <w:tc>
          <w:tcPr>
            <w:tcW w:w="3525" w:type="dxa"/>
            <w:tcBorders>
              <w:top w:val="single" w:sz="6" w:space="0" w:color="D9D9D9"/>
              <w:left w:val="nil"/>
              <w:bottom w:val="single" w:sz="6" w:space="0" w:color="D9D9D9"/>
              <w:right w:val="single" w:sz="6" w:space="0" w:color="D9D9D9"/>
            </w:tcBorders>
            <w:shd w:val="clear" w:color="auto" w:fill="FFFFFF" w:themeFill="background1"/>
            <w:vAlign w:val="center"/>
            <w:hideMark/>
          </w:tcPr>
          <w:p w14:paraId="1211071A"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Other </w:t>
            </w:r>
          </w:p>
        </w:tc>
        <w:tc>
          <w:tcPr>
            <w:tcW w:w="2115"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324A2845"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1,847 </w:t>
            </w:r>
          </w:p>
        </w:tc>
        <w:tc>
          <w:tcPr>
            <w:tcW w:w="1980" w:type="dxa"/>
            <w:tcBorders>
              <w:top w:val="single" w:sz="6" w:space="0" w:color="D9D9D9"/>
              <w:left w:val="single" w:sz="6" w:space="0" w:color="D9D9D9"/>
              <w:bottom w:val="single" w:sz="6" w:space="0" w:color="D9D9D9"/>
              <w:right w:val="single" w:sz="6" w:space="0" w:color="D9D9D9"/>
            </w:tcBorders>
            <w:shd w:val="clear" w:color="auto" w:fill="FFFFFF" w:themeFill="background1"/>
            <w:vAlign w:val="center"/>
            <w:hideMark/>
          </w:tcPr>
          <w:p w14:paraId="61F79EE7"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1,559 </w:t>
            </w:r>
          </w:p>
        </w:tc>
        <w:tc>
          <w:tcPr>
            <w:tcW w:w="1365" w:type="dxa"/>
            <w:tcBorders>
              <w:top w:val="single" w:sz="6" w:space="0" w:color="D9D9D9"/>
              <w:left w:val="single" w:sz="6" w:space="0" w:color="D9D9D9"/>
              <w:bottom w:val="single" w:sz="6" w:space="0" w:color="D9D9D9"/>
              <w:right w:val="nil"/>
            </w:tcBorders>
            <w:shd w:val="clear" w:color="auto" w:fill="FFFFFF" w:themeFill="background1"/>
            <w:vAlign w:val="center"/>
            <w:hideMark/>
          </w:tcPr>
          <w:p w14:paraId="7397FAD4"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-15.6% </w:t>
            </w:r>
          </w:p>
        </w:tc>
      </w:tr>
      <w:tr w:rsidR="00BA3CF3" w:rsidRPr="00B16E6B" w14:paraId="40543ADC" w14:textId="77777777" w:rsidTr="00CD3687">
        <w:trPr>
          <w:trHeight w:val="300"/>
        </w:trPr>
        <w:tc>
          <w:tcPr>
            <w:tcW w:w="3525" w:type="dxa"/>
            <w:tcBorders>
              <w:top w:val="single" w:sz="6" w:space="0" w:color="D9D9D9"/>
              <w:left w:val="nil"/>
              <w:bottom w:val="single" w:sz="4" w:space="0" w:color="BFBFBF" w:themeColor="background2" w:themeShade="BF"/>
              <w:right w:val="single" w:sz="6" w:space="0" w:color="D9D9D9"/>
            </w:tcBorders>
            <w:shd w:val="clear" w:color="auto" w:fill="F2F2F2"/>
            <w:vAlign w:val="center"/>
            <w:hideMark/>
          </w:tcPr>
          <w:p w14:paraId="174061ED"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b/>
                <w:bCs/>
                <w:sz w:val="20"/>
                <w:szCs w:val="20"/>
                <w:lang w:eastAsia="en-AU"/>
              </w:rPr>
              <w:t>Total Arrivals </w:t>
            </w:r>
            <w:r w:rsidRPr="00B16E6B">
              <w:rPr>
                <w:rFonts w:eastAsia="Times New Roman" w:cs="Arial"/>
                <w:sz w:val="20"/>
                <w:szCs w:val="20"/>
                <w:lang w:eastAsia="en-AU"/>
              </w:rPr>
              <w:t> </w:t>
            </w:r>
          </w:p>
        </w:tc>
        <w:tc>
          <w:tcPr>
            <w:tcW w:w="2115" w:type="dxa"/>
            <w:tcBorders>
              <w:top w:val="single" w:sz="6" w:space="0" w:color="D9D9D9"/>
              <w:left w:val="single" w:sz="6" w:space="0" w:color="D9D9D9"/>
              <w:bottom w:val="single" w:sz="4" w:space="0" w:color="BFBFBF" w:themeColor="background2" w:themeShade="BF"/>
              <w:right w:val="single" w:sz="6" w:space="0" w:color="D9D9D9"/>
            </w:tcBorders>
            <w:vAlign w:val="center"/>
            <w:hideMark/>
          </w:tcPr>
          <w:p w14:paraId="1BF96ECE"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b/>
                <w:bCs/>
                <w:sz w:val="20"/>
                <w:szCs w:val="20"/>
                <w:lang w:eastAsia="en-AU"/>
              </w:rPr>
              <w:t>26,179</w:t>
            </w:r>
            <w:r w:rsidRPr="00B16E6B">
              <w:rPr>
                <w:rFonts w:eastAsia="Times New Roman" w:cs="Arial"/>
                <w:sz w:val="20"/>
                <w:szCs w:val="20"/>
                <w:lang w:eastAsia="en-AU"/>
              </w:rPr>
              <w:t> </w:t>
            </w:r>
          </w:p>
        </w:tc>
        <w:tc>
          <w:tcPr>
            <w:tcW w:w="1980" w:type="dxa"/>
            <w:tcBorders>
              <w:top w:val="single" w:sz="6" w:space="0" w:color="D9D9D9"/>
              <w:left w:val="single" w:sz="6" w:space="0" w:color="D9D9D9"/>
              <w:bottom w:val="single" w:sz="4" w:space="0" w:color="BFBFBF" w:themeColor="background2" w:themeShade="BF"/>
              <w:right w:val="single" w:sz="6" w:space="0" w:color="D9D9D9"/>
            </w:tcBorders>
            <w:vAlign w:val="center"/>
            <w:hideMark/>
          </w:tcPr>
          <w:p w14:paraId="4B1CA708"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b/>
                <w:bCs/>
                <w:sz w:val="20"/>
                <w:szCs w:val="20"/>
                <w:lang w:eastAsia="en-AU"/>
              </w:rPr>
              <w:t>26,400</w:t>
            </w:r>
            <w:r w:rsidRPr="00B16E6B">
              <w:rPr>
                <w:rFonts w:eastAsia="Times New Roman" w:cs="Arial"/>
                <w:sz w:val="20"/>
                <w:szCs w:val="20"/>
                <w:lang w:eastAsia="en-AU"/>
              </w:rPr>
              <w:t> </w:t>
            </w:r>
          </w:p>
        </w:tc>
        <w:tc>
          <w:tcPr>
            <w:tcW w:w="1365" w:type="dxa"/>
            <w:tcBorders>
              <w:top w:val="single" w:sz="6" w:space="0" w:color="D9D9D9"/>
              <w:left w:val="single" w:sz="6" w:space="0" w:color="D9D9D9"/>
              <w:bottom w:val="single" w:sz="4" w:space="0" w:color="BFBFBF" w:themeColor="background2" w:themeShade="BF"/>
              <w:right w:val="nil"/>
            </w:tcBorders>
            <w:vAlign w:val="center"/>
            <w:hideMark/>
          </w:tcPr>
          <w:p w14:paraId="2540C1B6"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b/>
                <w:bCs/>
                <w:sz w:val="20"/>
                <w:szCs w:val="20"/>
                <w:lang w:eastAsia="en-AU"/>
              </w:rPr>
              <w:t>8.4%</w:t>
            </w:r>
            <w:r w:rsidRPr="00B16E6B">
              <w:rPr>
                <w:rFonts w:eastAsia="Times New Roman" w:cs="Arial"/>
                <w:sz w:val="20"/>
                <w:szCs w:val="20"/>
                <w:lang w:eastAsia="en-AU"/>
              </w:rPr>
              <w:t> </w:t>
            </w:r>
          </w:p>
        </w:tc>
      </w:tr>
    </w:tbl>
    <w:p w14:paraId="7A62D84B" w14:textId="77777777" w:rsidR="00D852AA" w:rsidRPr="00B16E6B" w:rsidRDefault="00BA3CF3" w:rsidP="009613E1">
      <w:pPr>
        <w:spacing w:before="360" w:after="120" w:line="271" w:lineRule="auto"/>
        <w:textAlignment w:val="baseline"/>
        <w:rPr>
          <w:rFonts w:eastAsia="Times New Roman" w:cs="Arial"/>
          <w:szCs w:val="22"/>
          <w:lang w:eastAsia="en-AU"/>
        </w:rPr>
      </w:pPr>
      <w:r w:rsidRPr="00B16E6B">
        <w:rPr>
          <w:rFonts w:eastAsia="Times New Roman" w:cs="Arial"/>
          <w:szCs w:val="22"/>
          <w:lang w:eastAsia="en-AU"/>
        </w:rPr>
        <w:t xml:space="preserve">Technological advancements have been a key mechanism through which the transport sector has sought to expand the demand for its services. </w:t>
      </w:r>
      <w:r w:rsidR="00D852AA" w:rsidRPr="00B16E6B">
        <w:rPr>
          <w:rFonts w:eastAsia="Times New Roman" w:cs="Arial"/>
          <w:szCs w:val="22"/>
          <w:lang w:eastAsia="en-AU"/>
        </w:rPr>
        <w:t xml:space="preserve">This has resulted in an increased reliance on legacy systems and internet connected </w:t>
      </w:r>
      <w:r w:rsidR="00205026" w:rsidRPr="00B16E6B">
        <w:rPr>
          <w:rFonts w:eastAsia="Times New Roman" w:cs="Arial"/>
          <w:szCs w:val="22"/>
          <w:lang w:eastAsia="en-AU"/>
        </w:rPr>
        <w:t>OT</w:t>
      </w:r>
      <w:r w:rsidR="00D852AA" w:rsidRPr="00B16E6B">
        <w:rPr>
          <w:rFonts w:eastAsia="Times New Roman" w:cs="Arial"/>
          <w:szCs w:val="22"/>
          <w:lang w:eastAsia="en-AU"/>
        </w:rPr>
        <w:t xml:space="preserve">. In reporting on key trends in the maritime environment, the US Coast Guard observed the following in relation to OT: </w:t>
      </w:r>
    </w:p>
    <w:p w14:paraId="3D10B54D" w14:textId="77777777" w:rsidR="00D852AA" w:rsidRPr="00B16E6B" w:rsidRDefault="00D852AA" w:rsidP="009613E1">
      <w:pPr>
        <w:pStyle w:val="ListParagraph"/>
        <w:numPr>
          <w:ilvl w:val="0"/>
          <w:numId w:val="18"/>
        </w:numPr>
        <w:spacing w:after="120" w:line="271" w:lineRule="auto"/>
        <w:ind w:left="714" w:hanging="357"/>
        <w:contextualSpacing w:val="0"/>
        <w:rPr>
          <w:rFonts w:eastAsia="Times New Roman"/>
          <w:bCs/>
          <w:lang w:eastAsia="en-AU"/>
        </w:rPr>
      </w:pPr>
      <w:r w:rsidRPr="00B16E6B">
        <w:rPr>
          <w:rFonts w:eastAsia="Times New Roman"/>
          <w:bCs/>
          <w:lang w:eastAsia="en-AU"/>
        </w:rPr>
        <w:t>OT networks often contain an organisation’s most critical and vulnerable systems</w:t>
      </w:r>
    </w:p>
    <w:p w14:paraId="45080EC8" w14:textId="77777777" w:rsidR="00D852AA" w:rsidRPr="00B16E6B" w:rsidRDefault="00D852AA" w:rsidP="009613E1">
      <w:pPr>
        <w:pStyle w:val="ListParagraph"/>
        <w:numPr>
          <w:ilvl w:val="0"/>
          <w:numId w:val="18"/>
        </w:numPr>
        <w:spacing w:after="120" w:line="271" w:lineRule="auto"/>
        <w:ind w:left="714" w:hanging="357"/>
        <w:contextualSpacing w:val="0"/>
        <w:rPr>
          <w:rFonts w:eastAsia="Times New Roman"/>
          <w:bCs/>
          <w:lang w:eastAsia="en-AU"/>
        </w:rPr>
      </w:pPr>
      <w:r w:rsidRPr="00B16E6B">
        <w:rPr>
          <w:rFonts w:eastAsia="Times New Roman"/>
          <w:bCs/>
          <w:lang w:eastAsia="en-AU"/>
        </w:rPr>
        <w:t>OT systems often use vulnerable network protocols, making them a target for potential cyber security incidents</w:t>
      </w:r>
    </w:p>
    <w:p w14:paraId="612BF741" w14:textId="56828B67" w:rsidR="00D852AA" w:rsidRPr="00B16E6B" w:rsidRDefault="00064490" w:rsidP="009613E1">
      <w:pPr>
        <w:pStyle w:val="ListParagraph"/>
        <w:numPr>
          <w:ilvl w:val="0"/>
          <w:numId w:val="18"/>
        </w:numPr>
        <w:spacing w:after="120" w:line="271" w:lineRule="auto"/>
        <w:ind w:left="714" w:hanging="357"/>
        <w:contextualSpacing w:val="0"/>
        <w:rPr>
          <w:rFonts w:eastAsia="Times New Roman"/>
          <w:bCs/>
          <w:lang w:eastAsia="en-AU"/>
        </w:rPr>
      </w:pPr>
      <w:r w:rsidRPr="00B16E6B">
        <w:rPr>
          <w:rFonts w:eastAsia="Times New Roman"/>
          <w:bCs/>
          <w:lang w:eastAsia="en-AU"/>
        </w:rPr>
        <w:t>t</w:t>
      </w:r>
      <w:r w:rsidR="00D852AA" w:rsidRPr="00B16E6B">
        <w:rPr>
          <w:rFonts w:eastAsia="Times New Roman"/>
          <w:bCs/>
          <w:lang w:eastAsia="en-AU"/>
        </w:rPr>
        <w:t>hese risks are exacerbated where OT systems lack adequate access controls, allowing malicious actors’ access to both IT and OT systems.</w:t>
      </w:r>
      <w:r w:rsidR="00A76E48" w:rsidRPr="00B16E6B">
        <w:rPr>
          <w:rStyle w:val="FootnoteReference"/>
          <w:rFonts w:eastAsia="Times New Roman"/>
          <w:bCs/>
          <w:lang w:eastAsia="en-AU"/>
        </w:rPr>
        <w:footnoteReference w:id="28"/>
      </w:r>
    </w:p>
    <w:p w14:paraId="6EB96854" w14:textId="4E26AA01" w:rsidR="00BA3CF3" w:rsidRPr="00B16E6B" w:rsidRDefault="00D852AA" w:rsidP="009613E1">
      <w:pPr>
        <w:spacing w:after="200" w:line="271" w:lineRule="auto"/>
      </w:pPr>
      <w:r w:rsidRPr="00B16E6B">
        <w:t>These risk</w:t>
      </w:r>
      <w:r w:rsidR="00205026" w:rsidRPr="00B16E6B">
        <w:t>s</w:t>
      </w:r>
      <w:r w:rsidRPr="00B16E6B">
        <w:t xml:space="preserve"> indicate a </w:t>
      </w:r>
      <w:r w:rsidR="00BA3CF3" w:rsidRPr="00B16E6B">
        <w:rPr>
          <w:rFonts w:eastAsia="Times New Roman" w:cs="Arial"/>
          <w:szCs w:val="22"/>
          <w:lang w:eastAsia="en-AU"/>
        </w:rPr>
        <w:t xml:space="preserve">need for modern legislative regimes which </w:t>
      </w:r>
      <w:r w:rsidR="00064490" w:rsidRPr="00B16E6B">
        <w:rPr>
          <w:rFonts w:eastAsia="Times New Roman" w:cs="Arial"/>
          <w:szCs w:val="22"/>
          <w:lang w:eastAsia="en-AU"/>
        </w:rPr>
        <w:t xml:space="preserve">can </w:t>
      </w:r>
      <w:r w:rsidR="00BA3CF3" w:rsidRPr="00B16E6B">
        <w:rPr>
          <w:rFonts w:eastAsia="Times New Roman" w:cs="Arial"/>
          <w:szCs w:val="22"/>
          <w:lang w:eastAsia="en-AU"/>
        </w:rPr>
        <w:t>capture technological advancements and ensure the uptake of technology which deliver</w:t>
      </w:r>
      <w:r w:rsidR="00064490" w:rsidRPr="00B16E6B">
        <w:rPr>
          <w:rFonts w:eastAsia="Times New Roman" w:cs="Arial"/>
          <w:szCs w:val="22"/>
          <w:lang w:eastAsia="en-AU"/>
        </w:rPr>
        <w:t>s</w:t>
      </w:r>
      <w:r w:rsidR="00BA3CF3" w:rsidRPr="00B16E6B">
        <w:rPr>
          <w:rFonts w:eastAsia="Times New Roman" w:cs="Arial"/>
          <w:szCs w:val="22"/>
          <w:lang w:eastAsia="en-AU"/>
        </w:rPr>
        <w:t xml:space="preserve"> benefits to the Australian economy. More broadly, the evolution of Australia’s transport sector means there is a need for ongoing review and where appropriate, reform, to ensure Australia’s legislative and </w:t>
      </w:r>
      <w:r w:rsidR="00D8105A" w:rsidRPr="00B16E6B">
        <w:rPr>
          <w:rFonts w:eastAsia="Times New Roman" w:cs="Arial"/>
          <w:szCs w:val="22"/>
          <w:lang w:eastAsia="en-AU"/>
        </w:rPr>
        <w:t xml:space="preserve">regulatory </w:t>
      </w:r>
      <w:r w:rsidR="00941A66" w:rsidRPr="00B16E6B">
        <w:rPr>
          <w:rFonts w:eastAsia="Times New Roman" w:cs="Arial"/>
          <w:szCs w:val="22"/>
          <w:lang w:eastAsia="en-AU"/>
        </w:rPr>
        <w:t xml:space="preserve">transport security </w:t>
      </w:r>
      <w:r w:rsidR="00D8105A" w:rsidRPr="00B16E6B">
        <w:rPr>
          <w:rFonts w:eastAsia="Times New Roman" w:cs="Arial"/>
          <w:szCs w:val="22"/>
          <w:lang w:eastAsia="en-AU"/>
        </w:rPr>
        <w:t>arrangements are fit</w:t>
      </w:r>
      <w:r w:rsidR="00D8105A" w:rsidRPr="00B16E6B">
        <w:rPr>
          <w:rFonts w:eastAsia="Times New Roman" w:cs="Arial"/>
          <w:szCs w:val="22"/>
          <w:lang w:eastAsia="en-AU"/>
        </w:rPr>
        <w:noBreakHyphen/>
      </w:r>
      <w:r w:rsidR="00BA3CF3" w:rsidRPr="00B16E6B">
        <w:rPr>
          <w:rFonts w:eastAsia="Times New Roman" w:cs="Arial"/>
          <w:szCs w:val="22"/>
          <w:lang w:eastAsia="en-AU"/>
        </w:rPr>
        <w:t>for</w:t>
      </w:r>
      <w:r w:rsidR="00D8105A" w:rsidRPr="00B16E6B">
        <w:rPr>
          <w:rFonts w:eastAsia="Times New Roman" w:cs="Arial"/>
          <w:szCs w:val="22"/>
          <w:lang w:eastAsia="en-AU"/>
        </w:rPr>
        <w:noBreakHyphen/>
      </w:r>
      <w:r w:rsidR="00BA3CF3" w:rsidRPr="00B16E6B">
        <w:rPr>
          <w:rFonts w:eastAsia="Times New Roman" w:cs="Arial"/>
          <w:szCs w:val="22"/>
          <w:lang w:eastAsia="en-AU"/>
        </w:rPr>
        <w:t xml:space="preserve">purpose and capable of </w:t>
      </w:r>
      <w:r w:rsidR="00941A66" w:rsidRPr="00B16E6B">
        <w:rPr>
          <w:rFonts w:eastAsia="Times New Roman" w:cs="Arial"/>
          <w:szCs w:val="22"/>
          <w:lang w:eastAsia="en-AU"/>
        </w:rPr>
        <w:t>meeting security objectives</w:t>
      </w:r>
      <w:r w:rsidR="00BA3CF3" w:rsidRPr="00B16E6B">
        <w:rPr>
          <w:rFonts w:eastAsia="Times New Roman" w:cs="Arial"/>
          <w:szCs w:val="22"/>
          <w:lang w:eastAsia="en-AU"/>
        </w:rPr>
        <w:t>.  </w:t>
      </w:r>
    </w:p>
    <w:p w14:paraId="70E3B2D0" w14:textId="1583A529" w:rsidR="00636E0E" w:rsidRPr="00B16E6B" w:rsidRDefault="00BA3CF3" w:rsidP="009613E1">
      <w:pPr>
        <w:spacing w:after="120" w:line="271" w:lineRule="auto"/>
        <w:textAlignment w:val="baseline"/>
        <w:rPr>
          <w:rFonts w:eastAsia="Times New Roman" w:cs="Arial"/>
          <w:b/>
          <w:bCs/>
          <w:i/>
          <w:iCs/>
          <w:color w:val="44546A"/>
          <w:sz w:val="18"/>
          <w:szCs w:val="22"/>
          <w:lang w:eastAsia="en-AU"/>
        </w:rPr>
      </w:pPr>
      <w:r w:rsidRPr="00B16E6B">
        <w:rPr>
          <w:rFonts w:eastAsia="Times New Roman" w:cs="Arial"/>
          <w:szCs w:val="22"/>
          <w:lang w:eastAsia="en-AU"/>
        </w:rPr>
        <w:t>Where legislation does not respond to the growing number of threats which are facing Australia’s transport sector, disruptions can have serious implications for business</w:t>
      </w:r>
      <w:r w:rsidR="00941A66" w:rsidRPr="00B16E6B">
        <w:rPr>
          <w:rFonts w:eastAsia="Times New Roman" w:cs="Arial"/>
          <w:szCs w:val="22"/>
          <w:lang w:eastAsia="en-AU"/>
        </w:rPr>
        <w:t>es</w:t>
      </w:r>
      <w:r w:rsidRPr="00B16E6B">
        <w:rPr>
          <w:rFonts w:eastAsia="Times New Roman" w:cs="Arial"/>
          <w:szCs w:val="22"/>
          <w:lang w:eastAsia="en-AU"/>
        </w:rPr>
        <w:t xml:space="preserve">, </w:t>
      </w:r>
      <w:r w:rsidR="00487C6A" w:rsidRPr="00B16E6B">
        <w:rPr>
          <w:rFonts w:eastAsia="Times New Roman" w:cs="Arial"/>
          <w:szCs w:val="22"/>
          <w:lang w:eastAsia="en-AU"/>
        </w:rPr>
        <w:t>government</w:t>
      </w:r>
      <w:r w:rsidRPr="00B16E6B">
        <w:rPr>
          <w:rFonts w:eastAsia="Times New Roman" w:cs="Arial"/>
          <w:szCs w:val="22"/>
          <w:lang w:eastAsia="en-AU"/>
        </w:rPr>
        <w:t>s, and the community. These disruptions create flow-on affects to the security of resources, supply, and service continuity, and dam</w:t>
      </w:r>
      <w:r w:rsidR="00F3405B" w:rsidRPr="00B16E6B">
        <w:rPr>
          <w:rFonts w:eastAsia="Times New Roman" w:cs="Arial"/>
          <w:szCs w:val="22"/>
          <w:lang w:eastAsia="en-AU"/>
        </w:rPr>
        <w:t>age our economic growth. Table 7</w:t>
      </w:r>
      <w:r w:rsidRPr="00B16E6B">
        <w:rPr>
          <w:rFonts w:eastAsia="Times New Roman" w:cs="Arial"/>
          <w:szCs w:val="22"/>
          <w:lang w:eastAsia="en-AU"/>
        </w:rPr>
        <w:t xml:space="preserve"> below provides a summary of these potential </w:t>
      </w:r>
      <w:r w:rsidR="00586489" w:rsidRPr="00B16E6B">
        <w:rPr>
          <w:rFonts w:eastAsia="Times New Roman" w:cs="Arial"/>
          <w:szCs w:val="22"/>
          <w:lang w:eastAsia="en-AU"/>
        </w:rPr>
        <w:t>impacts.</w:t>
      </w:r>
    </w:p>
    <w:p w14:paraId="0B6641F2" w14:textId="77777777" w:rsidR="000A140E" w:rsidRPr="00B16E6B" w:rsidRDefault="000A140E" w:rsidP="009613E1">
      <w:pPr>
        <w:spacing w:after="200" w:line="271" w:lineRule="auto"/>
        <w:rPr>
          <w:rFonts w:eastAsia="Times New Roman" w:cs="Arial"/>
          <w:b/>
          <w:bCs/>
          <w:i/>
          <w:iCs/>
          <w:color w:val="44546A"/>
          <w:sz w:val="18"/>
          <w:szCs w:val="22"/>
          <w:lang w:eastAsia="en-AU"/>
        </w:rPr>
      </w:pPr>
      <w:r w:rsidRPr="00B16E6B">
        <w:rPr>
          <w:rFonts w:eastAsia="Times New Roman" w:cs="Arial"/>
          <w:b/>
          <w:bCs/>
          <w:i/>
          <w:iCs/>
          <w:color w:val="44546A"/>
          <w:sz w:val="18"/>
          <w:szCs w:val="22"/>
          <w:lang w:eastAsia="en-AU"/>
        </w:rPr>
        <w:br w:type="page"/>
      </w:r>
    </w:p>
    <w:p w14:paraId="6A4FC6ED" w14:textId="23FF121A" w:rsidR="00861B21" w:rsidRPr="00B16E6B" w:rsidRDefault="00BA3CF3" w:rsidP="009613E1">
      <w:pPr>
        <w:spacing w:after="60" w:line="271" w:lineRule="auto"/>
        <w:rPr>
          <w:rFonts w:eastAsia="Times New Roman" w:cs="Arial"/>
          <w:i/>
          <w:iCs/>
          <w:color w:val="44546A"/>
          <w:sz w:val="18"/>
          <w:szCs w:val="22"/>
          <w:lang w:eastAsia="en-AU"/>
        </w:rPr>
      </w:pPr>
      <w:r w:rsidRPr="00B16E6B">
        <w:rPr>
          <w:rFonts w:eastAsia="Times New Roman" w:cs="Arial"/>
          <w:b/>
          <w:bCs/>
          <w:i/>
          <w:iCs/>
          <w:color w:val="44546A"/>
          <w:sz w:val="18"/>
          <w:szCs w:val="22"/>
          <w:lang w:eastAsia="en-AU"/>
        </w:rPr>
        <w:lastRenderedPageBreak/>
        <w:t>Table 7:</w:t>
      </w:r>
      <w:r w:rsidRPr="00B16E6B">
        <w:rPr>
          <w:rFonts w:eastAsia="Times New Roman" w:cs="Arial"/>
          <w:i/>
          <w:iCs/>
          <w:color w:val="44546A"/>
          <w:sz w:val="18"/>
          <w:szCs w:val="22"/>
          <w:lang w:eastAsia="en-AU"/>
        </w:rPr>
        <w:t xml:space="preserve"> Summary of stakeholder impacts from growing threats </w:t>
      </w:r>
    </w:p>
    <w:tbl>
      <w:tblPr>
        <w:tblW w:w="9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398"/>
        <w:gridCol w:w="2723"/>
        <w:gridCol w:w="3972"/>
      </w:tblGrid>
      <w:tr w:rsidR="00BA3CF3" w:rsidRPr="00B16E6B" w14:paraId="67E96CDA" w14:textId="77777777" w:rsidTr="00865D73">
        <w:trPr>
          <w:trHeight w:val="660"/>
          <w:tblHeader/>
        </w:trPr>
        <w:tc>
          <w:tcPr>
            <w:tcW w:w="2943" w:type="dxa"/>
            <w:gridSpan w:val="2"/>
            <w:tcBorders>
              <w:top w:val="single" w:sz="4" w:space="0" w:color="BFBFBF" w:themeColor="background2" w:themeShade="BF"/>
              <w:left w:val="nil"/>
              <w:bottom w:val="single" w:sz="6" w:space="0" w:color="D9D9D9"/>
              <w:right w:val="single" w:sz="6" w:space="0" w:color="D9D9D9"/>
            </w:tcBorders>
            <w:shd w:val="clear" w:color="auto" w:fill="1C2B39" w:themeFill="accent1"/>
            <w:vAlign w:val="center"/>
            <w:hideMark/>
          </w:tcPr>
          <w:p w14:paraId="118F6B8F" w14:textId="77777777" w:rsidR="00BA3CF3" w:rsidRPr="00B16E6B" w:rsidRDefault="00BA3CF3" w:rsidP="009613E1">
            <w:pPr>
              <w:spacing w:before="60" w:after="60" w:line="271" w:lineRule="auto"/>
              <w:ind w:left="113"/>
              <w:textAlignment w:val="baseline"/>
              <w:rPr>
                <w:rFonts w:eastAsia="Times New Roman" w:cs="Times New Roman"/>
                <w:b/>
                <w:bCs/>
                <w:sz w:val="20"/>
                <w:szCs w:val="20"/>
                <w:lang w:eastAsia="en-AU"/>
              </w:rPr>
            </w:pPr>
            <w:r w:rsidRPr="00B16E6B">
              <w:rPr>
                <w:rFonts w:eastAsia="Times New Roman" w:cs="Arial"/>
                <w:b/>
                <w:bCs/>
                <w:sz w:val="20"/>
                <w:szCs w:val="20"/>
                <w:lang w:eastAsia="en-AU"/>
              </w:rPr>
              <w:t>Stakeholder group </w:t>
            </w:r>
          </w:p>
        </w:tc>
        <w:tc>
          <w:tcPr>
            <w:tcW w:w="2723" w:type="dxa"/>
            <w:tcBorders>
              <w:top w:val="single" w:sz="4" w:space="0" w:color="BFBFBF" w:themeColor="background2" w:themeShade="BF"/>
              <w:left w:val="single" w:sz="6" w:space="0" w:color="D9D9D9"/>
              <w:bottom w:val="single" w:sz="6" w:space="0" w:color="D9D9D9"/>
              <w:right w:val="single" w:sz="6" w:space="0" w:color="D9D9D9"/>
            </w:tcBorders>
            <w:shd w:val="clear" w:color="auto" w:fill="1C2B39" w:themeFill="accent1"/>
            <w:vAlign w:val="center"/>
            <w:hideMark/>
          </w:tcPr>
          <w:p w14:paraId="461E1149" w14:textId="77777777" w:rsidR="00BA3CF3" w:rsidRPr="00B16E6B" w:rsidRDefault="00BA3CF3" w:rsidP="009613E1">
            <w:pPr>
              <w:spacing w:before="60" w:after="60" w:line="271" w:lineRule="auto"/>
              <w:ind w:left="113"/>
              <w:textAlignment w:val="baseline"/>
              <w:rPr>
                <w:rFonts w:eastAsia="Times New Roman" w:cs="Times New Roman"/>
                <w:b/>
                <w:bCs/>
                <w:sz w:val="20"/>
                <w:szCs w:val="20"/>
                <w:lang w:eastAsia="en-AU"/>
              </w:rPr>
            </w:pPr>
            <w:r w:rsidRPr="00B16E6B">
              <w:rPr>
                <w:rFonts w:eastAsia="Times New Roman" w:cs="Arial"/>
                <w:b/>
                <w:bCs/>
                <w:sz w:val="20"/>
                <w:szCs w:val="20"/>
                <w:lang w:eastAsia="en-AU"/>
              </w:rPr>
              <w:t>Relationship to hazards in the transport sector </w:t>
            </w:r>
          </w:p>
        </w:tc>
        <w:tc>
          <w:tcPr>
            <w:tcW w:w="3972" w:type="dxa"/>
            <w:tcBorders>
              <w:top w:val="single" w:sz="4" w:space="0" w:color="BFBFBF" w:themeColor="background2" w:themeShade="BF"/>
              <w:left w:val="single" w:sz="6" w:space="0" w:color="D9D9D9"/>
              <w:bottom w:val="single" w:sz="6" w:space="0" w:color="D9D9D9"/>
              <w:right w:val="nil"/>
            </w:tcBorders>
            <w:shd w:val="clear" w:color="auto" w:fill="1C2B39" w:themeFill="accent1"/>
            <w:vAlign w:val="center"/>
            <w:hideMark/>
          </w:tcPr>
          <w:p w14:paraId="0A89EA2D" w14:textId="77777777" w:rsidR="00BA3CF3" w:rsidRPr="00B16E6B" w:rsidRDefault="00BA3CF3" w:rsidP="009613E1">
            <w:pPr>
              <w:spacing w:before="60" w:after="60" w:line="271" w:lineRule="auto"/>
              <w:ind w:left="113"/>
              <w:textAlignment w:val="baseline"/>
              <w:rPr>
                <w:rFonts w:eastAsia="Times New Roman" w:cs="Times New Roman"/>
                <w:b/>
                <w:bCs/>
                <w:sz w:val="20"/>
                <w:szCs w:val="20"/>
                <w:lang w:eastAsia="en-AU"/>
              </w:rPr>
            </w:pPr>
            <w:r w:rsidRPr="00B16E6B">
              <w:rPr>
                <w:rFonts w:eastAsia="Times New Roman" w:cs="Arial"/>
                <w:b/>
                <w:bCs/>
                <w:sz w:val="20"/>
                <w:szCs w:val="20"/>
                <w:lang w:eastAsia="en-AU"/>
              </w:rPr>
              <w:t>Impact </w:t>
            </w:r>
          </w:p>
        </w:tc>
      </w:tr>
      <w:tr w:rsidR="00BA3CF3" w:rsidRPr="00B16E6B" w14:paraId="26F7911C" w14:textId="77777777" w:rsidTr="00636E0E">
        <w:trPr>
          <w:trHeight w:val="1125"/>
        </w:trPr>
        <w:tc>
          <w:tcPr>
            <w:tcW w:w="2943" w:type="dxa"/>
            <w:gridSpan w:val="2"/>
            <w:tcBorders>
              <w:top w:val="single" w:sz="6" w:space="0" w:color="D9D9D9"/>
              <w:left w:val="nil"/>
              <w:bottom w:val="single" w:sz="6" w:space="0" w:color="D9D9D9"/>
              <w:right w:val="single" w:sz="6" w:space="0" w:color="D9D9D9"/>
            </w:tcBorders>
            <w:shd w:val="clear" w:color="auto" w:fill="E1E9F0" w:themeFill="accent1" w:themeFillTint="1A"/>
            <w:vAlign w:val="center"/>
            <w:hideMark/>
          </w:tcPr>
          <w:p w14:paraId="0101E35B" w14:textId="77777777" w:rsidR="00BA3CF3" w:rsidRPr="00B16E6B" w:rsidRDefault="00BA3CF3" w:rsidP="009613E1">
            <w:pPr>
              <w:spacing w:before="20" w:after="20" w:line="271" w:lineRule="auto"/>
              <w:ind w:left="113"/>
              <w:textAlignment w:val="baseline"/>
              <w:rPr>
                <w:rFonts w:eastAsia="Times New Roman" w:cs="Times New Roman"/>
                <w:b/>
                <w:bCs/>
                <w:sz w:val="20"/>
                <w:szCs w:val="20"/>
                <w:lang w:eastAsia="en-AU"/>
              </w:rPr>
            </w:pPr>
            <w:r w:rsidRPr="00B16E6B">
              <w:rPr>
                <w:rFonts w:eastAsia="Times New Roman" w:cs="Arial"/>
                <w:b/>
                <w:bCs/>
                <w:sz w:val="20"/>
                <w:szCs w:val="20"/>
                <w:lang w:eastAsia="en-AU"/>
              </w:rPr>
              <w:t>Industry </w:t>
            </w:r>
          </w:p>
        </w:tc>
        <w:tc>
          <w:tcPr>
            <w:tcW w:w="2723" w:type="dxa"/>
            <w:tcBorders>
              <w:top w:val="single" w:sz="6" w:space="0" w:color="D9D9D9"/>
              <w:left w:val="single" w:sz="6" w:space="0" w:color="D9D9D9"/>
              <w:bottom w:val="single" w:sz="6" w:space="0" w:color="D9D9D9"/>
              <w:right w:val="single" w:sz="6" w:space="0" w:color="D9D9D9"/>
            </w:tcBorders>
            <w:vAlign w:val="center"/>
            <w:hideMark/>
          </w:tcPr>
          <w:p w14:paraId="407BCCB6"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 xml:space="preserve">Responsible for mitigating </w:t>
            </w:r>
            <w:r w:rsidR="00F37399" w:rsidRPr="00B16E6B">
              <w:rPr>
                <w:rFonts w:eastAsia="Times New Roman" w:cs="Arial"/>
                <w:sz w:val="20"/>
                <w:szCs w:val="20"/>
                <w:lang w:eastAsia="en-AU"/>
              </w:rPr>
              <w:t xml:space="preserve">and affected by </w:t>
            </w:r>
            <w:r w:rsidRPr="00B16E6B">
              <w:rPr>
                <w:rFonts w:eastAsia="Times New Roman" w:cs="Arial"/>
                <w:sz w:val="20"/>
                <w:szCs w:val="20"/>
                <w:lang w:eastAsia="en-AU"/>
              </w:rPr>
              <w:t>all hazards  </w:t>
            </w:r>
          </w:p>
        </w:tc>
        <w:tc>
          <w:tcPr>
            <w:tcW w:w="3972" w:type="dxa"/>
            <w:tcBorders>
              <w:top w:val="single" w:sz="6" w:space="0" w:color="D9D9D9"/>
              <w:left w:val="single" w:sz="6" w:space="0" w:color="D9D9D9"/>
              <w:bottom w:val="single" w:sz="6" w:space="0" w:color="D9D9D9"/>
              <w:right w:val="nil"/>
            </w:tcBorders>
            <w:vAlign w:val="center"/>
            <w:hideMark/>
          </w:tcPr>
          <w:p w14:paraId="686933DD" w14:textId="77777777" w:rsidR="00BA3CF3" w:rsidRPr="00B16E6B" w:rsidRDefault="00064490" w:rsidP="009613E1">
            <w:pPr>
              <w:spacing w:before="20" w:after="20" w:line="271" w:lineRule="auto"/>
              <w:ind w:left="113"/>
              <w:textAlignment w:val="baseline"/>
              <w:rPr>
                <w:rFonts w:eastAsia="Times New Roman" w:cs="Arial"/>
                <w:sz w:val="20"/>
                <w:szCs w:val="20"/>
                <w:lang w:eastAsia="en-AU"/>
              </w:rPr>
            </w:pPr>
            <w:r w:rsidRPr="00B16E6B">
              <w:rPr>
                <w:rFonts w:eastAsia="Times New Roman" w:cs="Arial"/>
                <w:sz w:val="20"/>
                <w:szCs w:val="20"/>
                <w:lang w:eastAsia="en-AU"/>
              </w:rPr>
              <w:t xml:space="preserve">If a </w:t>
            </w:r>
            <w:r w:rsidR="00BA3CF3" w:rsidRPr="00B16E6B">
              <w:rPr>
                <w:rFonts w:eastAsia="Times New Roman" w:cs="Arial"/>
                <w:sz w:val="20"/>
                <w:szCs w:val="20"/>
                <w:lang w:eastAsia="en-AU"/>
              </w:rPr>
              <w:t xml:space="preserve">security incident </w:t>
            </w:r>
            <w:r w:rsidRPr="00B16E6B">
              <w:rPr>
                <w:rFonts w:eastAsia="Times New Roman" w:cs="Arial"/>
                <w:sz w:val="20"/>
                <w:szCs w:val="20"/>
                <w:lang w:eastAsia="en-AU"/>
              </w:rPr>
              <w:t xml:space="preserve">significantly </w:t>
            </w:r>
            <w:r w:rsidR="00BA3CF3" w:rsidRPr="00B16E6B">
              <w:rPr>
                <w:rFonts w:eastAsia="Times New Roman" w:cs="Arial"/>
                <w:sz w:val="20"/>
                <w:szCs w:val="20"/>
                <w:lang w:eastAsia="en-AU"/>
              </w:rPr>
              <w:t>impact</w:t>
            </w:r>
            <w:r w:rsidRPr="00B16E6B">
              <w:rPr>
                <w:rFonts w:eastAsia="Times New Roman" w:cs="Arial"/>
                <w:sz w:val="20"/>
                <w:szCs w:val="20"/>
                <w:lang w:eastAsia="en-AU"/>
              </w:rPr>
              <w:t>s</w:t>
            </w:r>
            <w:r w:rsidR="00BA3CF3" w:rsidRPr="00B16E6B">
              <w:rPr>
                <w:rFonts w:eastAsia="Times New Roman" w:cs="Arial"/>
                <w:sz w:val="20"/>
                <w:szCs w:val="20"/>
                <w:lang w:eastAsia="en-AU"/>
              </w:rPr>
              <w:t xml:space="preserve"> the service delivery of essential goods and services, </w:t>
            </w:r>
            <w:r w:rsidRPr="00B16E6B">
              <w:rPr>
                <w:rFonts w:eastAsia="Times New Roman" w:cs="Arial"/>
                <w:sz w:val="20"/>
                <w:szCs w:val="20"/>
                <w:lang w:eastAsia="en-AU"/>
              </w:rPr>
              <w:t xml:space="preserve">an industry participant may bear the burden of reputational risk, </w:t>
            </w:r>
            <w:r w:rsidR="00BA3CF3" w:rsidRPr="00B16E6B">
              <w:rPr>
                <w:rFonts w:eastAsia="Times New Roman" w:cs="Arial"/>
                <w:sz w:val="20"/>
                <w:szCs w:val="20"/>
                <w:lang w:eastAsia="en-AU"/>
              </w:rPr>
              <w:t>financial loss, legal consequences, the leak of sensitive data and potential punitive measures from the regulator. There are costs associated with replacing damaged infrastructure</w:t>
            </w:r>
            <w:r w:rsidR="00E571D2" w:rsidRPr="00B16E6B">
              <w:rPr>
                <w:rFonts w:eastAsia="Times New Roman" w:cs="Arial"/>
                <w:sz w:val="20"/>
                <w:szCs w:val="20"/>
                <w:lang w:eastAsia="en-AU"/>
              </w:rPr>
              <w:t xml:space="preserve"> and</w:t>
            </w:r>
            <w:r w:rsidRPr="00B16E6B">
              <w:rPr>
                <w:rFonts w:eastAsia="Times New Roman" w:cs="Arial"/>
                <w:sz w:val="20"/>
                <w:szCs w:val="20"/>
                <w:lang w:eastAsia="en-AU"/>
              </w:rPr>
              <w:t xml:space="preserve"> </w:t>
            </w:r>
            <w:r w:rsidR="00BA3CF3" w:rsidRPr="00B16E6B">
              <w:rPr>
                <w:rFonts w:eastAsia="Times New Roman" w:cs="Arial"/>
                <w:sz w:val="20"/>
                <w:szCs w:val="20"/>
                <w:lang w:eastAsia="en-AU"/>
              </w:rPr>
              <w:t>operational disruption</w:t>
            </w:r>
            <w:r w:rsidRPr="00B16E6B">
              <w:rPr>
                <w:rFonts w:eastAsia="Times New Roman" w:cs="Arial"/>
                <w:sz w:val="20"/>
                <w:szCs w:val="20"/>
                <w:lang w:eastAsia="en-AU"/>
              </w:rPr>
              <w:t>s</w:t>
            </w:r>
            <w:r w:rsidR="00BA3CF3" w:rsidRPr="00B16E6B">
              <w:rPr>
                <w:rFonts w:eastAsia="Times New Roman" w:cs="Arial"/>
                <w:sz w:val="20"/>
                <w:szCs w:val="20"/>
                <w:lang w:eastAsia="en-AU"/>
              </w:rPr>
              <w:t xml:space="preserve"> </w:t>
            </w:r>
            <w:r w:rsidR="00E571D2" w:rsidRPr="00B16E6B">
              <w:rPr>
                <w:rFonts w:eastAsia="Times New Roman" w:cs="Arial"/>
                <w:sz w:val="20"/>
                <w:szCs w:val="20"/>
                <w:lang w:eastAsia="en-AU"/>
              </w:rPr>
              <w:t xml:space="preserve">for industry, </w:t>
            </w:r>
            <w:r w:rsidR="00BA3CF3" w:rsidRPr="00B16E6B">
              <w:rPr>
                <w:rFonts w:eastAsia="Times New Roman" w:cs="Arial"/>
                <w:sz w:val="20"/>
                <w:szCs w:val="20"/>
                <w:lang w:eastAsia="en-AU"/>
              </w:rPr>
              <w:t>and the costs</w:t>
            </w:r>
            <w:r w:rsidR="00E571D2" w:rsidRPr="00B16E6B">
              <w:rPr>
                <w:rFonts w:eastAsia="Times New Roman" w:cs="Arial"/>
                <w:sz w:val="20"/>
                <w:szCs w:val="20"/>
                <w:lang w:eastAsia="en-AU"/>
              </w:rPr>
              <w:t xml:space="preserve"> for both industry and the public with the loss of</w:t>
            </w:r>
            <w:r w:rsidR="00BA3CF3" w:rsidRPr="00B16E6B">
              <w:rPr>
                <w:rFonts w:eastAsia="Times New Roman" w:cs="Arial"/>
                <w:sz w:val="20"/>
                <w:szCs w:val="20"/>
                <w:lang w:eastAsia="en-AU"/>
              </w:rPr>
              <w:t xml:space="preserve"> assets essential for travel and trade</w:t>
            </w:r>
            <w:r w:rsidR="00E571D2" w:rsidRPr="00B16E6B" w:rsidDel="00E571D2">
              <w:rPr>
                <w:rFonts w:eastAsia="Times New Roman" w:cs="Arial"/>
                <w:sz w:val="20"/>
                <w:szCs w:val="20"/>
                <w:lang w:eastAsia="en-AU"/>
              </w:rPr>
              <w:t xml:space="preserve"> </w:t>
            </w:r>
            <w:r w:rsidR="00BA3CF3" w:rsidRPr="00B16E6B">
              <w:rPr>
                <w:rFonts w:eastAsia="Times New Roman" w:cs="Arial"/>
                <w:sz w:val="20"/>
                <w:szCs w:val="20"/>
                <w:lang w:eastAsia="en-AU"/>
              </w:rPr>
              <w:t>   </w:t>
            </w:r>
          </w:p>
        </w:tc>
      </w:tr>
      <w:tr w:rsidR="00BA3CF3" w:rsidRPr="00B16E6B" w14:paraId="37E8A348" w14:textId="77777777" w:rsidTr="00636E0E">
        <w:trPr>
          <w:trHeight w:val="120"/>
        </w:trPr>
        <w:tc>
          <w:tcPr>
            <w:tcW w:w="1545" w:type="dxa"/>
            <w:vMerge w:val="restart"/>
            <w:tcBorders>
              <w:top w:val="single" w:sz="6" w:space="0" w:color="D9D9D9"/>
              <w:left w:val="nil"/>
              <w:bottom w:val="single" w:sz="6" w:space="0" w:color="D9D9D9"/>
              <w:right w:val="single" w:sz="6" w:space="0" w:color="D9D9D9"/>
            </w:tcBorders>
            <w:shd w:val="clear" w:color="auto" w:fill="B7CADC" w:themeFill="accent1" w:themeFillTint="40"/>
            <w:hideMark/>
          </w:tcPr>
          <w:p w14:paraId="0286A143" w14:textId="77777777" w:rsidR="00BA3CF3" w:rsidRPr="00604F1E" w:rsidRDefault="00487C6A" w:rsidP="009613E1">
            <w:pPr>
              <w:spacing w:before="20" w:after="20" w:line="271" w:lineRule="auto"/>
              <w:ind w:left="113" w:right="105"/>
              <w:jc w:val="center"/>
              <w:textAlignment w:val="baseline"/>
              <w:rPr>
                <w:rFonts w:eastAsia="Times New Roman" w:cs="Times New Roman"/>
                <w:b/>
                <w:bCs/>
                <w:sz w:val="20"/>
                <w:szCs w:val="20"/>
                <w:lang w:eastAsia="en-AU"/>
              </w:rPr>
            </w:pPr>
            <w:r w:rsidRPr="00604F1E">
              <w:rPr>
                <w:rFonts w:eastAsia="Times New Roman" w:cs="Arial"/>
                <w:b/>
                <w:bCs/>
                <w:sz w:val="20"/>
                <w:szCs w:val="20"/>
                <w:lang w:eastAsia="en-AU"/>
              </w:rPr>
              <w:t>Government</w:t>
            </w:r>
            <w:r w:rsidR="00BA3CF3" w:rsidRPr="00604F1E">
              <w:rPr>
                <w:rFonts w:eastAsia="Times New Roman" w:cs="Arial"/>
                <w:b/>
                <w:bCs/>
                <w:sz w:val="20"/>
                <w:szCs w:val="20"/>
                <w:lang w:eastAsia="en-AU"/>
              </w:rPr>
              <w:t>  </w:t>
            </w:r>
          </w:p>
          <w:p w14:paraId="01E542C3" w14:textId="77777777" w:rsidR="00BA3CF3" w:rsidRPr="00604F1E" w:rsidRDefault="00BA3CF3" w:rsidP="009613E1">
            <w:pPr>
              <w:spacing w:before="20" w:after="20" w:line="271" w:lineRule="auto"/>
              <w:ind w:left="113" w:right="105"/>
              <w:jc w:val="center"/>
              <w:textAlignment w:val="baseline"/>
              <w:rPr>
                <w:rFonts w:eastAsia="Times New Roman" w:cs="Times New Roman"/>
                <w:b/>
                <w:bCs/>
                <w:sz w:val="20"/>
                <w:szCs w:val="20"/>
                <w:lang w:eastAsia="en-AU"/>
              </w:rPr>
            </w:pPr>
            <w:r w:rsidRPr="00604F1E">
              <w:rPr>
                <w:rFonts w:eastAsia="Times New Roman" w:cs="Arial"/>
                <w:b/>
                <w:bCs/>
                <w:sz w:val="20"/>
                <w:szCs w:val="20"/>
                <w:lang w:eastAsia="en-AU"/>
              </w:rPr>
              <w:t>  </w:t>
            </w:r>
          </w:p>
        </w:tc>
        <w:tc>
          <w:tcPr>
            <w:tcW w:w="1398" w:type="dxa"/>
            <w:tcBorders>
              <w:top w:val="single" w:sz="6" w:space="0" w:color="D9D9D9"/>
              <w:left w:val="single" w:sz="6" w:space="0" w:color="D9D9D9"/>
              <w:bottom w:val="single" w:sz="6" w:space="0" w:color="D9D9D9"/>
              <w:right w:val="single" w:sz="6" w:space="0" w:color="D9D9D9"/>
            </w:tcBorders>
            <w:shd w:val="clear" w:color="auto" w:fill="6F95B8" w:themeFill="accent1" w:themeFillTint="80"/>
            <w:vAlign w:val="center"/>
            <w:hideMark/>
          </w:tcPr>
          <w:p w14:paraId="533EE7E4" w14:textId="77777777" w:rsidR="00BA3CF3" w:rsidRPr="00082215" w:rsidRDefault="00BA3CF3" w:rsidP="009613E1">
            <w:pPr>
              <w:spacing w:before="20" w:after="20" w:line="271" w:lineRule="auto"/>
              <w:ind w:left="113"/>
              <w:textAlignment w:val="baseline"/>
              <w:rPr>
                <w:rFonts w:eastAsia="Times New Roman" w:cs="Times New Roman"/>
                <w:sz w:val="20"/>
                <w:szCs w:val="20"/>
                <w:lang w:eastAsia="en-AU"/>
              </w:rPr>
            </w:pPr>
            <w:r w:rsidRPr="00082215">
              <w:rPr>
                <w:rFonts w:eastAsia="Times New Roman" w:cs="Arial"/>
                <w:i/>
                <w:iCs/>
                <w:sz w:val="20"/>
                <w:szCs w:val="20"/>
                <w:lang w:eastAsia="en-AU"/>
              </w:rPr>
              <w:t>Local </w:t>
            </w:r>
            <w:r w:rsidRPr="00082215">
              <w:rPr>
                <w:rFonts w:eastAsia="Times New Roman" w:cs="Arial"/>
                <w:sz w:val="20"/>
                <w:szCs w:val="20"/>
                <w:lang w:eastAsia="en-AU"/>
              </w:rPr>
              <w:t> </w:t>
            </w:r>
          </w:p>
        </w:tc>
        <w:tc>
          <w:tcPr>
            <w:tcW w:w="2723" w:type="dxa"/>
            <w:vMerge w:val="restart"/>
            <w:tcBorders>
              <w:top w:val="single" w:sz="6" w:space="0" w:color="D9D9D9"/>
              <w:left w:val="single" w:sz="6" w:space="0" w:color="D9D9D9"/>
              <w:bottom w:val="single" w:sz="6" w:space="0" w:color="D9D9D9"/>
              <w:right w:val="single" w:sz="6" w:space="0" w:color="D9D9D9"/>
            </w:tcBorders>
            <w:vAlign w:val="center"/>
            <w:hideMark/>
          </w:tcPr>
          <w:p w14:paraId="2F52F762"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Responsible for managing and minimising risks to continuity</w:t>
            </w:r>
            <w:r w:rsidR="0049314B" w:rsidRPr="00B16E6B">
              <w:rPr>
                <w:rFonts w:eastAsia="Times New Roman" w:cs="Arial"/>
                <w:sz w:val="20"/>
                <w:szCs w:val="20"/>
                <w:lang w:eastAsia="en-AU"/>
              </w:rPr>
              <w:t xml:space="preserve"> in the event of any disruption</w:t>
            </w:r>
            <w:r w:rsidRPr="00B16E6B">
              <w:rPr>
                <w:rFonts w:eastAsia="Times New Roman" w:cs="Arial"/>
                <w:sz w:val="20"/>
                <w:szCs w:val="20"/>
                <w:lang w:eastAsia="en-AU"/>
              </w:rPr>
              <w:t> </w:t>
            </w:r>
          </w:p>
        </w:tc>
        <w:tc>
          <w:tcPr>
            <w:tcW w:w="3972" w:type="dxa"/>
            <w:vMerge w:val="restart"/>
            <w:tcBorders>
              <w:top w:val="single" w:sz="6" w:space="0" w:color="D9D9D9"/>
              <w:left w:val="single" w:sz="6" w:space="0" w:color="D9D9D9"/>
              <w:bottom w:val="single" w:sz="6" w:space="0" w:color="D9D9D9"/>
              <w:right w:val="nil"/>
            </w:tcBorders>
            <w:vAlign w:val="center"/>
            <w:hideMark/>
          </w:tcPr>
          <w:p w14:paraId="1CE92978" w14:textId="358F19F8"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 xml:space="preserve">Local, state, and federal </w:t>
            </w:r>
            <w:r w:rsidR="00487C6A" w:rsidRPr="00B16E6B">
              <w:rPr>
                <w:rFonts w:eastAsia="Times New Roman" w:cs="Arial"/>
                <w:sz w:val="20"/>
                <w:szCs w:val="20"/>
                <w:lang w:eastAsia="en-AU"/>
              </w:rPr>
              <w:t>government</w:t>
            </w:r>
            <w:r w:rsidRPr="00B16E6B">
              <w:rPr>
                <w:rFonts w:eastAsia="Times New Roman" w:cs="Arial"/>
                <w:sz w:val="20"/>
                <w:szCs w:val="20"/>
                <w:lang w:eastAsia="en-AU"/>
              </w:rPr>
              <w:t xml:space="preserve">s are expected to mitigate threats to the Australian community and </w:t>
            </w:r>
            <w:r w:rsidR="00E571D2" w:rsidRPr="00B16E6B">
              <w:rPr>
                <w:rFonts w:eastAsia="Times New Roman" w:cs="Arial"/>
                <w:sz w:val="20"/>
                <w:szCs w:val="20"/>
                <w:lang w:eastAsia="en-AU"/>
              </w:rPr>
              <w:t>may</w:t>
            </w:r>
            <w:r w:rsidRPr="00B16E6B">
              <w:rPr>
                <w:rFonts w:eastAsia="Times New Roman" w:cs="Arial"/>
                <w:sz w:val="20"/>
                <w:szCs w:val="20"/>
                <w:lang w:eastAsia="en-AU"/>
              </w:rPr>
              <w:t xml:space="preserve"> face criticism and reputational damage when seen to be inadequately respond</w:t>
            </w:r>
            <w:r w:rsidR="0049314B" w:rsidRPr="00B16E6B">
              <w:rPr>
                <w:rFonts w:eastAsia="Times New Roman" w:cs="Arial"/>
                <w:sz w:val="20"/>
                <w:szCs w:val="20"/>
                <w:lang w:eastAsia="en-AU"/>
              </w:rPr>
              <w:t xml:space="preserve">ing to </w:t>
            </w:r>
            <w:r w:rsidR="00941A66" w:rsidRPr="00B16E6B">
              <w:rPr>
                <w:rFonts w:eastAsia="Times New Roman" w:cs="Arial"/>
                <w:sz w:val="20"/>
                <w:szCs w:val="20"/>
                <w:lang w:eastAsia="en-AU"/>
              </w:rPr>
              <w:t>security</w:t>
            </w:r>
            <w:r w:rsidR="0049314B" w:rsidRPr="00B16E6B">
              <w:rPr>
                <w:rFonts w:eastAsia="Times New Roman" w:cs="Arial"/>
                <w:sz w:val="20"/>
                <w:szCs w:val="20"/>
                <w:lang w:eastAsia="en-AU"/>
              </w:rPr>
              <w:t xml:space="preserve"> incidents</w:t>
            </w:r>
            <w:r w:rsidRPr="00B16E6B">
              <w:rPr>
                <w:rFonts w:eastAsia="Times New Roman" w:cs="Arial"/>
                <w:sz w:val="20"/>
                <w:szCs w:val="20"/>
                <w:lang w:eastAsia="en-AU"/>
              </w:rPr>
              <w:t>  </w:t>
            </w:r>
          </w:p>
        </w:tc>
      </w:tr>
      <w:tr w:rsidR="00BA3CF3" w:rsidRPr="00B16E6B" w14:paraId="0BBD4FAE" w14:textId="77777777" w:rsidTr="00636E0E">
        <w:trPr>
          <w:trHeight w:val="945"/>
        </w:trPr>
        <w:tc>
          <w:tcPr>
            <w:tcW w:w="0" w:type="auto"/>
            <w:vMerge/>
            <w:tcBorders>
              <w:top w:val="single" w:sz="6" w:space="0" w:color="D9D9D9"/>
              <w:left w:val="nil"/>
              <w:bottom w:val="single" w:sz="6" w:space="0" w:color="D9D9D9"/>
              <w:right w:val="single" w:sz="6" w:space="0" w:color="D9D9D9"/>
            </w:tcBorders>
            <w:shd w:val="clear" w:color="auto" w:fill="B7CADC" w:themeFill="accent1" w:themeFillTint="40"/>
            <w:vAlign w:val="center"/>
            <w:hideMark/>
          </w:tcPr>
          <w:p w14:paraId="72CCCDF4" w14:textId="77777777" w:rsidR="00BA3CF3" w:rsidRPr="00B16E6B" w:rsidRDefault="00BA3CF3" w:rsidP="009613E1">
            <w:pPr>
              <w:spacing w:before="20" w:after="20" w:line="271" w:lineRule="auto"/>
              <w:ind w:left="113"/>
              <w:rPr>
                <w:rFonts w:eastAsia="Times New Roman" w:cs="Times New Roman"/>
                <w:b/>
                <w:bCs/>
                <w:color w:val="FFFFFF" w:themeColor="background1"/>
                <w:sz w:val="20"/>
                <w:szCs w:val="20"/>
                <w:lang w:eastAsia="en-AU"/>
              </w:rPr>
            </w:pPr>
          </w:p>
        </w:tc>
        <w:tc>
          <w:tcPr>
            <w:tcW w:w="1398" w:type="dxa"/>
            <w:tcBorders>
              <w:top w:val="single" w:sz="6" w:space="0" w:color="D9D9D9"/>
              <w:left w:val="single" w:sz="6" w:space="0" w:color="D9D9D9"/>
              <w:bottom w:val="single" w:sz="6" w:space="0" w:color="D9D9D9"/>
              <w:right w:val="single" w:sz="6" w:space="0" w:color="D9D9D9"/>
            </w:tcBorders>
            <w:shd w:val="clear" w:color="auto" w:fill="3F6080" w:themeFill="accent1" w:themeFillTint="BF"/>
            <w:vAlign w:val="center"/>
            <w:hideMark/>
          </w:tcPr>
          <w:p w14:paraId="360610D0" w14:textId="77777777" w:rsidR="00BA3CF3" w:rsidRPr="00B16E6B" w:rsidRDefault="00BA3CF3" w:rsidP="009613E1">
            <w:pPr>
              <w:spacing w:before="20" w:after="20" w:line="271" w:lineRule="auto"/>
              <w:ind w:left="113"/>
              <w:textAlignment w:val="baseline"/>
              <w:rPr>
                <w:rFonts w:eastAsia="Times New Roman" w:cs="Times New Roman"/>
                <w:color w:val="FFFFFF" w:themeColor="background1"/>
                <w:sz w:val="20"/>
                <w:szCs w:val="20"/>
                <w:lang w:eastAsia="en-AU"/>
              </w:rPr>
            </w:pPr>
            <w:r w:rsidRPr="00B16E6B">
              <w:rPr>
                <w:rFonts w:eastAsia="Times New Roman" w:cs="Arial"/>
                <w:i/>
                <w:iCs/>
                <w:color w:val="FFFFFF" w:themeColor="background1"/>
                <w:sz w:val="20"/>
                <w:szCs w:val="20"/>
                <w:lang w:eastAsia="en-AU"/>
              </w:rPr>
              <w:t>State and Territory </w:t>
            </w:r>
            <w:r w:rsidRPr="00B16E6B">
              <w:rPr>
                <w:rFonts w:eastAsia="Times New Roman" w:cs="Arial"/>
                <w:color w:val="FFFFFF" w:themeColor="background1"/>
                <w:sz w:val="20"/>
                <w:szCs w:val="20"/>
                <w:lang w:eastAsia="en-AU"/>
              </w:rPr>
              <w:t> </w:t>
            </w:r>
          </w:p>
        </w:tc>
        <w:tc>
          <w:tcPr>
            <w:tcW w:w="0" w:type="auto"/>
            <w:vMerge/>
            <w:tcBorders>
              <w:top w:val="single" w:sz="6" w:space="0" w:color="D9D9D9"/>
              <w:left w:val="single" w:sz="6" w:space="0" w:color="D9D9D9"/>
              <w:bottom w:val="single" w:sz="6" w:space="0" w:color="D9D9D9"/>
              <w:right w:val="single" w:sz="6" w:space="0" w:color="D9D9D9"/>
            </w:tcBorders>
            <w:vAlign w:val="center"/>
            <w:hideMark/>
          </w:tcPr>
          <w:p w14:paraId="21BFC91E" w14:textId="77777777" w:rsidR="00BA3CF3" w:rsidRPr="00B16E6B" w:rsidRDefault="00BA3CF3" w:rsidP="009613E1">
            <w:pPr>
              <w:spacing w:before="20" w:after="20" w:line="271" w:lineRule="auto"/>
              <w:ind w:left="113"/>
              <w:rPr>
                <w:rFonts w:eastAsia="Times New Roman" w:cs="Times New Roman"/>
                <w:sz w:val="20"/>
                <w:szCs w:val="20"/>
                <w:lang w:eastAsia="en-AU"/>
              </w:rPr>
            </w:pPr>
          </w:p>
        </w:tc>
        <w:tc>
          <w:tcPr>
            <w:tcW w:w="0" w:type="auto"/>
            <w:vMerge/>
            <w:tcBorders>
              <w:top w:val="single" w:sz="6" w:space="0" w:color="D9D9D9"/>
              <w:left w:val="single" w:sz="6" w:space="0" w:color="D9D9D9"/>
              <w:bottom w:val="single" w:sz="6" w:space="0" w:color="D9D9D9"/>
              <w:right w:val="nil"/>
            </w:tcBorders>
            <w:vAlign w:val="center"/>
            <w:hideMark/>
          </w:tcPr>
          <w:p w14:paraId="5593374C" w14:textId="77777777" w:rsidR="00BA3CF3" w:rsidRPr="00B16E6B" w:rsidRDefault="00BA3CF3" w:rsidP="009613E1">
            <w:pPr>
              <w:spacing w:before="20" w:after="20" w:line="271" w:lineRule="auto"/>
              <w:ind w:left="113"/>
              <w:rPr>
                <w:rFonts w:eastAsia="Times New Roman" w:cs="Times New Roman"/>
                <w:sz w:val="20"/>
                <w:szCs w:val="20"/>
                <w:lang w:eastAsia="en-AU"/>
              </w:rPr>
            </w:pPr>
          </w:p>
        </w:tc>
      </w:tr>
      <w:tr w:rsidR="00F37399" w:rsidRPr="00B16E6B" w14:paraId="5C431A5B" w14:textId="77777777" w:rsidTr="00636E0E">
        <w:trPr>
          <w:trHeight w:val="1695"/>
        </w:trPr>
        <w:tc>
          <w:tcPr>
            <w:tcW w:w="0" w:type="auto"/>
            <w:vMerge/>
            <w:tcBorders>
              <w:top w:val="single" w:sz="6" w:space="0" w:color="D9D9D9"/>
              <w:left w:val="nil"/>
              <w:bottom w:val="single" w:sz="6" w:space="0" w:color="D9D9D9"/>
              <w:right w:val="single" w:sz="6" w:space="0" w:color="D9D9D9"/>
            </w:tcBorders>
            <w:shd w:val="clear" w:color="auto" w:fill="B7CADC" w:themeFill="accent1" w:themeFillTint="40"/>
            <w:vAlign w:val="center"/>
            <w:hideMark/>
          </w:tcPr>
          <w:p w14:paraId="78A67D5B" w14:textId="77777777" w:rsidR="00F37399" w:rsidRPr="00B16E6B" w:rsidRDefault="00F37399" w:rsidP="009613E1">
            <w:pPr>
              <w:spacing w:before="20" w:after="20" w:line="271" w:lineRule="auto"/>
              <w:ind w:left="113"/>
              <w:rPr>
                <w:rFonts w:eastAsia="Times New Roman" w:cs="Times New Roman"/>
                <w:b/>
                <w:bCs/>
                <w:color w:val="FFFFFF" w:themeColor="background1"/>
                <w:sz w:val="20"/>
                <w:szCs w:val="20"/>
                <w:lang w:eastAsia="en-AU"/>
              </w:rPr>
            </w:pPr>
          </w:p>
        </w:tc>
        <w:tc>
          <w:tcPr>
            <w:tcW w:w="1398" w:type="dxa"/>
            <w:tcBorders>
              <w:top w:val="single" w:sz="6" w:space="0" w:color="D9D9D9"/>
              <w:left w:val="single" w:sz="6" w:space="0" w:color="D9D9D9"/>
              <w:bottom w:val="single" w:sz="6" w:space="0" w:color="D9D9D9"/>
              <w:right w:val="single" w:sz="6" w:space="0" w:color="D9D9D9"/>
            </w:tcBorders>
            <w:shd w:val="clear" w:color="auto" w:fill="293F54" w:themeFill="accent1" w:themeFillTint="E6"/>
            <w:vAlign w:val="center"/>
            <w:hideMark/>
          </w:tcPr>
          <w:p w14:paraId="26240046" w14:textId="77777777" w:rsidR="00F37399" w:rsidRPr="00B16E6B" w:rsidRDefault="00F37399" w:rsidP="009613E1">
            <w:pPr>
              <w:spacing w:before="20" w:after="20" w:line="271" w:lineRule="auto"/>
              <w:ind w:left="113"/>
              <w:textAlignment w:val="baseline"/>
              <w:rPr>
                <w:rFonts w:eastAsia="Times New Roman" w:cs="Times New Roman"/>
                <w:color w:val="FFFFFF" w:themeColor="background1"/>
                <w:sz w:val="20"/>
                <w:szCs w:val="20"/>
                <w:lang w:eastAsia="en-AU"/>
              </w:rPr>
            </w:pPr>
            <w:r w:rsidRPr="00B16E6B">
              <w:rPr>
                <w:rFonts w:eastAsia="Times New Roman" w:cs="Arial"/>
                <w:i/>
                <w:iCs/>
                <w:color w:val="FFFFFF" w:themeColor="background1"/>
                <w:sz w:val="20"/>
                <w:szCs w:val="20"/>
                <w:lang w:eastAsia="en-AU"/>
              </w:rPr>
              <w:t>Federal </w:t>
            </w:r>
            <w:r w:rsidRPr="00B16E6B">
              <w:rPr>
                <w:rFonts w:eastAsia="Times New Roman" w:cs="Arial"/>
                <w:color w:val="FFFFFF" w:themeColor="background1"/>
                <w:sz w:val="20"/>
                <w:szCs w:val="20"/>
                <w:lang w:eastAsia="en-AU"/>
              </w:rPr>
              <w:t> </w:t>
            </w:r>
          </w:p>
        </w:tc>
        <w:tc>
          <w:tcPr>
            <w:tcW w:w="2723" w:type="dxa"/>
            <w:tcBorders>
              <w:top w:val="single" w:sz="6" w:space="0" w:color="D9D9D9"/>
              <w:left w:val="single" w:sz="6" w:space="0" w:color="D9D9D9"/>
              <w:right w:val="single" w:sz="6" w:space="0" w:color="D9D9D9"/>
            </w:tcBorders>
            <w:vAlign w:val="center"/>
            <w:hideMark/>
          </w:tcPr>
          <w:p w14:paraId="4E2B4CC7" w14:textId="77777777" w:rsidR="00F37399" w:rsidRPr="00B16E6B" w:rsidRDefault="00F37399" w:rsidP="009613E1">
            <w:pPr>
              <w:spacing w:before="20" w:after="20" w:line="271" w:lineRule="auto"/>
              <w:ind w:left="113"/>
              <w:textAlignment w:val="baseline"/>
              <w:rPr>
                <w:rFonts w:eastAsia="Times New Roman" w:cs="Arial"/>
                <w:sz w:val="20"/>
                <w:szCs w:val="20"/>
                <w:lang w:eastAsia="en-AU"/>
              </w:rPr>
            </w:pPr>
            <w:r w:rsidRPr="00B16E6B">
              <w:rPr>
                <w:rFonts w:eastAsia="Times New Roman" w:cs="Arial"/>
                <w:sz w:val="20"/>
                <w:szCs w:val="20"/>
                <w:lang w:eastAsia="en-AU"/>
              </w:rPr>
              <w:t>Develop, align and regulate legislation to ensure indu</w:t>
            </w:r>
            <w:r w:rsidR="0049314B" w:rsidRPr="00B16E6B">
              <w:rPr>
                <w:rFonts w:eastAsia="Times New Roman" w:cs="Arial"/>
                <w:sz w:val="20"/>
                <w:szCs w:val="20"/>
                <w:lang w:eastAsia="en-AU"/>
              </w:rPr>
              <w:t>stry is appropriately protected</w:t>
            </w:r>
            <w:r w:rsidRPr="00B16E6B">
              <w:rPr>
                <w:rFonts w:eastAsia="Times New Roman" w:cs="Arial"/>
                <w:sz w:val="20"/>
                <w:szCs w:val="20"/>
                <w:lang w:eastAsia="en-AU"/>
              </w:rPr>
              <w:t>    </w:t>
            </w:r>
          </w:p>
        </w:tc>
        <w:tc>
          <w:tcPr>
            <w:tcW w:w="0" w:type="auto"/>
            <w:vMerge/>
            <w:tcBorders>
              <w:top w:val="single" w:sz="6" w:space="0" w:color="D9D9D9"/>
              <w:left w:val="single" w:sz="6" w:space="0" w:color="D9D9D9"/>
              <w:bottom w:val="single" w:sz="6" w:space="0" w:color="D9D9D9"/>
              <w:right w:val="nil"/>
            </w:tcBorders>
            <w:vAlign w:val="center"/>
            <w:hideMark/>
          </w:tcPr>
          <w:p w14:paraId="6E2D55D7" w14:textId="77777777" w:rsidR="00F37399" w:rsidRPr="00B16E6B" w:rsidRDefault="00F37399" w:rsidP="009613E1">
            <w:pPr>
              <w:spacing w:before="20" w:after="20" w:line="271" w:lineRule="auto"/>
              <w:ind w:left="113"/>
              <w:rPr>
                <w:rFonts w:eastAsia="Times New Roman" w:cs="Times New Roman"/>
                <w:sz w:val="20"/>
                <w:szCs w:val="20"/>
                <w:lang w:eastAsia="en-AU"/>
              </w:rPr>
            </w:pPr>
          </w:p>
        </w:tc>
      </w:tr>
      <w:tr w:rsidR="00BA3CF3" w:rsidRPr="00B16E6B" w14:paraId="4CFAE733" w14:textId="77777777" w:rsidTr="00636E0E">
        <w:trPr>
          <w:trHeight w:val="120"/>
        </w:trPr>
        <w:tc>
          <w:tcPr>
            <w:tcW w:w="0" w:type="auto"/>
            <w:vMerge/>
            <w:tcBorders>
              <w:top w:val="single" w:sz="6" w:space="0" w:color="D9D9D9"/>
              <w:left w:val="nil"/>
              <w:bottom w:val="single" w:sz="6" w:space="0" w:color="D9D9D9"/>
              <w:right w:val="single" w:sz="6" w:space="0" w:color="D9D9D9"/>
            </w:tcBorders>
            <w:shd w:val="clear" w:color="auto" w:fill="B7CADC" w:themeFill="accent1" w:themeFillTint="40"/>
            <w:vAlign w:val="center"/>
            <w:hideMark/>
          </w:tcPr>
          <w:p w14:paraId="1556FBA3" w14:textId="77777777" w:rsidR="00BA3CF3" w:rsidRPr="00B16E6B" w:rsidRDefault="00BA3CF3" w:rsidP="009613E1">
            <w:pPr>
              <w:spacing w:before="20" w:after="20" w:line="271" w:lineRule="auto"/>
              <w:ind w:left="113"/>
              <w:rPr>
                <w:rFonts w:eastAsia="Times New Roman" w:cs="Times New Roman"/>
                <w:b/>
                <w:bCs/>
                <w:color w:val="FFFFFF" w:themeColor="background1"/>
                <w:sz w:val="20"/>
                <w:szCs w:val="20"/>
                <w:lang w:eastAsia="en-AU"/>
              </w:rPr>
            </w:pPr>
          </w:p>
        </w:tc>
        <w:tc>
          <w:tcPr>
            <w:tcW w:w="1398" w:type="dxa"/>
            <w:tcBorders>
              <w:top w:val="single" w:sz="6" w:space="0" w:color="D9D9D9"/>
              <w:left w:val="single" w:sz="6" w:space="0" w:color="D9D9D9"/>
              <w:bottom w:val="single" w:sz="6" w:space="0" w:color="D9D9D9"/>
              <w:right w:val="single" w:sz="6" w:space="0" w:color="D9D9D9"/>
            </w:tcBorders>
            <w:shd w:val="clear" w:color="auto" w:fill="1C2B39" w:themeFill="accent1"/>
            <w:vAlign w:val="center"/>
            <w:hideMark/>
          </w:tcPr>
          <w:p w14:paraId="4500693E" w14:textId="77777777" w:rsidR="00BA3CF3" w:rsidRPr="00B16E6B" w:rsidRDefault="00774FBA" w:rsidP="009613E1">
            <w:pPr>
              <w:spacing w:before="20" w:after="20" w:line="271" w:lineRule="auto"/>
              <w:ind w:left="113"/>
              <w:textAlignment w:val="baseline"/>
              <w:rPr>
                <w:rFonts w:eastAsia="Times New Roman" w:cs="Times New Roman"/>
                <w:color w:val="FFFFFF" w:themeColor="background1"/>
                <w:sz w:val="20"/>
                <w:szCs w:val="20"/>
                <w:lang w:eastAsia="en-AU"/>
              </w:rPr>
            </w:pPr>
            <w:r w:rsidRPr="00B16E6B">
              <w:rPr>
                <w:rFonts w:eastAsia="Times New Roman" w:cs="Arial"/>
                <w:i/>
                <w:iCs/>
                <w:color w:val="FFFFFF" w:themeColor="background1"/>
                <w:sz w:val="20"/>
                <w:szCs w:val="20"/>
                <w:lang w:eastAsia="en-AU"/>
              </w:rPr>
              <w:t xml:space="preserve">Foreign </w:t>
            </w:r>
            <w:r w:rsidR="00487C6A" w:rsidRPr="00B16E6B">
              <w:rPr>
                <w:rFonts w:eastAsia="Times New Roman" w:cs="Arial"/>
                <w:i/>
                <w:iCs/>
                <w:color w:val="FFFFFF" w:themeColor="background1"/>
                <w:sz w:val="20"/>
                <w:szCs w:val="20"/>
                <w:lang w:eastAsia="en-AU"/>
              </w:rPr>
              <w:t>government</w:t>
            </w:r>
            <w:r w:rsidR="00BA3CF3" w:rsidRPr="00B16E6B">
              <w:rPr>
                <w:rFonts w:eastAsia="Times New Roman" w:cs="Arial"/>
                <w:i/>
                <w:iCs/>
                <w:color w:val="FFFFFF" w:themeColor="background1"/>
                <w:sz w:val="20"/>
                <w:szCs w:val="20"/>
                <w:lang w:eastAsia="en-AU"/>
              </w:rPr>
              <w:t>s</w:t>
            </w:r>
            <w:r w:rsidR="00BA3CF3" w:rsidRPr="00B16E6B">
              <w:rPr>
                <w:rFonts w:eastAsia="Times New Roman" w:cs="Arial"/>
                <w:color w:val="FFFFFF" w:themeColor="background1"/>
                <w:sz w:val="20"/>
                <w:szCs w:val="20"/>
                <w:lang w:eastAsia="en-AU"/>
              </w:rPr>
              <w:t> </w:t>
            </w:r>
          </w:p>
        </w:tc>
        <w:tc>
          <w:tcPr>
            <w:tcW w:w="2723" w:type="dxa"/>
            <w:tcBorders>
              <w:top w:val="single" w:sz="6" w:space="0" w:color="D9D9D9"/>
              <w:left w:val="single" w:sz="6" w:space="0" w:color="D9D9D9"/>
              <w:bottom w:val="single" w:sz="6" w:space="0" w:color="D9D9D9"/>
              <w:right w:val="single" w:sz="6" w:space="0" w:color="D9D9D9"/>
            </w:tcBorders>
            <w:vAlign w:val="center"/>
            <w:hideMark/>
          </w:tcPr>
          <w:p w14:paraId="3BD23EE0"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Affected by supply chain issues  </w:t>
            </w:r>
          </w:p>
        </w:tc>
        <w:tc>
          <w:tcPr>
            <w:tcW w:w="3972" w:type="dxa"/>
            <w:tcBorders>
              <w:top w:val="single" w:sz="6" w:space="0" w:color="D9D9D9"/>
              <w:left w:val="single" w:sz="6" w:space="0" w:color="D9D9D9"/>
              <w:bottom w:val="single" w:sz="6" w:space="0" w:color="D9D9D9"/>
              <w:right w:val="nil"/>
            </w:tcBorders>
            <w:vAlign w:val="center"/>
            <w:hideMark/>
          </w:tcPr>
          <w:p w14:paraId="0BC2D891"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Cost of service disruptions to trade and travel from Australia  </w:t>
            </w:r>
          </w:p>
        </w:tc>
      </w:tr>
      <w:tr w:rsidR="00BA3CF3" w:rsidRPr="00B16E6B" w14:paraId="2DC153CD" w14:textId="77777777" w:rsidTr="00636E0E">
        <w:trPr>
          <w:trHeight w:val="1485"/>
        </w:trPr>
        <w:tc>
          <w:tcPr>
            <w:tcW w:w="2943" w:type="dxa"/>
            <w:gridSpan w:val="2"/>
            <w:tcBorders>
              <w:top w:val="single" w:sz="6" w:space="0" w:color="D9D9D9"/>
              <w:left w:val="nil"/>
              <w:bottom w:val="single" w:sz="4" w:space="0" w:color="BFBFBF" w:themeColor="background2" w:themeShade="BF"/>
              <w:right w:val="single" w:sz="6" w:space="0" w:color="D9D9D9"/>
            </w:tcBorders>
            <w:shd w:val="clear" w:color="auto" w:fill="6F95B8" w:themeFill="accent1" w:themeFillTint="80"/>
            <w:vAlign w:val="center"/>
            <w:hideMark/>
          </w:tcPr>
          <w:p w14:paraId="50847607" w14:textId="77777777" w:rsidR="00BA3CF3" w:rsidRPr="00B16E6B" w:rsidRDefault="00BA3CF3" w:rsidP="009613E1">
            <w:pPr>
              <w:spacing w:before="20" w:after="20" w:line="271" w:lineRule="auto"/>
              <w:ind w:left="113"/>
              <w:textAlignment w:val="baseline"/>
              <w:rPr>
                <w:rFonts w:eastAsia="Times New Roman" w:cs="Times New Roman"/>
                <w:b/>
                <w:bCs/>
                <w:sz w:val="20"/>
                <w:szCs w:val="20"/>
                <w:lang w:eastAsia="en-AU"/>
              </w:rPr>
            </w:pPr>
            <w:r w:rsidRPr="00B16E6B">
              <w:rPr>
                <w:rFonts w:eastAsia="Times New Roman" w:cs="Arial"/>
                <w:b/>
                <w:bCs/>
                <w:sz w:val="20"/>
                <w:szCs w:val="20"/>
                <w:lang w:eastAsia="en-AU"/>
              </w:rPr>
              <w:t>Community </w:t>
            </w:r>
          </w:p>
          <w:p w14:paraId="04B0D6F8" w14:textId="77777777" w:rsidR="00BA3CF3" w:rsidRPr="00B16E6B" w:rsidRDefault="00BA3CF3" w:rsidP="009613E1">
            <w:pPr>
              <w:spacing w:before="20" w:after="20" w:line="271" w:lineRule="auto"/>
              <w:ind w:left="113"/>
              <w:jc w:val="center"/>
              <w:textAlignment w:val="baseline"/>
              <w:rPr>
                <w:rFonts w:eastAsia="Times New Roman" w:cs="Times New Roman"/>
                <w:b/>
                <w:bCs/>
                <w:color w:val="FFFFFF" w:themeColor="background1"/>
                <w:sz w:val="20"/>
                <w:szCs w:val="20"/>
                <w:lang w:eastAsia="en-AU"/>
              </w:rPr>
            </w:pPr>
            <w:r w:rsidRPr="00B16E6B">
              <w:rPr>
                <w:rFonts w:eastAsia="Times New Roman" w:cs="Arial"/>
                <w:b/>
                <w:bCs/>
                <w:color w:val="FFFFFF" w:themeColor="background1"/>
                <w:sz w:val="20"/>
                <w:szCs w:val="20"/>
                <w:lang w:eastAsia="en-AU"/>
              </w:rPr>
              <w:t> </w:t>
            </w:r>
          </w:p>
        </w:tc>
        <w:tc>
          <w:tcPr>
            <w:tcW w:w="2723" w:type="dxa"/>
            <w:tcBorders>
              <w:top w:val="single" w:sz="6" w:space="0" w:color="D9D9D9"/>
              <w:left w:val="single" w:sz="6" w:space="0" w:color="D9D9D9"/>
              <w:bottom w:val="single" w:sz="4" w:space="0" w:color="BFBFBF" w:themeColor="background2" w:themeShade="BF"/>
              <w:right w:val="single" w:sz="6" w:space="0" w:color="D9D9D9"/>
            </w:tcBorders>
            <w:vAlign w:val="center"/>
            <w:hideMark/>
          </w:tcPr>
          <w:p w14:paraId="0F339534"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Affected by all hazards  </w:t>
            </w:r>
          </w:p>
        </w:tc>
        <w:tc>
          <w:tcPr>
            <w:tcW w:w="3972" w:type="dxa"/>
            <w:tcBorders>
              <w:top w:val="single" w:sz="6" w:space="0" w:color="D9D9D9"/>
              <w:left w:val="single" w:sz="6" w:space="0" w:color="D9D9D9"/>
              <w:bottom w:val="single" w:sz="4" w:space="0" w:color="BFBFBF" w:themeColor="background2" w:themeShade="BF"/>
              <w:right w:val="nil"/>
            </w:tcBorders>
            <w:vAlign w:val="center"/>
            <w:hideMark/>
          </w:tcPr>
          <w:p w14:paraId="48EFACB4" w14:textId="77777777" w:rsidR="00BA3CF3" w:rsidRPr="00B16E6B" w:rsidRDefault="00BA3CF3" w:rsidP="009613E1">
            <w:pPr>
              <w:spacing w:before="20" w:after="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Natural and man-made disruptions to the transport sector could have large consequences on the Australian community and general public, from inaccessibility to essential goods and travel disruptions to financial loss and the loss of sensitive personal data. In extreme cases, incidents could result in serious injury or death  </w:t>
            </w:r>
          </w:p>
        </w:tc>
      </w:tr>
    </w:tbl>
    <w:p w14:paraId="6CB8B437" w14:textId="77777777" w:rsidR="00F3405B" w:rsidRPr="00B16E6B" w:rsidRDefault="00BA3CF3" w:rsidP="009613E1">
      <w:pPr>
        <w:spacing w:after="0" w:line="271" w:lineRule="auto"/>
        <w:textAlignment w:val="baseline"/>
        <w:rPr>
          <w:rFonts w:eastAsia="Times New Roman" w:cs="Segoe UI"/>
          <w:szCs w:val="22"/>
          <w:lang w:eastAsia="en-AU"/>
        </w:rPr>
      </w:pPr>
      <w:r w:rsidRPr="00B16E6B">
        <w:rPr>
          <w:rFonts w:eastAsia="Times New Roman" w:cs="Arial"/>
          <w:szCs w:val="22"/>
          <w:lang w:eastAsia="en-AU"/>
        </w:rPr>
        <w:t> </w:t>
      </w:r>
      <w:r w:rsidR="00F3405B" w:rsidRPr="00B16E6B">
        <w:rPr>
          <w:rFonts w:eastAsia="Times New Roman"/>
          <w:lang w:eastAsia="en-AU"/>
        </w:rPr>
        <w:br w:type="page"/>
      </w:r>
    </w:p>
    <w:p w14:paraId="04E68C88" w14:textId="77777777" w:rsidR="00BA3CF3" w:rsidRPr="00B16E6B" w:rsidRDefault="00084642" w:rsidP="009613E1">
      <w:pPr>
        <w:pStyle w:val="Heading3"/>
        <w:spacing w:line="271" w:lineRule="auto"/>
        <w:rPr>
          <w:rFonts w:eastAsia="Times New Roman"/>
          <w:color w:val="D13438"/>
          <w:lang w:eastAsia="en-AU"/>
        </w:rPr>
      </w:pPr>
      <w:r w:rsidRPr="00B16E6B">
        <w:rPr>
          <w:rFonts w:eastAsia="Times New Roman"/>
          <w:lang w:eastAsia="en-AU"/>
        </w:rPr>
        <w:lastRenderedPageBreak/>
        <w:t xml:space="preserve">1.1.2 </w:t>
      </w:r>
      <w:r w:rsidR="00BA3CF3" w:rsidRPr="00B16E6B">
        <w:rPr>
          <w:rFonts w:eastAsia="Times New Roman"/>
          <w:lang w:eastAsia="en-AU"/>
        </w:rPr>
        <w:t>The dynamic and uncertain nature of threats creates challenges for the transport sector</w:t>
      </w:r>
      <w:r w:rsidR="00BA3CF3" w:rsidRPr="00B16E6B">
        <w:rPr>
          <w:rFonts w:eastAsia="Times New Roman"/>
          <w:color w:val="D13438"/>
          <w:lang w:eastAsia="en-AU"/>
        </w:rPr>
        <w:t> </w:t>
      </w:r>
    </w:p>
    <w:p w14:paraId="1BA9FC46" w14:textId="77777777" w:rsidR="002166C7" w:rsidRPr="00B16E6B" w:rsidRDefault="002166C7" w:rsidP="009613E1">
      <w:pPr>
        <w:spacing w:after="120" w:line="271" w:lineRule="auto"/>
        <w:textAlignment w:val="baseline"/>
        <w:rPr>
          <w:rFonts w:eastAsia="Times New Roman" w:cs="Segoe UI"/>
          <w:szCs w:val="22"/>
          <w:lang w:eastAsia="en-AU"/>
        </w:rPr>
      </w:pPr>
      <w:r w:rsidRPr="00B16E6B">
        <w:rPr>
          <w:rFonts w:eastAsia="Times New Roman" w:cs="Arial"/>
          <w:szCs w:val="22"/>
          <w:lang w:eastAsia="en-AU"/>
        </w:rPr>
        <w:t>The scale, frequency and complexity of cyber threats, sophisticated foreign intelligence service activities against Australian interests, as well as natural hazards such as bushfires and floods, are increasing.</w:t>
      </w:r>
      <w:r w:rsidRPr="00B16E6B">
        <w:rPr>
          <w:rStyle w:val="FootnoteReference"/>
          <w:rFonts w:eastAsia="Times New Roman" w:cs="Arial"/>
          <w:szCs w:val="22"/>
          <w:lang w:eastAsia="en-AU"/>
        </w:rPr>
        <w:footnoteReference w:id="29"/>
      </w:r>
      <w:r w:rsidRPr="00B16E6B">
        <w:rPr>
          <w:rFonts w:eastAsia="Times New Roman" w:cs="Arial"/>
          <w:szCs w:val="22"/>
          <w:lang w:eastAsia="en-AU"/>
        </w:rPr>
        <w:t xml:space="preserve"> The nature of these threats means they are surpassing the security and resilience mechanisms </w:t>
      </w:r>
      <w:r w:rsidR="00E571D2" w:rsidRPr="00B16E6B">
        <w:rPr>
          <w:rFonts w:eastAsia="Times New Roman" w:cs="Arial"/>
          <w:szCs w:val="22"/>
          <w:lang w:eastAsia="en-AU"/>
        </w:rPr>
        <w:t>within</w:t>
      </w:r>
      <w:r w:rsidRPr="00B16E6B">
        <w:rPr>
          <w:rFonts w:eastAsia="Times New Roman" w:cs="Arial"/>
          <w:szCs w:val="22"/>
          <w:lang w:eastAsia="en-AU"/>
        </w:rPr>
        <w:t xml:space="preserve"> the </w:t>
      </w:r>
      <w:r w:rsidR="00E571D2" w:rsidRPr="00B16E6B">
        <w:rPr>
          <w:rFonts w:eastAsia="Times New Roman" w:cs="Arial"/>
          <w:szCs w:val="22"/>
          <w:lang w:eastAsia="en-AU"/>
        </w:rPr>
        <w:t>transport security legislative frameworks</w:t>
      </w:r>
      <w:r w:rsidRPr="00B16E6B">
        <w:rPr>
          <w:rFonts w:eastAsia="Times New Roman" w:cs="Arial"/>
          <w:szCs w:val="22"/>
          <w:lang w:eastAsia="en-AU"/>
        </w:rPr>
        <w:t>. These threats include potential impacts arising from physical and natural hazards (such as fires, floods, cyclones, and health hazards).  </w:t>
      </w:r>
    </w:p>
    <w:p w14:paraId="633FCC1D" w14:textId="77777777" w:rsidR="00A40F90" w:rsidRPr="00B16E6B" w:rsidRDefault="00BA3CF3" w:rsidP="009613E1">
      <w:pPr>
        <w:spacing w:after="240" w:line="271" w:lineRule="auto"/>
        <w:textAlignment w:val="baseline"/>
        <w:rPr>
          <w:rFonts w:eastAsia="Times New Roman" w:cs="Arial"/>
          <w:szCs w:val="22"/>
          <w:lang w:eastAsia="en-AU"/>
        </w:rPr>
      </w:pPr>
      <w:r w:rsidRPr="00B16E6B">
        <w:rPr>
          <w:rFonts w:eastAsia="Times New Roman" w:cs="Arial"/>
          <w:szCs w:val="22"/>
          <w:lang w:eastAsia="en-AU"/>
        </w:rPr>
        <w:t>The below case studies explore these threats in further detail.</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5"/>
        <w:gridCol w:w="2550"/>
      </w:tblGrid>
      <w:tr w:rsidR="00F3405B" w:rsidRPr="00B16E6B" w14:paraId="5EE9A802" w14:textId="77777777" w:rsidTr="00865D73">
        <w:trPr>
          <w:trHeight w:val="300"/>
        </w:trPr>
        <w:tc>
          <w:tcPr>
            <w:tcW w:w="6465" w:type="dxa"/>
            <w:tcBorders>
              <w:top w:val="single" w:sz="4" w:space="0" w:color="BFBFBF" w:themeColor="background2" w:themeShade="BF"/>
              <w:left w:val="nil"/>
              <w:bottom w:val="single" w:sz="6" w:space="0" w:color="BFBFBF"/>
              <w:right w:val="nil"/>
            </w:tcBorders>
            <w:shd w:val="clear" w:color="auto" w:fill="1C2B39" w:themeFill="accent1"/>
            <w:vAlign w:val="center"/>
            <w:hideMark/>
          </w:tcPr>
          <w:p w14:paraId="218667B4" w14:textId="77777777" w:rsidR="00F3405B" w:rsidRPr="00B16E6B" w:rsidRDefault="00F3405B" w:rsidP="009613E1">
            <w:pPr>
              <w:spacing w:before="60" w:after="60" w:line="271" w:lineRule="auto"/>
              <w:textAlignment w:val="baseline"/>
              <w:rPr>
                <w:rFonts w:eastAsia="Times New Roman" w:cs="Times New Roman"/>
                <w:sz w:val="20"/>
                <w:szCs w:val="20"/>
                <w:lang w:eastAsia="en-AU"/>
              </w:rPr>
            </w:pPr>
            <w:r w:rsidRPr="00B16E6B">
              <w:rPr>
                <w:rFonts w:cs="Arial"/>
                <w:b/>
                <w:sz w:val="20"/>
                <w:szCs w:val="20"/>
              </w:rPr>
              <w:t>DP World cyber-attack (2023)</w:t>
            </w:r>
            <w:r w:rsidRPr="00B16E6B">
              <w:rPr>
                <w:rStyle w:val="FootnoteReference"/>
                <w:rFonts w:cs="Arial"/>
                <w:b/>
                <w:sz w:val="20"/>
                <w:szCs w:val="20"/>
              </w:rPr>
              <w:footnoteReference w:id="30"/>
            </w:r>
          </w:p>
        </w:tc>
        <w:tc>
          <w:tcPr>
            <w:tcW w:w="2550" w:type="dxa"/>
            <w:tcBorders>
              <w:top w:val="single" w:sz="4" w:space="0" w:color="BFBFBF" w:themeColor="background1" w:themeShade="BF"/>
              <w:left w:val="nil"/>
              <w:bottom w:val="single" w:sz="6" w:space="0" w:color="BFBFBF"/>
              <w:right w:val="nil"/>
            </w:tcBorders>
            <w:shd w:val="clear" w:color="auto" w:fill="1C2B39" w:themeFill="accent1"/>
            <w:vAlign w:val="center"/>
            <w:hideMark/>
          </w:tcPr>
          <w:p w14:paraId="3C451ED6" w14:textId="77777777" w:rsidR="00F3405B" w:rsidRPr="00B16E6B" w:rsidRDefault="00D145CC" w:rsidP="009613E1">
            <w:pPr>
              <w:spacing w:before="60" w:after="60" w:line="271" w:lineRule="auto"/>
              <w:textAlignment w:val="baseline"/>
              <w:rPr>
                <w:rFonts w:eastAsia="Times New Roman" w:cs="Times New Roman"/>
                <w:b/>
                <w:sz w:val="20"/>
                <w:szCs w:val="20"/>
                <w:lang w:eastAsia="en-AU"/>
              </w:rPr>
            </w:pPr>
            <w:r w:rsidRPr="00B16E6B">
              <w:rPr>
                <w:rFonts w:eastAsia="Times New Roman" w:cs="Arial"/>
                <w:b/>
                <w:bCs/>
                <w:sz w:val="20"/>
                <w:szCs w:val="20"/>
                <w:lang w:val="en-US" w:eastAsia="en-AU"/>
              </w:rPr>
              <w:t>Cyber</w:t>
            </w:r>
          </w:p>
          <w:p w14:paraId="42BCC54B" w14:textId="77777777" w:rsidR="00F3405B" w:rsidRPr="00B16E6B" w:rsidRDefault="00F3405B" w:rsidP="009613E1">
            <w:pPr>
              <w:spacing w:before="60" w:after="60" w:line="271" w:lineRule="auto"/>
              <w:textAlignment w:val="baseline"/>
              <w:rPr>
                <w:rFonts w:eastAsia="Times New Roman" w:cs="Times New Roman"/>
                <w:b/>
                <w:sz w:val="20"/>
                <w:szCs w:val="20"/>
                <w:lang w:eastAsia="en-AU"/>
              </w:rPr>
            </w:pPr>
            <w:r w:rsidRPr="00B16E6B">
              <w:rPr>
                <w:rFonts w:eastAsia="Times New Roman" w:cs="Arial"/>
                <w:b/>
                <w:bCs/>
                <w:sz w:val="20"/>
                <w:szCs w:val="20"/>
                <w:lang w:val="en-US" w:eastAsia="en-AU"/>
              </w:rPr>
              <w:t>Supply chain</w:t>
            </w:r>
            <w:r w:rsidRPr="00B16E6B">
              <w:rPr>
                <w:rFonts w:eastAsia="Times New Roman" w:cs="Arial"/>
                <w:b/>
                <w:bCs/>
                <w:sz w:val="20"/>
                <w:szCs w:val="20"/>
                <w:lang w:eastAsia="en-AU"/>
              </w:rPr>
              <w:t> </w:t>
            </w:r>
          </w:p>
        </w:tc>
      </w:tr>
      <w:tr w:rsidR="00F3405B" w:rsidRPr="00B16E6B" w14:paraId="44855A42" w14:textId="77777777" w:rsidTr="009C568E">
        <w:trPr>
          <w:trHeight w:val="300"/>
        </w:trPr>
        <w:tc>
          <w:tcPr>
            <w:tcW w:w="9015" w:type="dxa"/>
            <w:gridSpan w:val="2"/>
            <w:tcBorders>
              <w:top w:val="single" w:sz="6" w:space="0" w:color="BFBFBF"/>
              <w:left w:val="nil"/>
              <w:bottom w:val="single" w:sz="6" w:space="0" w:color="BFBFBF"/>
              <w:right w:val="nil"/>
            </w:tcBorders>
            <w:hideMark/>
          </w:tcPr>
          <w:p w14:paraId="44DF45CB" w14:textId="583123EB" w:rsidR="00F3405B" w:rsidRPr="00B16E6B" w:rsidRDefault="00F3405B" w:rsidP="009613E1">
            <w:pPr>
              <w:spacing w:before="120" w:after="120" w:line="271" w:lineRule="auto"/>
              <w:textAlignment w:val="baseline"/>
              <w:rPr>
                <w:rFonts w:eastAsia="Times New Roman" w:cs="Times New Roman"/>
                <w:color w:val="000000"/>
                <w:sz w:val="20"/>
                <w:szCs w:val="20"/>
                <w:lang w:eastAsia="en-AU"/>
              </w:rPr>
            </w:pPr>
            <w:r w:rsidRPr="00B16E6B">
              <w:rPr>
                <w:rFonts w:eastAsia="Times New Roman" w:cs="Arial"/>
                <w:b/>
                <w:bCs/>
                <w:color w:val="000000"/>
                <w:sz w:val="20"/>
                <w:szCs w:val="20"/>
                <w:lang w:val="en-US" w:eastAsia="en-AU"/>
              </w:rPr>
              <w:t>Situation</w:t>
            </w:r>
            <w:r w:rsidRPr="00B16E6B">
              <w:rPr>
                <w:rFonts w:eastAsia="Times New Roman" w:cs="Arial"/>
                <w:color w:val="000000"/>
                <w:sz w:val="20"/>
                <w:szCs w:val="20"/>
                <w:lang w:val="en-US" w:eastAsia="en-AU"/>
              </w:rPr>
              <w:t xml:space="preserve">: DP World, a major logistics company with operations in Australia, experienced an interruption at </w:t>
            </w:r>
            <w:r w:rsidR="00774379" w:rsidRPr="00B16E6B">
              <w:rPr>
                <w:rFonts w:eastAsia="Times New Roman" w:cs="Arial"/>
                <w:color w:val="000000"/>
                <w:sz w:val="20"/>
                <w:szCs w:val="20"/>
                <w:lang w:val="en-US" w:eastAsia="en-AU"/>
              </w:rPr>
              <w:t xml:space="preserve">4 </w:t>
            </w:r>
            <w:r w:rsidRPr="00B16E6B">
              <w:rPr>
                <w:rFonts w:eastAsia="Times New Roman" w:cs="Arial"/>
                <w:color w:val="000000"/>
                <w:sz w:val="20"/>
                <w:szCs w:val="20"/>
                <w:lang w:val="en-US" w:eastAsia="en-AU"/>
              </w:rPr>
              <w:t>of its Australian container terminals due to an exploited vulnerability in the company’s IT systems. To limit the spread of the breach once detected, the operator disconnected all on-land networks, resulting in an inaccessible landside area for freight vehicles. </w:t>
            </w:r>
            <w:r w:rsidRPr="00B16E6B">
              <w:rPr>
                <w:rFonts w:eastAsia="Times New Roman" w:cs="Arial"/>
                <w:color w:val="000000"/>
                <w:sz w:val="20"/>
                <w:szCs w:val="20"/>
                <w:lang w:eastAsia="en-AU"/>
              </w:rPr>
              <w:t> </w:t>
            </w:r>
          </w:p>
        </w:tc>
      </w:tr>
      <w:tr w:rsidR="00F3405B" w:rsidRPr="00B16E6B" w14:paraId="36D68B4A" w14:textId="77777777" w:rsidTr="009C568E">
        <w:trPr>
          <w:trHeight w:val="300"/>
        </w:trPr>
        <w:tc>
          <w:tcPr>
            <w:tcW w:w="9015" w:type="dxa"/>
            <w:gridSpan w:val="2"/>
            <w:tcBorders>
              <w:top w:val="single" w:sz="6" w:space="0" w:color="BFBFBF"/>
              <w:left w:val="nil"/>
              <w:bottom w:val="single" w:sz="6" w:space="0" w:color="BFBFBF"/>
              <w:right w:val="nil"/>
            </w:tcBorders>
            <w:shd w:val="clear" w:color="auto" w:fill="F2F2F2"/>
            <w:hideMark/>
          </w:tcPr>
          <w:p w14:paraId="4AE463D4" w14:textId="77777777" w:rsidR="00F3405B" w:rsidRPr="00B16E6B" w:rsidRDefault="00F3405B" w:rsidP="009613E1">
            <w:pPr>
              <w:spacing w:before="120" w:after="120" w:line="271" w:lineRule="auto"/>
              <w:textAlignment w:val="baseline"/>
              <w:rPr>
                <w:rFonts w:eastAsia="Times New Roman" w:cs="Times New Roman"/>
                <w:color w:val="000000"/>
                <w:sz w:val="20"/>
                <w:szCs w:val="20"/>
                <w:lang w:eastAsia="en-AU"/>
              </w:rPr>
            </w:pPr>
            <w:r w:rsidRPr="00B16E6B">
              <w:rPr>
                <w:rFonts w:eastAsia="Times New Roman" w:cs="Arial"/>
                <w:b/>
                <w:bCs/>
                <w:color w:val="000000"/>
                <w:sz w:val="20"/>
                <w:szCs w:val="20"/>
                <w:lang w:val="en-US" w:eastAsia="en-AU"/>
              </w:rPr>
              <w:t>Outcome</w:t>
            </w:r>
            <w:r w:rsidRPr="00B16E6B">
              <w:rPr>
                <w:rFonts w:eastAsia="Times New Roman" w:cs="Arial"/>
                <w:color w:val="000000"/>
                <w:sz w:val="20"/>
                <w:szCs w:val="20"/>
                <w:lang w:val="en-US" w:eastAsia="en-AU"/>
              </w:rPr>
              <w:t xml:space="preserve">: The affected container terminals are responsible for 40% of Australia’s imports and exports. Operations were disabled for several days. Over this period, some 30,000 </w:t>
            </w:r>
            <w:r w:rsidR="00D145CC" w:rsidRPr="00B16E6B">
              <w:rPr>
                <w:rFonts w:eastAsia="Times New Roman" w:cs="Arial"/>
                <w:color w:val="000000"/>
                <w:sz w:val="20"/>
                <w:szCs w:val="20"/>
                <w:lang w:val="en-US" w:eastAsia="en-AU"/>
              </w:rPr>
              <w:t>twenty-foot equivalent units</w:t>
            </w:r>
            <w:r w:rsidRPr="00B16E6B">
              <w:rPr>
                <w:rFonts w:eastAsia="Times New Roman" w:cs="Arial"/>
                <w:color w:val="000000"/>
                <w:sz w:val="20"/>
                <w:szCs w:val="20"/>
                <w:lang w:val="en-US" w:eastAsia="en-AU"/>
              </w:rPr>
              <w:t xml:space="preserve"> of containers were idle across the country. </w:t>
            </w:r>
            <w:r w:rsidR="00636E0E" w:rsidRPr="00B16E6B">
              <w:rPr>
                <w:rFonts w:eastAsia="Times New Roman" w:cs="Arial"/>
                <w:color w:val="000000"/>
                <w:sz w:val="20"/>
                <w:szCs w:val="20"/>
                <w:lang w:val="en-US" w:eastAsia="en-AU"/>
              </w:rPr>
              <w:t>The outage resulted</w:t>
            </w:r>
            <w:r w:rsidR="00D145CC" w:rsidRPr="00B16E6B">
              <w:rPr>
                <w:rFonts w:eastAsia="Times New Roman" w:cs="Arial"/>
                <w:color w:val="000000"/>
                <w:sz w:val="20"/>
                <w:szCs w:val="20"/>
                <w:lang w:val="en-US" w:eastAsia="en-AU"/>
              </w:rPr>
              <w:t xml:space="preserve"> in many sectors and consumers having been negatively impacted by the downstream supply chain consequences associated with the affected terminals. </w:t>
            </w:r>
            <w:r w:rsidR="00D145CC" w:rsidRPr="00B16E6B">
              <w:rPr>
                <w:rFonts w:eastAsia="Times New Roman" w:cs="Arial"/>
                <w:color w:val="000000"/>
                <w:sz w:val="20"/>
                <w:szCs w:val="20"/>
                <w:lang w:eastAsia="en-AU"/>
              </w:rPr>
              <w:t> </w:t>
            </w:r>
          </w:p>
        </w:tc>
      </w:tr>
      <w:tr w:rsidR="00F3405B" w:rsidRPr="00B16E6B" w14:paraId="298F923E" w14:textId="77777777" w:rsidTr="009C568E">
        <w:trPr>
          <w:trHeight w:val="300"/>
        </w:trPr>
        <w:tc>
          <w:tcPr>
            <w:tcW w:w="9015" w:type="dxa"/>
            <w:gridSpan w:val="2"/>
            <w:tcBorders>
              <w:top w:val="single" w:sz="6" w:space="0" w:color="BFBFBF"/>
              <w:left w:val="nil"/>
              <w:bottom w:val="single" w:sz="6" w:space="0" w:color="BFBFBF"/>
              <w:right w:val="nil"/>
            </w:tcBorders>
            <w:hideMark/>
          </w:tcPr>
          <w:p w14:paraId="5FAA7677" w14:textId="6442AE64" w:rsidR="00F3405B" w:rsidRPr="00B16E6B" w:rsidRDefault="00F3405B" w:rsidP="009613E1">
            <w:pPr>
              <w:spacing w:before="120" w:after="120" w:line="271" w:lineRule="auto"/>
              <w:textAlignment w:val="baseline"/>
              <w:rPr>
                <w:rFonts w:eastAsia="Times New Roman" w:cs="Times New Roman"/>
                <w:color w:val="000000"/>
                <w:sz w:val="20"/>
                <w:szCs w:val="20"/>
                <w:lang w:eastAsia="en-AU"/>
              </w:rPr>
            </w:pPr>
            <w:r w:rsidRPr="00B16E6B">
              <w:rPr>
                <w:rFonts w:eastAsia="Times New Roman" w:cs="Arial"/>
                <w:b/>
                <w:bCs/>
                <w:color w:val="000000"/>
                <w:sz w:val="20"/>
                <w:szCs w:val="20"/>
                <w:lang w:val="en-US" w:eastAsia="en-AU"/>
              </w:rPr>
              <w:t>Identified</w:t>
            </w:r>
            <w:r w:rsidRPr="00B16E6B">
              <w:rPr>
                <w:rFonts w:eastAsia="Times New Roman" w:cs="Arial"/>
                <w:color w:val="000000"/>
                <w:sz w:val="20"/>
                <w:szCs w:val="20"/>
                <w:lang w:val="en-US" w:eastAsia="en-AU"/>
              </w:rPr>
              <w:t xml:space="preserve"> </w:t>
            </w:r>
            <w:r w:rsidR="002F409B" w:rsidRPr="00B16E6B">
              <w:rPr>
                <w:rFonts w:eastAsia="Times New Roman" w:cs="Arial"/>
                <w:b/>
                <w:bCs/>
                <w:color w:val="000000"/>
                <w:sz w:val="20"/>
                <w:szCs w:val="20"/>
                <w:lang w:val="en-US" w:eastAsia="en-AU"/>
              </w:rPr>
              <w:t>g</w:t>
            </w:r>
            <w:r w:rsidRPr="00B16E6B">
              <w:rPr>
                <w:rFonts w:eastAsia="Times New Roman" w:cs="Arial"/>
                <w:b/>
                <w:bCs/>
                <w:color w:val="000000"/>
                <w:sz w:val="20"/>
                <w:szCs w:val="20"/>
                <w:lang w:val="en-US" w:eastAsia="en-AU"/>
              </w:rPr>
              <w:t>ap</w:t>
            </w:r>
            <w:r w:rsidRPr="00B16E6B">
              <w:rPr>
                <w:rFonts w:eastAsia="Times New Roman" w:cs="Arial"/>
                <w:color w:val="000000"/>
                <w:sz w:val="20"/>
                <w:szCs w:val="20"/>
                <w:lang w:val="en-US" w:eastAsia="en-AU"/>
              </w:rPr>
              <w:t>: The vulnerability exploited in this circumstance was a well-known bug in the operator’s Citrix software. The patch to fix this bug was available to the operator but had not yet been installed. This case study demonstrates th</w:t>
            </w:r>
            <w:r w:rsidR="00E571D2" w:rsidRPr="00B16E6B">
              <w:rPr>
                <w:rFonts w:eastAsia="Times New Roman" w:cs="Arial"/>
                <w:color w:val="000000"/>
                <w:sz w:val="20"/>
                <w:szCs w:val="20"/>
                <w:lang w:val="en-US" w:eastAsia="en-AU"/>
              </w:rPr>
              <w:t xml:space="preserve">at entities should </w:t>
            </w:r>
            <w:proofErr w:type="spellStart"/>
            <w:r w:rsidR="00636E0E" w:rsidRPr="00B16E6B">
              <w:rPr>
                <w:rFonts w:eastAsia="Times New Roman" w:cs="Arial"/>
                <w:color w:val="000000"/>
                <w:sz w:val="20"/>
                <w:szCs w:val="20"/>
                <w:lang w:val="en-US" w:eastAsia="en-AU"/>
              </w:rPr>
              <w:t>prioritise</w:t>
            </w:r>
            <w:proofErr w:type="spellEnd"/>
            <w:r w:rsidR="00636E0E" w:rsidRPr="00B16E6B">
              <w:rPr>
                <w:rFonts w:eastAsia="Times New Roman" w:cs="Arial"/>
                <w:color w:val="000000"/>
                <w:sz w:val="20"/>
                <w:szCs w:val="20"/>
                <w:lang w:val="en-US" w:eastAsia="en-AU"/>
              </w:rPr>
              <w:t xml:space="preserve"> implementing</w:t>
            </w:r>
            <w:r w:rsidRPr="00B16E6B">
              <w:rPr>
                <w:rFonts w:eastAsia="Times New Roman" w:cs="Arial"/>
                <w:color w:val="000000"/>
                <w:sz w:val="20"/>
                <w:szCs w:val="20"/>
                <w:lang w:val="en-US" w:eastAsia="en-AU"/>
              </w:rPr>
              <w:t xml:space="preserve"> cyber security miti</w:t>
            </w:r>
            <w:r w:rsidR="00F37399" w:rsidRPr="00B16E6B">
              <w:rPr>
                <w:rFonts w:eastAsia="Times New Roman" w:cs="Arial"/>
                <w:color w:val="000000"/>
                <w:sz w:val="20"/>
                <w:szCs w:val="20"/>
                <w:lang w:val="en-US" w:eastAsia="en-AU"/>
              </w:rPr>
              <w:t xml:space="preserve">gation strategies and programs </w:t>
            </w:r>
            <w:r w:rsidRPr="00B16E6B">
              <w:rPr>
                <w:rFonts w:eastAsia="Times New Roman" w:cs="Arial"/>
                <w:color w:val="000000"/>
                <w:sz w:val="20"/>
                <w:szCs w:val="20"/>
                <w:lang w:val="en-US" w:eastAsia="en-AU"/>
              </w:rPr>
              <w:t xml:space="preserve">to </w:t>
            </w:r>
            <w:r w:rsidR="00F37399" w:rsidRPr="00B16E6B">
              <w:rPr>
                <w:rFonts w:eastAsia="Times New Roman" w:cs="Arial"/>
                <w:color w:val="000000"/>
                <w:sz w:val="20"/>
                <w:szCs w:val="20"/>
                <w:lang w:val="en-US" w:eastAsia="en-AU"/>
              </w:rPr>
              <w:t xml:space="preserve">best protect </w:t>
            </w:r>
            <w:r w:rsidR="00E571D2" w:rsidRPr="00B16E6B">
              <w:rPr>
                <w:rFonts w:eastAsia="Times New Roman" w:cs="Arial"/>
                <w:color w:val="000000"/>
                <w:sz w:val="20"/>
                <w:szCs w:val="20"/>
                <w:lang w:val="en-US" w:eastAsia="en-AU"/>
              </w:rPr>
              <w:t xml:space="preserve">themselves </w:t>
            </w:r>
            <w:r w:rsidR="00F37399" w:rsidRPr="00B16E6B">
              <w:rPr>
                <w:rFonts w:eastAsia="Times New Roman" w:cs="Arial"/>
                <w:color w:val="000000"/>
                <w:sz w:val="20"/>
                <w:szCs w:val="20"/>
                <w:lang w:val="en-US" w:eastAsia="en-AU"/>
              </w:rPr>
              <w:t xml:space="preserve">against </w:t>
            </w:r>
            <w:r w:rsidRPr="00B16E6B">
              <w:rPr>
                <w:rFonts w:eastAsia="Times New Roman" w:cs="Arial"/>
                <w:color w:val="000000"/>
                <w:sz w:val="20"/>
                <w:szCs w:val="20"/>
                <w:lang w:val="en-US" w:eastAsia="en-AU"/>
              </w:rPr>
              <w:t>a cyber incident. </w:t>
            </w:r>
            <w:r w:rsidRPr="00B16E6B">
              <w:rPr>
                <w:rFonts w:eastAsia="Times New Roman" w:cs="Arial"/>
                <w:color w:val="000000"/>
                <w:sz w:val="20"/>
                <w:szCs w:val="20"/>
                <w:lang w:eastAsia="en-AU"/>
              </w:rPr>
              <w:t> </w:t>
            </w:r>
          </w:p>
        </w:tc>
      </w:tr>
    </w:tbl>
    <w:p w14:paraId="03EA144B" w14:textId="77777777" w:rsidR="00A40F90" w:rsidRPr="00B16E6B" w:rsidRDefault="00A40F90" w:rsidP="009613E1">
      <w:pPr>
        <w:spacing w:after="200" w:line="271" w:lineRule="auto"/>
        <w:rPr>
          <w:rFonts w:eastAsia="Times New Roman" w:cs="Arial"/>
          <w:szCs w:val="22"/>
          <w:lang w:eastAsia="en-AU"/>
        </w:rPr>
      </w:pPr>
      <w:r w:rsidRPr="00B16E6B">
        <w:rPr>
          <w:rFonts w:eastAsia="Times New Roman" w:cs="Arial"/>
          <w:szCs w:val="22"/>
          <w:lang w:eastAsia="en-AU"/>
        </w:rPr>
        <w:br w:type="page"/>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5"/>
        <w:gridCol w:w="2550"/>
      </w:tblGrid>
      <w:tr w:rsidR="00A40F90" w:rsidRPr="00B16E6B" w14:paraId="74E2C4DA" w14:textId="77777777" w:rsidTr="00865D73">
        <w:trPr>
          <w:trHeight w:val="300"/>
        </w:trPr>
        <w:tc>
          <w:tcPr>
            <w:tcW w:w="6465" w:type="dxa"/>
            <w:tcBorders>
              <w:top w:val="single" w:sz="4" w:space="0" w:color="BFBFBF" w:themeColor="background2" w:themeShade="BF"/>
              <w:left w:val="nil"/>
              <w:bottom w:val="single" w:sz="6" w:space="0" w:color="BFBFBF"/>
              <w:right w:val="nil"/>
            </w:tcBorders>
            <w:shd w:val="clear" w:color="auto" w:fill="1C2B39" w:themeFill="accent1"/>
            <w:hideMark/>
          </w:tcPr>
          <w:p w14:paraId="46192476" w14:textId="77777777" w:rsidR="00A40F90" w:rsidRPr="00B16E6B" w:rsidRDefault="00A40F90" w:rsidP="009613E1">
            <w:pPr>
              <w:spacing w:before="120" w:after="120" w:line="271" w:lineRule="auto"/>
              <w:textAlignment w:val="baseline"/>
              <w:rPr>
                <w:rFonts w:eastAsia="Times New Roman" w:cs="Times New Roman"/>
                <w:sz w:val="20"/>
                <w:szCs w:val="20"/>
                <w:lang w:eastAsia="en-AU"/>
              </w:rPr>
            </w:pPr>
            <w:r w:rsidRPr="00B16E6B">
              <w:rPr>
                <w:rFonts w:cs="Arial"/>
                <w:b/>
                <w:sz w:val="20"/>
                <w:szCs w:val="20"/>
              </w:rPr>
              <w:lastRenderedPageBreak/>
              <w:t>Cyber-attacks target aviation in groups (2022-23)</w:t>
            </w:r>
            <w:r w:rsidRPr="00B16E6B">
              <w:rPr>
                <w:rStyle w:val="FootnoteReference"/>
                <w:rFonts w:cs="Arial"/>
                <w:b/>
                <w:sz w:val="20"/>
                <w:szCs w:val="20"/>
              </w:rPr>
              <w:footnoteReference w:id="31"/>
            </w:r>
          </w:p>
        </w:tc>
        <w:tc>
          <w:tcPr>
            <w:tcW w:w="2550" w:type="dxa"/>
            <w:tcBorders>
              <w:top w:val="single" w:sz="4" w:space="0" w:color="BFBFBF" w:themeColor="background1" w:themeShade="BF"/>
              <w:left w:val="nil"/>
              <w:bottom w:val="single" w:sz="6" w:space="0" w:color="BFBFBF"/>
              <w:right w:val="nil"/>
            </w:tcBorders>
            <w:shd w:val="clear" w:color="auto" w:fill="1C2B39" w:themeFill="accent1"/>
            <w:vAlign w:val="center"/>
            <w:hideMark/>
          </w:tcPr>
          <w:p w14:paraId="4D98AAF1" w14:textId="77777777" w:rsidR="00A40F90" w:rsidRPr="00B16E6B" w:rsidRDefault="00A40F90" w:rsidP="009613E1">
            <w:pPr>
              <w:spacing w:before="120" w:after="120" w:line="271" w:lineRule="auto"/>
              <w:textAlignment w:val="baseline"/>
              <w:rPr>
                <w:rFonts w:eastAsia="Times New Roman" w:cs="Times New Roman"/>
                <w:b/>
                <w:sz w:val="20"/>
                <w:szCs w:val="20"/>
                <w:lang w:eastAsia="en-AU"/>
              </w:rPr>
            </w:pPr>
            <w:r w:rsidRPr="00B16E6B">
              <w:rPr>
                <w:rFonts w:eastAsia="Times New Roman" w:cs="Arial"/>
                <w:b/>
                <w:bCs/>
                <w:sz w:val="20"/>
                <w:szCs w:val="20"/>
                <w:lang w:val="en-US" w:eastAsia="en-AU"/>
              </w:rPr>
              <w:t>Cyber </w:t>
            </w:r>
            <w:r w:rsidRPr="00B16E6B">
              <w:rPr>
                <w:rFonts w:eastAsia="Times New Roman" w:cs="Arial"/>
                <w:b/>
                <w:bCs/>
                <w:sz w:val="20"/>
                <w:szCs w:val="20"/>
                <w:lang w:eastAsia="en-AU"/>
              </w:rPr>
              <w:t> </w:t>
            </w:r>
          </w:p>
        </w:tc>
      </w:tr>
      <w:tr w:rsidR="00A40F90" w:rsidRPr="00B16E6B" w14:paraId="2C6839BD" w14:textId="77777777" w:rsidTr="00A40F90">
        <w:trPr>
          <w:trHeight w:val="300"/>
        </w:trPr>
        <w:tc>
          <w:tcPr>
            <w:tcW w:w="9015" w:type="dxa"/>
            <w:gridSpan w:val="2"/>
            <w:tcBorders>
              <w:top w:val="single" w:sz="6" w:space="0" w:color="BFBFBF"/>
              <w:left w:val="nil"/>
              <w:bottom w:val="single" w:sz="6" w:space="0" w:color="BFBFBF"/>
              <w:right w:val="nil"/>
            </w:tcBorders>
            <w:hideMark/>
          </w:tcPr>
          <w:p w14:paraId="3AA6CF37" w14:textId="4649DCF6" w:rsidR="00A40F90" w:rsidRPr="00B16E6B" w:rsidRDefault="00A40F90" w:rsidP="009613E1">
            <w:pPr>
              <w:spacing w:before="120" w:after="120" w:line="271" w:lineRule="auto"/>
              <w:textAlignment w:val="baseline"/>
              <w:rPr>
                <w:rFonts w:eastAsia="Times New Roman" w:cs="Times New Roman"/>
                <w:color w:val="000000"/>
                <w:sz w:val="20"/>
                <w:szCs w:val="20"/>
                <w:lang w:eastAsia="en-AU"/>
              </w:rPr>
            </w:pPr>
            <w:r w:rsidRPr="00B16E6B">
              <w:rPr>
                <w:rFonts w:eastAsia="Times New Roman" w:cs="Arial"/>
                <w:b/>
                <w:bCs/>
                <w:color w:val="000000"/>
                <w:sz w:val="20"/>
                <w:szCs w:val="20"/>
                <w:lang w:val="en-US" w:eastAsia="en-AU"/>
              </w:rPr>
              <w:t>Situation</w:t>
            </w:r>
            <w:r w:rsidRPr="00B16E6B">
              <w:rPr>
                <w:rFonts w:eastAsia="Times New Roman" w:cs="Arial"/>
                <w:color w:val="000000"/>
                <w:sz w:val="20"/>
                <w:szCs w:val="20"/>
                <w:lang w:val="en-US" w:eastAsia="en-AU"/>
              </w:rPr>
              <w:t>: Recent trends sho</w:t>
            </w:r>
            <w:r w:rsidR="00A32EB4" w:rsidRPr="00B16E6B">
              <w:rPr>
                <w:rFonts w:eastAsia="Times New Roman" w:cs="Arial"/>
                <w:color w:val="000000"/>
                <w:sz w:val="20"/>
                <w:szCs w:val="20"/>
                <w:lang w:val="en-US" w:eastAsia="en-AU"/>
              </w:rPr>
              <w:t>w multiple aviation entities</w:t>
            </w:r>
            <w:r w:rsidR="00DA5B83" w:rsidRPr="00B16E6B">
              <w:rPr>
                <w:rFonts w:eastAsia="Times New Roman" w:cs="Arial"/>
                <w:color w:val="000000"/>
                <w:sz w:val="20"/>
                <w:szCs w:val="20"/>
                <w:lang w:val="en-US" w:eastAsia="en-AU"/>
              </w:rPr>
              <w:t xml:space="preserve"> being targeted by cyber</w:t>
            </w:r>
            <w:r w:rsidRPr="00B16E6B">
              <w:rPr>
                <w:rFonts w:eastAsia="Times New Roman" w:cs="Arial"/>
                <w:color w:val="000000"/>
                <w:sz w:val="20"/>
                <w:szCs w:val="20"/>
                <w:lang w:val="en-US" w:eastAsia="en-AU"/>
              </w:rPr>
              <w:t xml:space="preserve">attacks simultaneously. Attacking aviation entities in targeted groupings disrupts the nation’s aviation sector </w:t>
            </w:r>
            <w:r w:rsidR="00A32EB4" w:rsidRPr="00B16E6B">
              <w:rPr>
                <w:rFonts w:eastAsia="Times New Roman" w:cs="Arial"/>
                <w:color w:val="000000"/>
                <w:sz w:val="20"/>
                <w:szCs w:val="20"/>
                <w:lang w:val="en-US" w:eastAsia="en-AU"/>
              </w:rPr>
              <w:t xml:space="preserve">holistically. In 2023, </w:t>
            </w:r>
            <w:r w:rsidRPr="00B16E6B">
              <w:rPr>
                <w:rFonts w:eastAsia="Times New Roman" w:cs="Arial"/>
                <w:color w:val="000000"/>
                <w:sz w:val="20"/>
                <w:szCs w:val="20"/>
                <w:lang w:val="en-US" w:eastAsia="en-AU"/>
              </w:rPr>
              <w:t>airports in Canada experienced outages at check-in kiosks and electronic gates as the result of DDoS attacks.</w:t>
            </w:r>
            <w:r w:rsidR="00D145CC" w:rsidRPr="00B16E6B">
              <w:rPr>
                <w:rFonts w:eastAsia="Times New Roman" w:cs="Arial"/>
                <w:color w:val="000000"/>
                <w:sz w:val="20"/>
                <w:szCs w:val="20"/>
                <w:lang w:val="en-US" w:eastAsia="en-AU"/>
              </w:rPr>
              <w:t xml:space="preserve"> </w:t>
            </w:r>
            <w:r w:rsidRPr="00B16E6B">
              <w:rPr>
                <w:rFonts w:eastAsia="Times New Roman" w:cs="Arial"/>
                <w:color w:val="000000"/>
                <w:sz w:val="20"/>
                <w:szCs w:val="20"/>
                <w:lang w:val="en-US" w:eastAsia="en-AU"/>
              </w:rPr>
              <w:t>In the United States in 2022, 14 major airports had their we</w:t>
            </w:r>
            <w:r w:rsidR="00A32EB4" w:rsidRPr="00B16E6B">
              <w:rPr>
                <w:rFonts w:eastAsia="Times New Roman" w:cs="Arial"/>
                <w:color w:val="000000"/>
                <w:sz w:val="20"/>
                <w:szCs w:val="20"/>
                <w:lang w:val="en-US" w:eastAsia="en-AU"/>
              </w:rPr>
              <w:t>bsites disabled concurrently</w:t>
            </w:r>
            <w:r w:rsidRPr="00B16E6B">
              <w:rPr>
                <w:rFonts w:eastAsia="Times New Roman" w:cs="Arial"/>
                <w:color w:val="000000"/>
                <w:sz w:val="20"/>
                <w:szCs w:val="20"/>
                <w:lang w:val="en-US" w:eastAsia="en-AU"/>
              </w:rPr>
              <w:t>, and in Germany in 2023, seven airports experienced unanimous disruptions to the delivery of their information services.</w:t>
            </w:r>
          </w:p>
        </w:tc>
      </w:tr>
      <w:tr w:rsidR="00A40F90" w:rsidRPr="00B16E6B" w14:paraId="68EC06AF" w14:textId="77777777" w:rsidTr="00A32EB4">
        <w:trPr>
          <w:trHeight w:val="300"/>
        </w:trPr>
        <w:tc>
          <w:tcPr>
            <w:tcW w:w="9015" w:type="dxa"/>
            <w:gridSpan w:val="2"/>
            <w:tcBorders>
              <w:top w:val="single" w:sz="6" w:space="0" w:color="BFBFBF"/>
              <w:left w:val="nil"/>
              <w:bottom w:val="single" w:sz="6" w:space="0" w:color="BFBFBF"/>
              <w:right w:val="nil"/>
            </w:tcBorders>
            <w:shd w:val="clear" w:color="auto" w:fill="F2F2F2"/>
            <w:hideMark/>
          </w:tcPr>
          <w:p w14:paraId="357BC973" w14:textId="77777777" w:rsidR="00A40F90" w:rsidRPr="00B16E6B" w:rsidRDefault="00A40F90" w:rsidP="009613E1">
            <w:pPr>
              <w:spacing w:before="120" w:after="120" w:line="271" w:lineRule="auto"/>
              <w:textAlignment w:val="baseline"/>
              <w:rPr>
                <w:rFonts w:eastAsia="Times New Roman" w:cs="Times New Roman"/>
                <w:color w:val="000000"/>
                <w:sz w:val="20"/>
                <w:szCs w:val="20"/>
                <w:lang w:eastAsia="en-AU"/>
              </w:rPr>
            </w:pPr>
            <w:r w:rsidRPr="00B16E6B">
              <w:rPr>
                <w:rFonts w:eastAsia="Times New Roman" w:cs="Arial"/>
                <w:b/>
                <w:bCs/>
                <w:color w:val="000000"/>
                <w:sz w:val="20"/>
                <w:szCs w:val="20"/>
                <w:lang w:val="en-US" w:eastAsia="en-AU"/>
              </w:rPr>
              <w:t>Outcome</w:t>
            </w:r>
            <w:r w:rsidRPr="00B16E6B">
              <w:rPr>
                <w:rFonts w:eastAsia="Times New Roman" w:cs="Arial"/>
                <w:color w:val="000000"/>
                <w:sz w:val="20"/>
                <w:szCs w:val="20"/>
                <w:lang w:val="en-US" w:eastAsia="en-AU"/>
              </w:rPr>
              <w:t xml:space="preserve">: State sponsored actors claimed responsibility for all </w:t>
            </w:r>
            <w:r w:rsidR="00083367" w:rsidRPr="00B16E6B">
              <w:rPr>
                <w:rFonts w:eastAsia="Times New Roman" w:cs="Arial"/>
                <w:color w:val="000000"/>
                <w:sz w:val="20"/>
                <w:szCs w:val="20"/>
                <w:lang w:val="en-US" w:eastAsia="en-AU"/>
              </w:rPr>
              <w:t xml:space="preserve">3 </w:t>
            </w:r>
            <w:r w:rsidRPr="00B16E6B">
              <w:rPr>
                <w:rFonts w:eastAsia="Times New Roman" w:cs="Arial"/>
                <w:color w:val="000000"/>
                <w:sz w:val="20"/>
                <w:szCs w:val="20"/>
                <w:lang w:val="en-US" w:eastAsia="en-AU"/>
              </w:rPr>
              <w:t xml:space="preserve">incidents. In all </w:t>
            </w:r>
            <w:r w:rsidR="00083367" w:rsidRPr="00B16E6B">
              <w:rPr>
                <w:rFonts w:eastAsia="Times New Roman" w:cs="Arial"/>
                <w:color w:val="000000"/>
                <w:sz w:val="20"/>
                <w:szCs w:val="20"/>
                <w:lang w:val="en-US" w:eastAsia="en-AU"/>
              </w:rPr>
              <w:t xml:space="preserve">3 </w:t>
            </w:r>
            <w:r w:rsidRPr="00B16E6B">
              <w:rPr>
                <w:rFonts w:eastAsia="Times New Roman" w:cs="Arial"/>
                <w:color w:val="000000"/>
                <w:sz w:val="20"/>
                <w:szCs w:val="20"/>
                <w:lang w:val="en-US" w:eastAsia="en-AU"/>
              </w:rPr>
              <w:t xml:space="preserve">cases, operations were resumed on the day they occurred, and they caused no major one-off costs to the entity. However, all </w:t>
            </w:r>
            <w:r w:rsidR="00083367" w:rsidRPr="00B16E6B">
              <w:rPr>
                <w:rFonts w:eastAsia="Times New Roman" w:cs="Arial"/>
                <w:color w:val="000000"/>
                <w:sz w:val="20"/>
                <w:szCs w:val="20"/>
                <w:lang w:val="en-US" w:eastAsia="en-AU"/>
              </w:rPr>
              <w:t xml:space="preserve">3 </w:t>
            </w:r>
            <w:r w:rsidRPr="00B16E6B">
              <w:rPr>
                <w:rFonts w:eastAsia="Times New Roman" w:cs="Arial"/>
                <w:color w:val="000000"/>
                <w:sz w:val="20"/>
                <w:szCs w:val="20"/>
                <w:lang w:val="en-US" w:eastAsia="en-AU"/>
              </w:rPr>
              <w:t>circumstances resulted in delays or cancellations of flights towards or from the affected airports, creating a broader economic detriment to the nations they occurred within, as business and other people movements were disrupted.  </w:t>
            </w:r>
            <w:r w:rsidRPr="00B16E6B">
              <w:rPr>
                <w:rFonts w:eastAsia="Times New Roman" w:cs="Arial"/>
                <w:color w:val="000000"/>
                <w:sz w:val="20"/>
                <w:szCs w:val="20"/>
                <w:lang w:eastAsia="en-AU"/>
              </w:rPr>
              <w:t> </w:t>
            </w:r>
          </w:p>
        </w:tc>
      </w:tr>
      <w:tr w:rsidR="00A40F90" w:rsidRPr="00B16E6B" w14:paraId="63941203" w14:textId="77777777" w:rsidTr="00A32EB4">
        <w:trPr>
          <w:trHeight w:val="300"/>
        </w:trPr>
        <w:tc>
          <w:tcPr>
            <w:tcW w:w="9015" w:type="dxa"/>
            <w:gridSpan w:val="2"/>
            <w:tcBorders>
              <w:top w:val="single" w:sz="6" w:space="0" w:color="BFBFBF"/>
              <w:left w:val="nil"/>
              <w:bottom w:val="single" w:sz="4" w:space="0" w:color="BFBFBF" w:themeColor="background2" w:themeShade="BF"/>
              <w:right w:val="nil"/>
            </w:tcBorders>
            <w:hideMark/>
          </w:tcPr>
          <w:p w14:paraId="41C95379" w14:textId="4826BAEE" w:rsidR="00A32D09" w:rsidRPr="00B16E6B" w:rsidRDefault="00A40F90" w:rsidP="009613E1">
            <w:pPr>
              <w:spacing w:before="120" w:after="120" w:line="271" w:lineRule="auto"/>
              <w:textAlignment w:val="baseline"/>
              <w:rPr>
                <w:rFonts w:eastAsia="Times New Roman" w:cs="Arial"/>
                <w:color w:val="000000"/>
                <w:sz w:val="20"/>
                <w:szCs w:val="20"/>
                <w:lang w:eastAsia="en-AU"/>
              </w:rPr>
            </w:pPr>
            <w:r w:rsidRPr="00B16E6B">
              <w:rPr>
                <w:rFonts w:eastAsia="Times New Roman" w:cs="Arial"/>
                <w:b/>
                <w:bCs/>
                <w:color w:val="000000"/>
                <w:sz w:val="20"/>
                <w:szCs w:val="20"/>
                <w:lang w:val="en-US" w:eastAsia="en-AU"/>
              </w:rPr>
              <w:t xml:space="preserve">Identified </w:t>
            </w:r>
            <w:r w:rsidR="002F409B" w:rsidRPr="00B16E6B">
              <w:rPr>
                <w:rFonts w:eastAsia="Times New Roman" w:cs="Arial"/>
                <w:b/>
                <w:bCs/>
                <w:color w:val="000000"/>
                <w:sz w:val="20"/>
                <w:szCs w:val="20"/>
                <w:lang w:val="en-US" w:eastAsia="en-AU"/>
              </w:rPr>
              <w:t>g</w:t>
            </w:r>
            <w:r w:rsidRPr="00B16E6B">
              <w:rPr>
                <w:rFonts w:eastAsia="Times New Roman" w:cs="Arial"/>
                <w:b/>
                <w:bCs/>
                <w:color w:val="000000"/>
                <w:sz w:val="20"/>
                <w:szCs w:val="20"/>
                <w:lang w:val="en-US" w:eastAsia="en-AU"/>
              </w:rPr>
              <w:t>ap</w:t>
            </w:r>
            <w:r w:rsidRPr="00B16E6B">
              <w:rPr>
                <w:rFonts w:eastAsia="Times New Roman" w:cs="Arial"/>
                <w:color w:val="000000"/>
                <w:sz w:val="20"/>
                <w:szCs w:val="20"/>
                <w:lang w:val="en-US" w:eastAsia="en-AU"/>
              </w:rPr>
              <w:t>: Aviation entities are intrinsically interconnected both with each other and the functioning of a prosperous nation</w:t>
            </w:r>
            <w:r w:rsidR="00941A66" w:rsidRPr="00B16E6B">
              <w:rPr>
                <w:rFonts w:eastAsia="Times New Roman" w:cs="Arial"/>
                <w:color w:val="000000"/>
                <w:sz w:val="20"/>
                <w:szCs w:val="20"/>
                <w:lang w:val="en-US" w:eastAsia="en-AU"/>
              </w:rPr>
              <w:t>. S</w:t>
            </w:r>
            <w:r w:rsidRPr="00B16E6B">
              <w:rPr>
                <w:rFonts w:eastAsia="Times New Roman" w:cs="Arial"/>
                <w:color w:val="000000"/>
                <w:sz w:val="20"/>
                <w:szCs w:val="20"/>
                <w:lang w:val="en-US" w:eastAsia="en-AU"/>
              </w:rPr>
              <w:t xml:space="preserve">trengthening the resilience </w:t>
            </w:r>
            <w:r w:rsidR="00941A66" w:rsidRPr="00B16E6B">
              <w:rPr>
                <w:rFonts w:eastAsia="Times New Roman" w:cs="Arial"/>
                <w:color w:val="000000"/>
                <w:sz w:val="20"/>
                <w:szCs w:val="20"/>
                <w:lang w:val="en-US" w:eastAsia="en-AU"/>
              </w:rPr>
              <w:t xml:space="preserve">of the aviation sector </w:t>
            </w:r>
            <w:r w:rsidRPr="00B16E6B">
              <w:rPr>
                <w:rFonts w:eastAsia="Times New Roman" w:cs="Arial"/>
                <w:color w:val="000000"/>
                <w:sz w:val="20"/>
                <w:szCs w:val="20"/>
                <w:lang w:val="en-US" w:eastAsia="en-AU"/>
              </w:rPr>
              <w:t>to cyber threats can</w:t>
            </w:r>
            <w:r w:rsidR="00941A66" w:rsidRPr="00B16E6B">
              <w:rPr>
                <w:rFonts w:eastAsia="Times New Roman" w:cs="Arial"/>
                <w:color w:val="000000"/>
                <w:sz w:val="20"/>
                <w:szCs w:val="20"/>
                <w:lang w:val="en-US" w:eastAsia="en-AU"/>
              </w:rPr>
              <w:t xml:space="preserve"> significantly</w:t>
            </w:r>
            <w:r w:rsidRPr="00B16E6B">
              <w:rPr>
                <w:rFonts w:eastAsia="Times New Roman" w:cs="Arial"/>
                <w:color w:val="000000"/>
                <w:sz w:val="20"/>
                <w:szCs w:val="20"/>
                <w:lang w:val="en-US" w:eastAsia="en-AU"/>
              </w:rPr>
              <w:t xml:space="preserve"> reduce the consequences that might occur.  </w:t>
            </w:r>
            <w:r w:rsidRPr="00B16E6B">
              <w:rPr>
                <w:rFonts w:eastAsia="Times New Roman" w:cs="Arial"/>
                <w:color w:val="000000"/>
                <w:sz w:val="20"/>
                <w:szCs w:val="20"/>
                <w:lang w:eastAsia="en-AU"/>
              </w:rPr>
              <w:t> </w:t>
            </w:r>
          </w:p>
        </w:tc>
      </w:tr>
      <w:tr w:rsidR="00A32EB4" w:rsidRPr="00B16E6B" w14:paraId="5E9F1C2A" w14:textId="77777777" w:rsidTr="0049314B">
        <w:trPr>
          <w:trHeight w:val="300"/>
        </w:trPr>
        <w:tc>
          <w:tcPr>
            <w:tcW w:w="6465" w:type="dxa"/>
            <w:tcBorders>
              <w:top w:val="single" w:sz="4" w:space="0" w:color="BFBFBF" w:themeColor="background2" w:themeShade="BF"/>
              <w:left w:val="nil"/>
              <w:bottom w:val="single" w:sz="6" w:space="0" w:color="BFBFBF"/>
              <w:right w:val="nil"/>
            </w:tcBorders>
            <w:shd w:val="clear" w:color="auto" w:fill="FFFFFF" w:themeFill="background1"/>
            <w:vAlign w:val="center"/>
          </w:tcPr>
          <w:p w14:paraId="4283DAC0" w14:textId="77777777" w:rsidR="00A32EB4" w:rsidRPr="00B16E6B" w:rsidRDefault="00A32EB4" w:rsidP="009613E1">
            <w:pPr>
              <w:spacing w:after="0" w:line="271" w:lineRule="auto"/>
              <w:textAlignment w:val="baseline"/>
              <w:rPr>
                <w:rFonts w:eastAsia="Times New Roman" w:cs="Arial"/>
                <w:sz w:val="20"/>
                <w:szCs w:val="20"/>
                <w:lang w:eastAsia="en-AU"/>
              </w:rPr>
            </w:pPr>
          </w:p>
        </w:tc>
        <w:tc>
          <w:tcPr>
            <w:tcW w:w="2550" w:type="dxa"/>
            <w:tcBorders>
              <w:top w:val="single" w:sz="4" w:space="0" w:color="BFBFBF" w:themeColor="background2" w:themeShade="BF"/>
              <w:left w:val="nil"/>
              <w:bottom w:val="single" w:sz="6" w:space="0" w:color="BFBFBF"/>
              <w:right w:val="nil"/>
            </w:tcBorders>
            <w:shd w:val="clear" w:color="auto" w:fill="FFFFFF" w:themeFill="background1"/>
            <w:vAlign w:val="center"/>
          </w:tcPr>
          <w:p w14:paraId="576BD389" w14:textId="77777777" w:rsidR="00A32EB4" w:rsidRPr="00B16E6B" w:rsidRDefault="00A32EB4" w:rsidP="009613E1">
            <w:pPr>
              <w:spacing w:before="60" w:after="60" w:line="271" w:lineRule="auto"/>
              <w:textAlignment w:val="baseline"/>
              <w:rPr>
                <w:rFonts w:eastAsia="Times New Roman" w:cs="Arial"/>
                <w:b/>
                <w:bCs/>
                <w:sz w:val="20"/>
                <w:szCs w:val="20"/>
                <w:lang w:val="en-US" w:eastAsia="en-AU"/>
              </w:rPr>
            </w:pPr>
          </w:p>
        </w:tc>
      </w:tr>
      <w:tr w:rsidR="00F3405B" w:rsidRPr="00B16E6B" w14:paraId="201CAD71" w14:textId="77777777" w:rsidTr="00865D73">
        <w:trPr>
          <w:trHeight w:val="300"/>
        </w:trPr>
        <w:tc>
          <w:tcPr>
            <w:tcW w:w="6465" w:type="dxa"/>
            <w:tcBorders>
              <w:top w:val="single" w:sz="4" w:space="0" w:color="BFBFBF" w:themeColor="background2" w:themeShade="BF"/>
              <w:left w:val="nil"/>
              <w:bottom w:val="single" w:sz="6" w:space="0" w:color="BFBFBF"/>
              <w:right w:val="nil"/>
            </w:tcBorders>
            <w:shd w:val="clear" w:color="auto" w:fill="1C2B39" w:themeFill="accent1"/>
            <w:vAlign w:val="center"/>
            <w:hideMark/>
          </w:tcPr>
          <w:p w14:paraId="19085898" w14:textId="77777777" w:rsidR="00F3405B" w:rsidRPr="00B16E6B" w:rsidRDefault="00F3405B" w:rsidP="009613E1">
            <w:pPr>
              <w:spacing w:before="60" w:after="60" w:line="271" w:lineRule="auto"/>
              <w:textAlignment w:val="baseline"/>
              <w:rPr>
                <w:rFonts w:eastAsia="Times New Roman" w:cs="Times New Roman"/>
                <w:b/>
                <w:sz w:val="20"/>
                <w:szCs w:val="20"/>
                <w:lang w:eastAsia="en-AU"/>
              </w:rPr>
            </w:pPr>
            <w:r w:rsidRPr="00B16E6B">
              <w:rPr>
                <w:rFonts w:eastAsia="Times New Roman" w:cs="Arial"/>
                <w:sz w:val="20"/>
                <w:szCs w:val="20"/>
                <w:lang w:eastAsia="en-AU"/>
              </w:rPr>
              <w:t> </w:t>
            </w:r>
            <w:r w:rsidRPr="00B16E6B">
              <w:rPr>
                <w:rFonts w:eastAsia="Calibri" w:cs="Arial"/>
                <w:b/>
                <w:sz w:val="20"/>
                <w:szCs w:val="20"/>
              </w:rPr>
              <w:t>Cyclone Jasper forces Cairns airport to close from floods</w:t>
            </w:r>
            <w:r w:rsidRPr="00B16E6B">
              <w:rPr>
                <w:rStyle w:val="FootnoteReference"/>
                <w:rFonts w:eastAsia="Calibri" w:cs="Arial"/>
                <w:b/>
                <w:sz w:val="20"/>
                <w:szCs w:val="20"/>
              </w:rPr>
              <w:footnoteReference w:id="32"/>
            </w:r>
          </w:p>
        </w:tc>
        <w:tc>
          <w:tcPr>
            <w:tcW w:w="2550" w:type="dxa"/>
            <w:tcBorders>
              <w:top w:val="single" w:sz="4" w:space="0" w:color="BFBFBF" w:themeColor="background2" w:themeShade="BF"/>
              <w:left w:val="nil"/>
              <w:bottom w:val="single" w:sz="6" w:space="0" w:color="BFBFBF"/>
              <w:right w:val="nil"/>
            </w:tcBorders>
            <w:shd w:val="clear" w:color="auto" w:fill="1C2B39" w:themeFill="accent1"/>
            <w:vAlign w:val="center"/>
            <w:hideMark/>
          </w:tcPr>
          <w:p w14:paraId="703B70D2" w14:textId="77777777" w:rsidR="00F3405B" w:rsidRPr="00B16E6B" w:rsidRDefault="00F3405B" w:rsidP="009613E1">
            <w:pPr>
              <w:spacing w:before="60" w:after="60" w:line="271" w:lineRule="auto"/>
              <w:textAlignment w:val="baseline"/>
              <w:rPr>
                <w:rFonts w:eastAsia="Times New Roman" w:cs="Times New Roman"/>
                <w:b/>
                <w:sz w:val="20"/>
                <w:szCs w:val="20"/>
                <w:lang w:eastAsia="en-AU"/>
              </w:rPr>
            </w:pPr>
            <w:r w:rsidRPr="00B16E6B">
              <w:rPr>
                <w:rFonts w:eastAsia="Times New Roman" w:cs="Arial"/>
                <w:b/>
                <w:bCs/>
                <w:sz w:val="20"/>
                <w:szCs w:val="20"/>
                <w:lang w:val="en-US" w:eastAsia="en-AU"/>
              </w:rPr>
              <w:t>Natural hazard </w:t>
            </w:r>
            <w:r w:rsidRPr="00B16E6B">
              <w:rPr>
                <w:rFonts w:eastAsia="Times New Roman" w:cs="Arial"/>
                <w:b/>
                <w:bCs/>
                <w:sz w:val="20"/>
                <w:szCs w:val="20"/>
                <w:lang w:eastAsia="en-AU"/>
              </w:rPr>
              <w:t> </w:t>
            </w:r>
          </w:p>
          <w:p w14:paraId="33640B92" w14:textId="77777777" w:rsidR="00F3405B" w:rsidRPr="00B16E6B" w:rsidRDefault="00F3405B" w:rsidP="009613E1">
            <w:pPr>
              <w:spacing w:before="60" w:after="60" w:line="271" w:lineRule="auto"/>
              <w:textAlignment w:val="baseline"/>
              <w:rPr>
                <w:rFonts w:eastAsia="Times New Roman" w:cs="Times New Roman"/>
                <w:b/>
                <w:sz w:val="20"/>
                <w:szCs w:val="20"/>
                <w:lang w:eastAsia="en-AU"/>
              </w:rPr>
            </w:pPr>
            <w:r w:rsidRPr="00B16E6B">
              <w:rPr>
                <w:rFonts w:eastAsia="Times New Roman" w:cs="Arial"/>
                <w:b/>
                <w:bCs/>
                <w:sz w:val="20"/>
                <w:szCs w:val="20"/>
                <w:lang w:val="en-US" w:eastAsia="en-AU"/>
              </w:rPr>
              <w:t>Supply chain</w:t>
            </w:r>
            <w:r w:rsidRPr="00B16E6B">
              <w:rPr>
                <w:rFonts w:eastAsia="Times New Roman" w:cs="Arial"/>
                <w:b/>
                <w:bCs/>
                <w:sz w:val="20"/>
                <w:szCs w:val="20"/>
                <w:lang w:eastAsia="en-AU"/>
              </w:rPr>
              <w:t> </w:t>
            </w:r>
          </w:p>
        </w:tc>
      </w:tr>
      <w:tr w:rsidR="00F3405B" w:rsidRPr="00B16E6B" w14:paraId="53D3F1AF" w14:textId="77777777" w:rsidTr="009C568E">
        <w:trPr>
          <w:trHeight w:val="300"/>
        </w:trPr>
        <w:tc>
          <w:tcPr>
            <w:tcW w:w="9015" w:type="dxa"/>
            <w:gridSpan w:val="2"/>
            <w:tcBorders>
              <w:top w:val="single" w:sz="6" w:space="0" w:color="BFBFBF"/>
              <w:left w:val="nil"/>
              <w:bottom w:val="single" w:sz="6" w:space="0" w:color="BFBFBF"/>
              <w:right w:val="nil"/>
            </w:tcBorders>
            <w:hideMark/>
          </w:tcPr>
          <w:p w14:paraId="073693E2" w14:textId="54851801" w:rsidR="00F3405B" w:rsidRPr="00B16E6B" w:rsidRDefault="00F3405B" w:rsidP="009613E1">
            <w:pPr>
              <w:spacing w:before="120" w:after="120" w:line="271" w:lineRule="auto"/>
              <w:textAlignment w:val="baseline"/>
              <w:rPr>
                <w:rFonts w:eastAsia="Times New Roman" w:cs="Times New Roman"/>
                <w:color w:val="000000"/>
                <w:sz w:val="20"/>
                <w:szCs w:val="20"/>
                <w:lang w:eastAsia="en-AU"/>
              </w:rPr>
            </w:pPr>
            <w:r w:rsidRPr="00B16E6B">
              <w:rPr>
                <w:rFonts w:eastAsia="Times New Roman" w:cs="Arial"/>
                <w:b/>
                <w:bCs/>
                <w:color w:val="000000"/>
                <w:sz w:val="20"/>
                <w:szCs w:val="20"/>
                <w:lang w:eastAsia="en-AU"/>
              </w:rPr>
              <w:t>Situation</w:t>
            </w:r>
            <w:r w:rsidRPr="00B16E6B">
              <w:rPr>
                <w:rFonts w:eastAsia="Times New Roman" w:cs="Arial"/>
                <w:color w:val="000000"/>
                <w:sz w:val="20"/>
                <w:szCs w:val="20"/>
                <w:lang w:eastAsia="en-AU"/>
              </w:rPr>
              <w:t xml:space="preserve">: In 2023, cyclone Jasper caused major destruction across north Queensland. Heavy rainfall and damaging winds of up to 90km/h meant that Cairns </w:t>
            </w:r>
            <w:r w:rsidR="00636E0E" w:rsidRPr="00B16E6B">
              <w:rPr>
                <w:rFonts w:eastAsia="Times New Roman" w:cs="Arial"/>
                <w:color w:val="000000"/>
                <w:sz w:val="20"/>
                <w:szCs w:val="20"/>
                <w:lang w:eastAsia="en-AU"/>
              </w:rPr>
              <w:t>a</w:t>
            </w:r>
            <w:r w:rsidRPr="00B16E6B">
              <w:rPr>
                <w:rFonts w:eastAsia="Times New Roman" w:cs="Arial"/>
                <w:color w:val="000000"/>
                <w:sz w:val="20"/>
                <w:szCs w:val="20"/>
                <w:lang w:eastAsia="en-AU"/>
              </w:rPr>
              <w:t>irport</w:t>
            </w:r>
            <w:r w:rsidR="005B6CF6" w:rsidRPr="00B16E6B">
              <w:rPr>
                <w:rFonts w:eastAsia="Times New Roman" w:cs="Arial"/>
                <w:color w:val="000000"/>
                <w:sz w:val="20"/>
                <w:szCs w:val="20"/>
                <w:lang w:eastAsia="en-AU"/>
              </w:rPr>
              <w:t xml:space="preserve"> temporarily</w:t>
            </w:r>
            <w:r w:rsidRPr="00B16E6B">
              <w:rPr>
                <w:rFonts w:eastAsia="Times New Roman" w:cs="Arial"/>
                <w:color w:val="000000"/>
                <w:sz w:val="20"/>
                <w:szCs w:val="20"/>
                <w:lang w:eastAsia="en-AU"/>
              </w:rPr>
              <w:t xml:space="preserve"> closed due to flooding, leaving several planes partially under water on the tarmac. </w:t>
            </w:r>
          </w:p>
        </w:tc>
      </w:tr>
      <w:tr w:rsidR="00F3405B" w:rsidRPr="00B16E6B" w14:paraId="5EE5EF22" w14:textId="77777777" w:rsidTr="009C568E">
        <w:trPr>
          <w:trHeight w:val="300"/>
        </w:trPr>
        <w:tc>
          <w:tcPr>
            <w:tcW w:w="9015" w:type="dxa"/>
            <w:gridSpan w:val="2"/>
            <w:tcBorders>
              <w:top w:val="single" w:sz="6" w:space="0" w:color="BFBFBF"/>
              <w:left w:val="nil"/>
              <w:bottom w:val="single" w:sz="6" w:space="0" w:color="BFBFBF"/>
              <w:right w:val="nil"/>
            </w:tcBorders>
            <w:shd w:val="clear" w:color="auto" w:fill="F2F2F2"/>
            <w:hideMark/>
          </w:tcPr>
          <w:p w14:paraId="04EBA357" w14:textId="33893597" w:rsidR="00F3405B" w:rsidRPr="00B16E6B" w:rsidRDefault="00F3405B" w:rsidP="00DA5B83">
            <w:pPr>
              <w:spacing w:before="120" w:after="120" w:line="271" w:lineRule="auto"/>
              <w:textAlignment w:val="baseline"/>
              <w:rPr>
                <w:rFonts w:eastAsia="Times New Roman" w:cs="Times New Roman"/>
                <w:color w:val="000000"/>
                <w:sz w:val="20"/>
                <w:szCs w:val="20"/>
                <w:lang w:eastAsia="en-AU"/>
              </w:rPr>
            </w:pPr>
            <w:r w:rsidRPr="00B16E6B">
              <w:rPr>
                <w:rFonts w:eastAsia="Times New Roman" w:cs="Arial"/>
                <w:b/>
                <w:bCs/>
                <w:color w:val="000000"/>
                <w:sz w:val="20"/>
                <w:szCs w:val="20"/>
                <w:lang w:val="en-US" w:eastAsia="en-AU"/>
              </w:rPr>
              <w:t>Outcome</w:t>
            </w:r>
            <w:r w:rsidRPr="00B16E6B">
              <w:rPr>
                <w:rFonts w:eastAsia="Times New Roman" w:cs="Arial"/>
                <w:color w:val="000000"/>
                <w:sz w:val="20"/>
                <w:szCs w:val="20"/>
                <w:lang w:val="en-US" w:eastAsia="en-AU"/>
              </w:rPr>
              <w:t>: Australia’s tourism sector was impacted by</w:t>
            </w:r>
            <w:r w:rsidR="00D87B31" w:rsidRPr="00B16E6B">
              <w:rPr>
                <w:rFonts w:eastAsia="Times New Roman" w:cs="Arial"/>
                <w:color w:val="000000"/>
                <w:sz w:val="20"/>
                <w:szCs w:val="20"/>
                <w:lang w:val="en-US" w:eastAsia="en-AU"/>
              </w:rPr>
              <w:t xml:space="preserve"> an estimated</w:t>
            </w:r>
            <w:r w:rsidR="00E571D2" w:rsidRPr="00B16E6B">
              <w:rPr>
                <w:rFonts w:eastAsia="Times New Roman" w:cs="Arial"/>
                <w:color w:val="000000"/>
                <w:sz w:val="20"/>
                <w:szCs w:val="20"/>
                <w:lang w:val="en-US" w:eastAsia="en-AU"/>
              </w:rPr>
              <w:t xml:space="preserve"> loss of </w:t>
            </w:r>
            <w:r w:rsidRPr="00B16E6B">
              <w:rPr>
                <w:rFonts w:eastAsia="Times New Roman" w:cs="Arial"/>
                <w:color w:val="000000"/>
                <w:sz w:val="20"/>
                <w:szCs w:val="20"/>
                <w:lang w:val="en-US" w:eastAsia="en-AU"/>
              </w:rPr>
              <w:t xml:space="preserve">$60 million </w:t>
            </w:r>
            <w:r w:rsidR="0049314B" w:rsidRPr="00B16E6B">
              <w:rPr>
                <w:rFonts w:eastAsia="Times New Roman" w:cs="Arial"/>
                <w:color w:val="000000"/>
                <w:sz w:val="20"/>
                <w:szCs w:val="20"/>
                <w:lang w:val="en-US" w:eastAsia="en-AU"/>
              </w:rPr>
              <w:t>due to</w:t>
            </w:r>
            <w:r w:rsidRPr="00B16E6B">
              <w:rPr>
                <w:rFonts w:eastAsia="Times New Roman" w:cs="Arial"/>
                <w:color w:val="000000"/>
                <w:sz w:val="20"/>
                <w:szCs w:val="20"/>
                <w:lang w:val="en-US" w:eastAsia="en-AU"/>
              </w:rPr>
              <w:t xml:space="preserve"> holiday cancellations </w:t>
            </w:r>
            <w:r w:rsidR="00D87B31" w:rsidRPr="00B16E6B">
              <w:rPr>
                <w:rFonts w:eastAsia="Times New Roman" w:cs="Arial"/>
                <w:color w:val="000000"/>
                <w:sz w:val="20"/>
                <w:szCs w:val="20"/>
                <w:lang w:val="en-US" w:eastAsia="en-AU"/>
              </w:rPr>
              <w:t xml:space="preserve">because of </w:t>
            </w:r>
            <w:r w:rsidRPr="00B16E6B">
              <w:rPr>
                <w:rFonts w:eastAsia="Times New Roman" w:cs="Arial"/>
                <w:color w:val="000000"/>
                <w:sz w:val="20"/>
                <w:szCs w:val="20"/>
                <w:lang w:val="en-US" w:eastAsia="en-AU"/>
              </w:rPr>
              <w:t>extreme weather</w:t>
            </w:r>
            <w:r w:rsidR="00E571D2" w:rsidRPr="00B16E6B">
              <w:rPr>
                <w:rFonts w:eastAsia="Times New Roman" w:cs="Arial"/>
                <w:color w:val="000000"/>
                <w:sz w:val="20"/>
                <w:szCs w:val="20"/>
                <w:lang w:val="en-US" w:eastAsia="en-AU"/>
              </w:rPr>
              <w:t>. This</w:t>
            </w:r>
            <w:r w:rsidRPr="00B16E6B">
              <w:rPr>
                <w:rFonts w:eastAsia="Times New Roman" w:cs="Arial"/>
                <w:color w:val="000000"/>
                <w:sz w:val="20"/>
                <w:szCs w:val="20"/>
                <w:lang w:val="en-US" w:eastAsia="en-AU"/>
              </w:rPr>
              <w:t xml:space="preserve"> impacted northern Queensland during peak tourist season at the start of the Australian summer. Seve</w:t>
            </w:r>
            <w:r w:rsidR="0049314B" w:rsidRPr="00B16E6B">
              <w:rPr>
                <w:rFonts w:eastAsia="Times New Roman" w:cs="Arial"/>
                <w:color w:val="000000"/>
                <w:sz w:val="20"/>
                <w:szCs w:val="20"/>
                <w:lang w:val="en-US" w:eastAsia="en-AU"/>
              </w:rPr>
              <w:t>re weather conditions meant</w:t>
            </w:r>
            <w:r w:rsidRPr="00B16E6B">
              <w:rPr>
                <w:rFonts w:eastAsia="Times New Roman" w:cs="Arial"/>
                <w:color w:val="000000"/>
                <w:sz w:val="20"/>
                <w:szCs w:val="20"/>
                <w:lang w:val="en-US" w:eastAsia="en-AU"/>
              </w:rPr>
              <w:t xml:space="preserve"> </w:t>
            </w:r>
            <w:r w:rsidR="0049314B" w:rsidRPr="00B16E6B">
              <w:rPr>
                <w:rFonts w:eastAsia="Times New Roman" w:cs="Arial"/>
                <w:color w:val="000000"/>
                <w:sz w:val="20"/>
                <w:szCs w:val="20"/>
                <w:lang w:eastAsia="en-AU"/>
              </w:rPr>
              <w:t>helicopter support</w:t>
            </w:r>
            <w:r w:rsidR="00E571D2" w:rsidRPr="00B16E6B">
              <w:rPr>
                <w:rFonts w:eastAsia="Times New Roman" w:cs="Arial"/>
                <w:color w:val="000000"/>
                <w:sz w:val="20"/>
                <w:szCs w:val="20"/>
                <w:lang w:eastAsia="en-AU"/>
              </w:rPr>
              <w:t>,</w:t>
            </w:r>
            <w:r w:rsidR="0049314B" w:rsidRPr="00B16E6B">
              <w:rPr>
                <w:rFonts w:eastAsia="Times New Roman" w:cs="Arial"/>
                <w:color w:val="000000"/>
                <w:sz w:val="20"/>
                <w:szCs w:val="20"/>
                <w:lang w:eastAsia="en-AU"/>
              </w:rPr>
              <w:t xml:space="preserve"> </w:t>
            </w:r>
            <w:r w:rsidRPr="00B16E6B">
              <w:rPr>
                <w:rFonts w:eastAsia="Times New Roman" w:cs="Arial"/>
                <w:color w:val="000000"/>
                <w:sz w:val="20"/>
                <w:szCs w:val="20"/>
                <w:lang w:eastAsia="en-AU"/>
              </w:rPr>
              <w:t>air t</w:t>
            </w:r>
            <w:r w:rsidR="0049314B" w:rsidRPr="00B16E6B">
              <w:rPr>
                <w:rFonts w:eastAsia="Times New Roman" w:cs="Arial"/>
                <w:color w:val="000000"/>
                <w:sz w:val="20"/>
                <w:szCs w:val="20"/>
                <w:lang w:eastAsia="en-AU"/>
              </w:rPr>
              <w:t>ransport and rescue services were</w:t>
            </w:r>
            <w:r w:rsidRPr="00B16E6B">
              <w:rPr>
                <w:rFonts w:eastAsia="Times New Roman" w:cs="Arial"/>
                <w:color w:val="000000"/>
                <w:sz w:val="20"/>
                <w:szCs w:val="20"/>
                <w:lang w:eastAsia="en-AU"/>
              </w:rPr>
              <w:t xml:space="preserve"> not </w:t>
            </w:r>
            <w:r w:rsidR="002F409B" w:rsidRPr="00B16E6B">
              <w:rPr>
                <w:rFonts w:eastAsia="Times New Roman" w:cs="Arial"/>
                <w:color w:val="000000"/>
                <w:sz w:val="20"/>
                <w:szCs w:val="20"/>
                <w:lang w:eastAsia="en-AU"/>
              </w:rPr>
              <w:t xml:space="preserve">immediately </w:t>
            </w:r>
            <w:r w:rsidRPr="00B16E6B">
              <w:rPr>
                <w:rFonts w:eastAsia="Times New Roman" w:cs="Arial"/>
                <w:color w:val="000000"/>
                <w:sz w:val="20"/>
                <w:szCs w:val="20"/>
                <w:lang w:eastAsia="en-AU"/>
              </w:rPr>
              <w:t xml:space="preserve">available to assist local emergency services </w:t>
            </w:r>
            <w:r w:rsidR="00D87B31" w:rsidRPr="00B16E6B">
              <w:rPr>
                <w:rFonts w:eastAsia="Times New Roman" w:cs="Arial"/>
                <w:color w:val="000000"/>
                <w:sz w:val="20"/>
                <w:szCs w:val="20"/>
                <w:lang w:eastAsia="en-AU"/>
              </w:rPr>
              <w:t xml:space="preserve">to </w:t>
            </w:r>
            <w:r w:rsidRPr="00B16E6B">
              <w:rPr>
                <w:rFonts w:eastAsia="Times New Roman" w:cs="Arial"/>
                <w:color w:val="000000"/>
                <w:sz w:val="20"/>
                <w:szCs w:val="20"/>
                <w:lang w:eastAsia="en-AU"/>
              </w:rPr>
              <w:t xml:space="preserve">respond. </w:t>
            </w:r>
            <w:r w:rsidR="008C3413" w:rsidRPr="00B16E6B">
              <w:rPr>
                <w:rFonts w:eastAsia="Times New Roman" w:cs="Arial"/>
                <w:color w:val="000000"/>
                <w:sz w:val="20"/>
                <w:szCs w:val="20"/>
                <w:lang w:eastAsia="en-AU"/>
              </w:rPr>
              <w:t>Cairns airport</w:t>
            </w:r>
            <w:r w:rsidR="002F409B" w:rsidRPr="00B16E6B">
              <w:rPr>
                <w:rFonts w:eastAsia="Times New Roman" w:cs="Arial"/>
                <w:color w:val="000000"/>
                <w:sz w:val="20"/>
                <w:szCs w:val="20"/>
                <w:lang w:eastAsia="en-AU"/>
              </w:rPr>
              <w:t>,</w:t>
            </w:r>
            <w:r w:rsidR="008C3413" w:rsidRPr="00B16E6B">
              <w:rPr>
                <w:rFonts w:eastAsia="Times New Roman" w:cs="Arial"/>
                <w:color w:val="000000"/>
                <w:sz w:val="20"/>
                <w:szCs w:val="20"/>
                <w:lang w:eastAsia="en-AU"/>
              </w:rPr>
              <w:t xml:space="preserve"> through the use of documented </w:t>
            </w:r>
            <w:r w:rsidR="002F409B" w:rsidRPr="00B16E6B">
              <w:rPr>
                <w:rFonts w:eastAsia="Times New Roman" w:cs="Arial"/>
                <w:color w:val="000000"/>
                <w:sz w:val="20"/>
                <w:szCs w:val="20"/>
                <w:lang w:eastAsia="en-AU"/>
              </w:rPr>
              <w:t xml:space="preserve">emergency management </w:t>
            </w:r>
            <w:r w:rsidR="00DA5B83" w:rsidRPr="00B16E6B">
              <w:rPr>
                <w:rFonts w:eastAsia="Times New Roman" w:cs="Arial"/>
                <w:color w:val="000000"/>
                <w:sz w:val="20"/>
                <w:szCs w:val="20"/>
                <w:lang w:eastAsia="en-AU"/>
              </w:rPr>
              <w:t>processes and procedures, were</w:t>
            </w:r>
            <w:r w:rsidR="008C3413" w:rsidRPr="00B16E6B">
              <w:rPr>
                <w:rFonts w:eastAsia="Times New Roman" w:cs="Arial"/>
                <w:color w:val="000000"/>
                <w:sz w:val="20"/>
                <w:szCs w:val="20"/>
                <w:lang w:eastAsia="en-AU"/>
              </w:rPr>
              <w:t xml:space="preserve"> able to restore critical air services for emergency response within 12 ho</w:t>
            </w:r>
            <w:r w:rsidR="00DA5B83" w:rsidRPr="00B16E6B">
              <w:rPr>
                <w:rFonts w:eastAsia="Times New Roman" w:cs="Arial"/>
                <w:color w:val="000000"/>
                <w:sz w:val="20"/>
                <w:szCs w:val="20"/>
                <w:lang w:eastAsia="en-AU"/>
              </w:rPr>
              <w:t>urs of the peak of flooding and</w:t>
            </w:r>
            <w:r w:rsidR="00A7768D" w:rsidRPr="00B16E6B">
              <w:rPr>
                <w:rFonts w:eastAsia="Times New Roman" w:cs="Arial"/>
                <w:color w:val="000000"/>
                <w:sz w:val="20"/>
                <w:szCs w:val="20"/>
                <w:lang w:eastAsia="en-AU"/>
              </w:rPr>
              <w:t xml:space="preserve"> recommence</w:t>
            </w:r>
            <w:r w:rsidR="008C3413" w:rsidRPr="00B16E6B">
              <w:rPr>
                <w:rFonts w:eastAsia="Times New Roman" w:cs="Arial"/>
                <w:color w:val="000000"/>
                <w:sz w:val="20"/>
                <w:szCs w:val="20"/>
                <w:lang w:eastAsia="en-AU"/>
              </w:rPr>
              <w:t xml:space="preserve"> </w:t>
            </w:r>
            <w:r w:rsidR="00DA5B83" w:rsidRPr="00B16E6B">
              <w:rPr>
                <w:rFonts w:eastAsia="Times New Roman" w:cs="Arial"/>
                <w:color w:val="000000"/>
                <w:sz w:val="20"/>
                <w:szCs w:val="20"/>
                <w:lang w:eastAsia="en-AU"/>
              </w:rPr>
              <w:t xml:space="preserve">mainline </w:t>
            </w:r>
            <w:r w:rsidR="008C3413" w:rsidRPr="00B16E6B">
              <w:rPr>
                <w:rFonts w:eastAsia="Times New Roman" w:cs="Arial"/>
                <w:color w:val="000000"/>
                <w:sz w:val="20"/>
                <w:szCs w:val="20"/>
                <w:lang w:eastAsia="en-AU"/>
              </w:rPr>
              <w:t xml:space="preserve">commercial operations within 24 hours. </w:t>
            </w:r>
          </w:p>
        </w:tc>
      </w:tr>
      <w:tr w:rsidR="00F3405B" w:rsidRPr="00B16E6B" w14:paraId="34186594" w14:textId="77777777" w:rsidTr="009C568E">
        <w:trPr>
          <w:trHeight w:val="300"/>
        </w:trPr>
        <w:tc>
          <w:tcPr>
            <w:tcW w:w="9015" w:type="dxa"/>
            <w:gridSpan w:val="2"/>
            <w:tcBorders>
              <w:top w:val="single" w:sz="6" w:space="0" w:color="BFBFBF"/>
              <w:left w:val="nil"/>
              <w:bottom w:val="single" w:sz="6" w:space="0" w:color="BFBFBF"/>
              <w:right w:val="nil"/>
            </w:tcBorders>
            <w:hideMark/>
          </w:tcPr>
          <w:p w14:paraId="3613E3D6" w14:textId="0338B5CB" w:rsidR="00F3405B" w:rsidRPr="00B16E6B" w:rsidRDefault="00F3405B" w:rsidP="009613E1">
            <w:pPr>
              <w:spacing w:before="120" w:after="120" w:line="271" w:lineRule="auto"/>
              <w:textAlignment w:val="baseline"/>
              <w:rPr>
                <w:rFonts w:eastAsia="Times New Roman" w:cs="Times New Roman"/>
                <w:color w:val="000000"/>
                <w:sz w:val="20"/>
                <w:szCs w:val="20"/>
                <w:lang w:eastAsia="en-AU"/>
              </w:rPr>
            </w:pPr>
            <w:r w:rsidRPr="00B16E6B">
              <w:rPr>
                <w:rFonts w:eastAsia="Times New Roman" w:cs="Arial"/>
                <w:b/>
                <w:bCs/>
                <w:color w:val="000000"/>
                <w:sz w:val="20"/>
                <w:szCs w:val="20"/>
                <w:lang w:val="en-US" w:eastAsia="en-AU"/>
              </w:rPr>
              <w:t xml:space="preserve">Identified </w:t>
            </w:r>
            <w:r w:rsidR="002F409B" w:rsidRPr="00B16E6B">
              <w:rPr>
                <w:rFonts w:eastAsia="Times New Roman" w:cs="Arial"/>
                <w:b/>
                <w:bCs/>
                <w:color w:val="000000"/>
                <w:sz w:val="20"/>
                <w:szCs w:val="20"/>
                <w:lang w:val="en-US" w:eastAsia="en-AU"/>
              </w:rPr>
              <w:t>benefit</w:t>
            </w:r>
            <w:r w:rsidRPr="00B16E6B">
              <w:rPr>
                <w:rFonts w:eastAsia="Times New Roman" w:cs="Arial"/>
                <w:color w:val="000000"/>
                <w:sz w:val="20"/>
                <w:szCs w:val="20"/>
                <w:lang w:val="en-US" w:eastAsia="en-AU"/>
              </w:rPr>
              <w:t xml:space="preserve">: This incident demonstrated </w:t>
            </w:r>
            <w:r w:rsidR="008C3413" w:rsidRPr="00B16E6B">
              <w:rPr>
                <w:rFonts w:eastAsia="Times New Roman" w:cs="Arial"/>
                <w:color w:val="000000"/>
                <w:sz w:val="20"/>
                <w:szCs w:val="20"/>
                <w:lang w:val="en-US" w:eastAsia="en-AU"/>
              </w:rPr>
              <w:t xml:space="preserve">the importance of </w:t>
            </w:r>
            <w:r w:rsidR="002F409B" w:rsidRPr="00B16E6B">
              <w:rPr>
                <w:rFonts w:eastAsia="Times New Roman" w:cs="Arial"/>
                <w:color w:val="000000"/>
                <w:sz w:val="20"/>
                <w:szCs w:val="20"/>
                <w:lang w:val="en-US" w:eastAsia="en-AU"/>
              </w:rPr>
              <w:t>emergency</w:t>
            </w:r>
            <w:r w:rsidRPr="00B16E6B">
              <w:rPr>
                <w:rFonts w:eastAsia="Times New Roman" w:cs="Arial"/>
                <w:color w:val="000000"/>
                <w:sz w:val="20"/>
                <w:szCs w:val="20"/>
                <w:lang w:val="en-US" w:eastAsia="en-AU"/>
              </w:rPr>
              <w:t xml:space="preserve"> management planning</w:t>
            </w:r>
            <w:r w:rsidR="0049314B" w:rsidRPr="00B16E6B">
              <w:rPr>
                <w:rFonts w:eastAsia="Times New Roman" w:cs="Arial"/>
                <w:color w:val="000000"/>
                <w:sz w:val="20"/>
                <w:szCs w:val="20"/>
                <w:lang w:val="en-US" w:eastAsia="en-AU"/>
              </w:rPr>
              <w:t xml:space="preserve"> </w:t>
            </w:r>
            <w:r w:rsidRPr="00B16E6B">
              <w:rPr>
                <w:rFonts w:eastAsia="Times New Roman" w:cs="Arial"/>
                <w:color w:val="000000"/>
                <w:sz w:val="20"/>
                <w:szCs w:val="20"/>
                <w:lang w:val="en-US" w:eastAsia="en-AU"/>
              </w:rPr>
              <w:t xml:space="preserve">for </w:t>
            </w:r>
            <w:r w:rsidR="0049314B" w:rsidRPr="00B16E6B">
              <w:rPr>
                <w:rFonts w:eastAsia="Times New Roman" w:cs="Arial"/>
                <w:color w:val="000000"/>
                <w:sz w:val="20"/>
                <w:szCs w:val="20"/>
                <w:lang w:val="en-US" w:eastAsia="en-AU"/>
              </w:rPr>
              <w:t>r</w:t>
            </w:r>
            <w:r w:rsidRPr="00B16E6B">
              <w:rPr>
                <w:rFonts w:eastAsia="Times New Roman" w:cs="Arial"/>
                <w:color w:val="000000"/>
                <w:sz w:val="20"/>
                <w:szCs w:val="20"/>
                <w:lang w:val="en-US" w:eastAsia="en-AU"/>
              </w:rPr>
              <w:t xml:space="preserve">esponding to a large-scale natural disaster. Proactive measures supported the aviation sector </w:t>
            </w:r>
            <w:r w:rsidR="00E571D2" w:rsidRPr="00B16E6B">
              <w:rPr>
                <w:rFonts w:eastAsia="Times New Roman" w:cs="Arial"/>
                <w:color w:val="000000"/>
                <w:sz w:val="20"/>
                <w:szCs w:val="20"/>
                <w:lang w:val="en-US" w:eastAsia="en-AU"/>
              </w:rPr>
              <w:t xml:space="preserve">in </w:t>
            </w:r>
            <w:proofErr w:type="spellStart"/>
            <w:r w:rsidR="00E571D2" w:rsidRPr="00B16E6B">
              <w:rPr>
                <w:rFonts w:eastAsia="Times New Roman" w:cs="Arial"/>
                <w:color w:val="000000"/>
                <w:sz w:val="20"/>
                <w:szCs w:val="20"/>
                <w:lang w:val="en-US" w:eastAsia="en-AU"/>
              </w:rPr>
              <w:t>minimising</w:t>
            </w:r>
            <w:proofErr w:type="spellEnd"/>
            <w:r w:rsidR="00E571D2" w:rsidRPr="00B16E6B">
              <w:rPr>
                <w:rFonts w:eastAsia="Times New Roman" w:cs="Arial"/>
                <w:color w:val="000000"/>
                <w:sz w:val="20"/>
                <w:szCs w:val="20"/>
                <w:lang w:val="en-US" w:eastAsia="en-AU"/>
              </w:rPr>
              <w:t xml:space="preserve"> </w:t>
            </w:r>
            <w:r w:rsidR="00A7768D" w:rsidRPr="00B16E6B">
              <w:rPr>
                <w:rFonts w:eastAsia="Times New Roman" w:cs="Arial"/>
                <w:color w:val="000000"/>
                <w:sz w:val="20"/>
                <w:szCs w:val="20"/>
                <w:lang w:val="en-US" w:eastAsia="en-AU"/>
              </w:rPr>
              <w:t xml:space="preserve">the extent and duration of </w:t>
            </w:r>
            <w:r w:rsidR="00E571D2" w:rsidRPr="00B16E6B">
              <w:rPr>
                <w:rFonts w:eastAsia="Times New Roman" w:cs="Arial"/>
                <w:color w:val="000000"/>
                <w:sz w:val="20"/>
                <w:szCs w:val="20"/>
                <w:lang w:val="en-US" w:eastAsia="en-AU"/>
              </w:rPr>
              <w:t xml:space="preserve">supply chain issues (such as the flow on effects to critical emergency services) </w:t>
            </w:r>
            <w:r w:rsidRPr="00B16E6B">
              <w:rPr>
                <w:rFonts w:eastAsia="Times New Roman" w:cs="Arial"/>
                <w:color w:val="000000"/>
                <w:sz w:val="20"/>
                <w:szCs w:val="20"/>
                <w:lang w:val="en-US" w:eastAsia="en-AU"/>
              </w:rPr>
              <w:t xml:space="preserve">when </w:t>
            </w:r>
            <w:r w:rsidR="00E571D2" w:rsidRPr="00B16E6B">
              <w:rPr>
                <w:rFonts w:eastAsia="Times New Roman" w:cs="Arial"/>
                <w:color w:val="000000"/>
                <w:sz w:val="20"/>
                <w:szCs w:val="20"/>
                <w:lang w:val="en-US" w:eastAsia="en-AU"/>
              </w:rPr>
              <w:t xml:space="preserve">it was </w:t>
            </w:r>
            <w:r w:rsidRPr="00B16E6B">
              <w:rPr>
                <w:rFonts w:eastAsia="Times New Roman" w:cs="Arial"/>
                <w:color w:val="000000"/>
                <w:sz w:val="20"/>
                <w:szCs w:val="20"/>
                <w:lang w:val="en-US" w:eastAsia="en-AU"/>
              </w:rPr>
              <w:t>rendered inoperable due to a natural weather event. </w:t>
            </w:r>
          </w:p>
        </w:tc>
      </w:tr>
    </w:tbl>
    <w:tbl>
      <w:tblPr>
        <w:tblpPr w:leftFromText="180" w:rightFromText="180" w:vertAnchor="text" w:horzAnchor="margin" w:tblpY="-125"/>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5"/>
        <w:gridCol w:w="2550"/>
      </w:tblGrid>
      <w:tr w:rsidR="002A6F52" w:rsidRPr="00B16E6B" w14:paraId="470BB100" w14:textId="77777777" w:rsidTr="002A6F52">
        <w:trPr>
          <w:trHeight w:val="300"/>
        </w:trPr>
        <w:tc>
          <w:tcPr>
            <w:tcW w:w="6465" w:type="dxa"/>
            <w:tcBorders>
              <w:top w:val="single" w:sz="4" w:space="0" w:color="BFBFBF" w:themeColor="background2" w:themeShade="BF"/>
              <w:left w:val="nil"/>
              <w:bottom w:val="single" w:sz="6" w:space="0" w:color="BFBFBF"/>
              <w:right w:val="nil"/>
            </w:tcBorders>
            <w:shd w:val="clear" w:color="auto" w:fill="1C2B39" w:themeFill="accent1"/>
            <w:hideMark/>
          </w:tcPr>
          <w:p w14:paraId="5A002A3A" w14:textId="77777777" w:rsidR="002A6F52" w:rsidRPr="00B16E6B" w:rsidRDefault="002A6F52" w:rsidP="009613E1">
            <w:pPr>
              <w:spacing w:before="120" w:after="120" w:line="271" w:lineRule="auto"/>
              <w:textAlignment w:val="baseline"/>
              <w:rPr>
                <w:rFonts w:eastAsia="Times New Roman" w:cs="Times New Roman"/>
                <w:sz w:val="20"/>
                <w:szCs w:val="20"/>
                <w:lang w:eastAsia="en-AU"/>
              </w:rPr>
            </w:pPr>
            <w:r w:rsidRPr="00B16E6B">
              <w:rPr>
                <w:rFonts w:eastAsiaTheme="minorHAnsi"/>
                <w:sz w:val="20"/>
                <w:szCs w:val="20"/>
              </w:rPr>
              <w:lastRenderedPageBreak/>
              <w:br w:type="page"/>
            </w:r>
            <w:r w:rsidRPr="00B16E6B">
              <w:rPr>
                <w:rFonts w:cs="Arial"/>
                <w:b/>
                <w:sz w:val="20"/>
                <w:szCs w:val="20"/>
              </w:rPr>
              <w:t>British Airways data breach (2018)</w:t>
            </w:r>
            <w:r w:rsidRPr="00B16E6B">
              <w:rPr>
                <w:rStyle w:val="FootnoteReference"/>
                <w:rFonts w:cs="Arial"/>
                <w:b/>
                <w:sz w:val="20"/>
                <w:szCs w:val="20"/>
              </w:rPr>
              <w:footnoteReference w:id="33"/>
            </w:r>
          </w:p>
        </w:tc>
        <w:tc>
          <w:tcPr>
            <w:tcW w:w="2550" w:type="dxa"/>
            <w:tcBorders>
              <w:top w:val="single" w:sz="4" w:space="0" w:color="BFBFBF" w:themeColor="background2" w:themeShade="BF"/>
              <w:left w:val="nil"/>
              <w:bottom w:val="single" w:sz="6" w:space="0" w:color="BFBFBF"/>
              <w:right w:val="nil"/>
            </w:tcBorders>
            <w:shd w:val="clear" w:color="auto" w:fill="1C2B39" w:themeFill="accent1"/>
            <w:vAlign w:val="center"/>
            <w:hideMark/>
          </w:tcPr>
          <w:p w14:paraId="5360E3B0" w14:textId="77777777" w:rsidR="002A6F52" w:rsidRPr="00B16E6B" w:rsidRDefault="002A6F52" w:rsidP="009613E1">
            <w:pPr>
              <w:spacing w:before="120" w:after="120" w:line="271" w:lineRule="auto"/>
              <w:textAlignment w:val="baseline"/>
              <w:rPr>
                <w:rFonts w:eastAsia="Times New Roman" w:cs="Times New Roman"/>
                <w:b/>
                <w:sz w:val="20"/>
                <w:szCs w:val="20"/>
                <w:lang w:eastAsia="en-AU"/>
              </w:rPr>
            </w:pPr>
            <w:r w:rsidRPr="00B16E6B">
              <w:rPr>
                <w:rFonts w:eastAsia="Times New Roman" w:cs="Arial"/>
                <w:b/>
                <w:bCs/>
                <w:sz w:val="20"/>
                <w:szCs w:val="20"/>
                <w:lang w:val="en-US" w:eastAsia="en-AU"/>
              </w:rPr>
              <w:t>Cyber</w:t>
            </w:r>
            <w:r w:rsidRPr="00B16E6B">
              <w:rPr>
                <w:rFonts w:eastAsia="Times New Roman" w:cs="Arial"/>
                <w:b/>
                <w:bCs/>
                <w:sz w:val="20"/>
                <w:szCs w:val="20"/>
                <w:lang w:eastAsia="en-AU"/>
              </w:rPr>
              <w:t> </w:t>
            </w:r>
          </w:p>
        </w:tc>
      </w:tr>
      <w:tr w:rsidR="002A6F52" w:rsidRPr="00B16E6B" w14:paraId="51D181CB" w14:textId="77777777" w:rsidTr="002A6F52">
        <w:trPr>
          <w:trHeight w:val="300"/>
        </w:trPr>
        <w:tc>
          <w:tcPr>
            <w:tcW w:w="9015" w:type="dxa"/>
            <w:gridSpan w:val="2"/>
            <w:tcBorders>
              <w:top w:val="single" w:sz="6" w:space="0" w:color="BFBFBF"/>
              <w:left w:val="nil"/>
              <w:bottom w:val="single" w:sz="6" w:space="0" w:color="BFBFBF"/>
              <w:right w:val="nil"/>
            </w:tcBorders>
            <w:hideMark/>
          </w:tcPr>
          <w:p w14:paraId="26923394" w14:textId="77777777" w:rsidR="002A6F52" w:rsidRPr="00B16E6B" w:rsidRDefault="002A6F52" w:rsidP="009613E1">
            <w:pPr>
              <w:spacing w:before="120" w:after="120" w:line="271" w:lineRule="auto"/>
              <w:textAlignment w:val="baseline"/>
              <w:rPr>
                <w:rFonts w:eastAsia="Times New Roman" w:cs="Times New Roman"/>
                <w:color w:val="000000"/>
                <w:sz w:val="20"/>
                <w:szCs w:val="20"/>
                <w:lang w:eastAsia="en-AU"/>
              </w:rPr>
            </w:pPr>
            <w:r w:rsidRPr="00B16E6B">
              <w:rPr>
                <w:rFonts w:eastAsia="Times New Roman" w:cs="Arial"/>
                <w:b/>
                <w:bCs/>
                <w:color w:val="000000"/>
                <w:sz w:val="20"/>
                <w:szCs w:val="20"/>
                <w:lang w:eastAsia="en-AU"/>
              </w:rPr>
              <w:t>Situation</w:t>
            </w:r>
            <w:r w:rsidRPr="00B16E6B">
              <w:rPr>
                <w:rFonts w:eastAsia="Times New Roman" w:cs="Arial"/>
                <w:color w:val="000000"/>
                <w:sz w:val="20"/>
                <w:szCs w:val="20"/>
                <w:lang w:eastAsia="en-AU"/>
              </w:rPr>
              <w:t>: In 2018, malicious actors hacked the British Airways’ website and app and stole data from approximately 430,000 customers (with 58% of these customers experiencing theft of their sensitive details).</w:t>
            </w:r>
            <w:r w:rsidRPr="00B16E6B">
              <w:rPr>
                <w:rStyle w:val="FootnoteReference"/>
                <w:rFonts w:eastAsia="Times New Roman" w:cs="Arial"/>
                <w:color w:val="000000"/>
                <w:sz w:val="20"/>
                <w:szCs w:val="20"/>
                <w:lang w:eastAsia="en-AU"/>
              </w:rPr>
              <w:footnoteReference w:id="34"/>
            </w:r>
            <w:r w:rsidRPr="00B16E6B">
              <w:rPr>
                <w:rFonts w:eastAsia="Times New Roman" w:cs="Arial"/>
                <w:color w:val="000000"/>
                <w:sz w:val="20"/>
                <w:szCs w:val="20"/>
                <w:lang w:eastAsia="en-AU"/>
              </w:rPr>
              <w:t xml:space="preserve"> The hackers accessed the airline’s system by disguising themselves and entering through a different domain. The hackers then attached malware to the airway’s browser, which was programmed to collect payment information fields when customers interacted with the website. </w:t>
            </w:r>
          </w:p>
        </w:tc>
      </w:tr>
      <w:tr w:rsidR="002A6F52" w:rsidRPr="00B16E6B" w14:paraId="40758A1B" w14:textId="77777777" w:rsidTr="002A6F52">
        <w:trPr>
          <w:trHeight w:val="300"/>
        </w:trPr>
        <w:tc>
          <w:tcPr>
            <w:tcW w:w="9015" w:type="dxa"/>
            <w:gridSpan w:val="2"/>
            <w:tcBorders>
              <w:top w:val="single" w:sz="6" w:space="0" w:color="BFBFBF"/>
              <w:left w:val="nil"/>
              <w:bottom w:val="single" w:sz="6" w:space="0" w:color="BFBFBF"/>
              <w:right w:val="nil"/>
            </w:tcBorders>
            <w:shd w:val="clear" w:color="auto" w:fill="F2F2F2"/>
            <w:hideMark/>
          </w:tcPr>
          <w:p w14:paraId="6D6D1818" w14:textId="77777777" w:rsidR="002A6F52" w:rsidRPr="00B16E6B" w:rsidRDefault="002A6F52" w:rsidP="009613E1">
            <w:pPr>
              <w:spacing w:before="120" w:after="120" w:line="271" w:lineRule="auto"/>
              <w:textAlignment w:val="baseline"/>
              <w:rPr>
                <w:rFonts w:eastAsia="Times New Roman" w:cs="Arial"/>
                <w:sz w:val="20"/>
                <w:szCs w:val="20"/>
                <w:lang w:val="en-US" w:eastAsia="en-AU"/>
              </w:rPr>
            </w:pPr>
            <w:r w:rsidRPr="00B16E6B">
              <w:rPr>
                <w:rFonts w:eastAsia="Times New Roman" w:cs="Arial"/>
                <w:b/>
                <w:bCs/>
                <w:color w:val="000000"/>
                <w:sz w:val="20"/>
                <w:szCs w:val="20"/>
                <w:lang w:val="en-US" w:eastAsia="en-AU"/>
              </w:rPr>
              <w:t>Outcome</w:t>
            </w:r>
            <w:r w:rsidRPr="00B16E6B">
              <w:rPr>
                <w:rFonts w:eastAsia="Times New Roman" w:cs="Arial"/>
                <w:color w:val="000000"/>
                <w:sz w:val="20"/>
                <w:szCs w:val="20"/>
                <w:lang w:val="en-US" w:eastAsia="en-AU"/>
              </w:rPr>
              <w:t xml:space="preserve">: The </w:t>
            </w:r>
            <w:r w:rsidRPr="00B16E6B">
              <w:rPr>
                <w:rFonts w:eastAsia="Times New Roman" w:cs="Arial"/>
                <w:sz w:val="20"/>
                <w:szCs w:val="20"/>
                <w:lang w:val="en-US" w:eastAsia="en-AU"/>
              </w:rPr>
              <w:t>attack resulted in the compromise of customers’ names, email addresses and credit card details (including card numbers, expiry dates and 3-digit CVV codes). In October 2021, Britain's Information Commissioner's Office fined British Airways GBP20 million (AUD38.7 million) for failing to protect the personal and financial details of its customers. A class action followed the incident, with a group of 23,000 (as at July 2021) claimants suggesting they incurred damages as a result of the hack.</w:t>
            </w:r>
            <w:r w:rsidRPr="00B16E6B">
              <w:rPr>
                <w:rStyle w:val="FootnoteReference"/>
                <w:rFonts w:eastAsia="Times New Roman" w:cs="Arial"/>
                <w:sz w:val="20"/>
                <w:szCs w:val="20"/>
                <w:lang w:val="en-US" w:eastAsia="en-AU"/>
              </w:rPr>
              <w:footnoteReference w:id="35"/>
            </w:r>
            <w:r w:rsidRPr="00B16E6B">
              <w:rPr>
                <w:rFonts w:eastAsia="Times New Roman" w:cs="Arial"/>
                <w:sz w:val="20"/>
                <w:szCs w:val="20"/>
                <w:lang w:val="en-US" w:eastAsia="en-AU"/>
              </w:rPr>
              <w:t xml:space="preserve"> While the details of the class action settlement are confidential, estimate suggest claimants may receive an average of GBP2,000 each (AUD3,908).</w:t>
            </w:r>
            <w:r w:rsidRPr="00B16E6B">
              <w:rPr>
                <w:rStyle w:val="FootnoteReference"/>
                <w:rFonts w:eastAsia="Times New Roman" w:cs="Arial"/>
                <w:sz w:val="20"/>
                <w:szCs w:val="20"/>
                <w:lang w:val="en-US" w:eastAsia="en-AU"/>
              </w:rPr>
              <w:footnoteReference w:id="36"/>
            </w:r>
            <w:r w:rsidRPr="00B16E6B">
              <w:rPr>
                <w:rFonts w:eastAsia="Times New Roman" w:cs="Arial"/>
                <w:sz w:val="20"/>
                <w:szCs w:val="20"/>
                <w:lang w:val="en-US" w:eastAsia="en-AU"/>
              </w:rPr>
              <w:t xml:space="preserve"> Based on these estimates, the total cost of the data breach to the airline was as much as AUD129 million in fines and compensation alone. This would not include any additional costs associated with strengthening cyber security (about which the airline made no public announcement). </w:t>
            </w:r>
          </w:p>
          <w:p w14:paraId="0D423846" w14:textId="77777777" w:rsidR="002A6F52" w:rsidRPr="00B16E6B" w:rsidRDefault="002A6F52" w:rsidP="009613E1">
            <w:pPr>
              <w:spacing w:before="120" w:after="120" w:line="271" w:lineRule="auto"/>
              <w:textAlignment w:val="baseline"/>
              <w:rPr>
                <w:rFonts w:eastAsia="Times New Roman" w:cs="Times New Roman"/>
                <w:color w:val="000000"/>
                <w:sz w:val="20"/>
                <w:szCs w:val="20"/>
                <w:lang w:eastAsia="en-AU"/>
              </w:rPr>
            </w:pPr>
            <w:r w:rsidRPr="00B16E6B">
              <w:rPr>
                <w:rFonts w:eastAsia="Times New Roman" w:cs="Arial"/>
                <w:sz w:val="20"/>
                <w:szCs w:val="20"/>
                <w:lang w:val="en-US" w:eastAsia="en-AU"/>
              </w:rPr>
              <w:t xml:space="preserve">Following this incident, </w:t>
            </w:r>
            <w:r w:rsidRPr="00B16E6B">
              <w:rPr>
                <w:rFonts w:eastAsia="Times New Roman" w:cs="Arial"/>
                <w:color w:val="000000"/>
                <w:sz w:val="20"/>
                <w:szCs w:val="20"/>
                <w:lang w:val="en-US" w:eastAsia="en-AU"/>
              </w:rPr>
              <w:t>2020 saw 61% of all identified cyber-attacks in Europe target airlines, almost twice as many as the two next largest market segments combined.</w:t>
            </w:r>
            <w:r w:rsidRPr="00B16E6B">
              <w:rPr>
                <w:rFonts w:eastAsia="Times New Roman" w:cs="Arial"/>
                <w:color w:val="000000"/>
                <w:sz w:val="20"/>
                <w:szCs w:val="20"/>
                <w:lang w:eastAsia="en-AU"/>
              </w:rPr>
              <w:t> </w:t>
            </w:r>
          </w:p>
        </w:tc>
      </w:tr>
      <w:tr w:rsidR="002A6F52" w:rsidRPr="00B16E6B" w14:paraId="49AEF148" w14:textId="77777777" w:rsidTr="002A6F52">
        <w:trPr>
          <w:trHeight w:val="300"/>
        </w:trPr>
        <w:tc>
          <w:tcPr>
            <w:tcW w:w="9015" w:type="dxa"/>
            <w:gridSpan w:val="2"/>
            <w:tcBorders>
              <w:top w:val="single" w:sz="6" w:space="0" w:color="BFBFBF"/>
              <w:left w:val="nil"/>
              <w:bottom w:val="single" w:sz="6" w:space="0" w:color="BFBFBF"/>
              <w:right w:val="nil"/>
            </w:tcBorders>
            <w:hideMark/>
          </w:tcPr>
          <w:p w14:paraId="783FFBE1" w14:textId="12A0DEA1" w:rsidR="002A6F52" w:rsidRPr="00B16E6B" w:rsidRDefault="002A6F52" w:rsidP="009613E1">
            <w:pPr>
              <w:spacing w:before="120" w:after="120" w:line="271" w:lineRule="auto"/>
              <w:textAlignment w:val="baseline"/>
              <w:rPr>
                <w:rFonts w:eastAsia="Times New Roman" w:cs="Times New Roman"/>
                <w:color w:val="000000"/>
                <w:sz w:val="20"/>
                <w:szCs w:val="20"/>
                <w:lang w:eastAsia="en-AU"/>
              </w:rPr>
            </w:pPr>
            <w:r w:rsidRPr="00B16E6B">
              <w:rPr>
                <w:rFonts w:eastAsia="Times New Roman" w:cs="Arial"/>
                <w:b/>
                <w:bCs/>
                <w:color w:val="000000"/>
                <w:sz w:val="20"/>
                <w:szCs w:val="20"/>
                <w:lang w:val="en-US" w:eastAsia="en-AU"/>
              </w:rPr>
              <w:t xml:space="preserve">Identified </w:t>
            </w:r>
            <w:r w:rsidR="002F409B" w:rsidRPr="00B16E6B">
              <w:rPr>
                <w:rFonts w:eastAsia="Times New Roman" w:cs="Arial"/>
                <w:b/>
                <w:bCs/>
                <w:color w:val="000000"/>
                <w:sz w:val="20"/>
                <w:szCs w:val="20"/>
                <w:lang w:val="en-US" w:eastAsia="en-AU"/>
              </w:rPr>
              <w:t>g</w:t>
            </w:r>
            <w:r w:rsidRPr="00B16E6B">
              <w:rPr>
                <w:rFonts w:eastAsia="Times New Roman" w:cs="Arial"/>
                <w:b/>
                <w:bCs/>
                <w:color w:val="000000"/>
                <w:sz w:val="20"/>
                <w:szCs w:val="20"/>
                <w:lang w:val="en-US" w:eastAsia="en-AU"/>
              </w:rPr>
              <w:t>ap</w:t>
            </w:r>
            <w:r w:rsidRPr="00B16E6B">
              <w:rPr>
                <w:rFonts w:eastAsia="Times New Roman" w:cs="Arial"/>
                <w:color w:val="000000"/>
                <w:sz w:val="20"/>
                <w:szCs w:val="20"/>
                <w:lang w:val="en-US" w:eastAsia="en-AU"/>
              </w:rPr>
              <w:t>: This incident demonstrated a failure by British Airways to consider the risks of potential cyber-attacks and apply adequate protections for sensitive customer data. While this example is outside Australia, similar data breaches from cyber incidents have recently occurred in other critical infrastructure sectors in Australia (such as the Optus and Medibank breaches). This leaves open the possibility of a similar event occurring to one of Australia’s commercial airlines, where appropriate risk management protocols are not in place. </w:t>
            </w:r>
            <w:r w:rsidRPr="00B16E6B">
              <w:rPr>
                <w:rFonts w:eastAsia="Times New Roman" w:cs="Arial"/>
                <w:color w:val="000000"/>
                <w:sz w:val="20"/>
                <w:szCs w:val="20"/>
                <w:lang w:eastAsia="en-AU"/>
              </w:rPr>
              <w:t> </w:t>
            </w:r>
          </w:p>
        </w:tc>
      </w:tr>
    </w:tbl>
    <w:p w14:paraId="26FDBAA1" w14:textId="19D89FA2" w:rsidR="00AB5FEA" w:rsidRPr="00B16E6B" w:rsidRDefault="002A6F52" w:rsidP="009613E1">
      <w:pPr>
        <w:spacing w:line="271" w:lineRule="auto"/>
      </w:pPr>
      <w:r w:rsidRPr="00B16E6B" w:rsidDel="002A6F52">
        <w:t xml:space="preserve"> </w:t>
      </w:r>
    </w:p>
    <w:p w14:paraId="0474A653" w14:textId="1EE904F5" w:rsidR="00F40CFA" w:rsidRPr="00B16E6B" w:rsidRDefault="00BA3CF3" w:rsidP="00DA5B83">
      <w:pPr>
        <w:spacing w:before="600" w:after="200" w:line="271" w:lineRule="auto"/>
        <w:rPr>
          <w:rFonts w:eastAsia="Times New Roman" w:cs="Arial"/>
          <w:color w:val="2F5496"/>
          <w:szCs w:val="22"/>
          <w:lang w:eastAsia="en-AU"/>
        </w:rPr>
      </w:pPr>
      <w:r w:rsidRPr="00B16E6B">
        <w:rPr>
          <w:rFonts w:eastAsia="Times New Roman" w:cs="Arial"/>
          <w:szCs w:val="22"/>
          <w:lang w:eastAsia="en-AU"/>
        </w:rPr>
        <w:t>These case studies demonstrate the varied, yet significant, impacts of disruptions to Australia’s transport sector. While the range of legislation identified throughout this se</w:t>
      </w:r>
      <w:r w:rsidR="00392A92" w:rsidRPr="00B16E6B">
        <w:rPr>
          <w:rFonts w:eastAsia="Times New Roman" w:cs="Arial"/>
          <w:szCs w:val="22"/>
          <w:lang w:eastAsia="en-AU"/>
        </w:rPr>
        <w:t xml:space="preserve">ction may support industry and </w:t>
      </w:r>
      <w:r w:rsidR="00487C6A" w:rsidRPr="00B16E6B">
        <w:rPr>
          <w:rFonts w:eastAsia="Times New Roman" w:cs="Arial"/>
          <w:szCs w:val="22"/>
          <w:lang w:eastAsia="en-AU"/>
        </w:rPr>
        <w:t>government</w:t>
      </w:r>
      <w:r w:rsidRPr="00B16E6B">
        <w:rPr>
          <w:rFonts w:eastAsia="Times New Roman" w:cs="Arial"/>
          <w:szCs w:val="22"/>
          <w:lang w:eastAsia="en-AU"/>
        </w:rPr>
        <w:t xml:space="preserve"> in preparing for and responding to all</w:t>
      </w:r>
      <w:r w:rsidR="00865AA6" w:rsidRPr="00B16E6B">
        <w:rPr>
          <w:rFonts w:eastAsia="Times New Roman" w:cs="Arial"/>
          <w:szCs w:val="22"/>
          <w:lang w:eastAsia="en-AU"/>
        </w:rPr>
        <w:t xml:space="preserve"> </w:t>
      </w:r>
      <w:r w:rsidRPr="00B16E6B">
        <w:rPr>
          <w:rFonts w:eastAsia="Times New Roman" w:cs="Arial"/>
          <w:szCs w:val="22"/>
          <w:lang w:eastAsia="en-AU"/>
        </w:rPr>
        <w:t xml:space="preserve">hazard threats, analysis has identified several gaps which limit a stakeholders’ ability to do so. </w:t>
      </w:r>
      <w:r w:rsidR="002F409B" w:rsidRPr="00B16E6B">
        <w:rPr>
          <w:rFonts w:eastAsia="Times New Roman" w:cs="Arial"/>
          <w:szCs w:val="22"/>
          <w:lang w:eastAsia="en-AU"/>
        </w:rPr>
        <w:t xml:space="preserve">Furthermore, they demonstrate the importance of planning for current and emerging threats within the Australian context. </w:t>
      </w:r>
      <w:r w:rsidRPr="00B16E6B">
        <w:rPr>
          <w:rFonts w:eastAsia="Times New Roman" w:cs="Arial"/>
          <w:szCs w:val="22"/>
          <w:lang w:eastAsia="en-AU"/>
        </w:rPr>
        <w:t>Modernising the transport security legislative framework</w:t>
      </w:r>
      <w:r w:rsidR="00392A92" w:rsidRPr="00B16E6B">
        <w:rPr>
          <w:rFonts w:eastAsia="Times New Roman" w:cs="Arial"/>
          <w:szCs w:val="22"/>
          <w:lang w:eastAsia="en-AU"/>
        </w:rPr>
        <w:t>s</w:t>
      </w:r>
      <w:r w:rsidR="0049314B" w:rsidRPr="00B16E6B">
        <w:rPr>
          <w:rFonts w:eastAsia="Times New Roman" w:cs="Arial"/>
          <w:szCs w:val="22"/>
          <w:lang w:eastAsia="en-AU"/>
        </w:rPr>
        <w:t xml:space="preserve"> will ensure </w:t>
      </w:r>
      <w:r w:rsidRPr="00B16E6B">
        <w:rPr>
          <w:rFonts w:eastAsia="Times New Roman" w:cs="Arial"/>
          <w:szCs w:val="22"/>
          <w:lang w:eastAsia="en-AU"/>
        </w:rPr>
        <w:t>evolving threats in the operating environment are considered and mi</w:t>
      </w:r>
      <w:r w:rsidR="0049314B" w:rsidRPr="00B16E6B">
        <w:rPr>
          <w:rFonts w:eastAsia="Times New Roman" w:cs="Arial"/>
          <w:szCs w:val="22"/>
          <w:lang w:eastAsia="en-AU"/>
        </w:rPr>
        <w:t>tigated by industry</w:t>
      </w:r>
      <w:r w:rsidRPr="00B16E6B">
        <w:rPr>
          <w:rFonts w:eastAsia="Times New Roman" w:cs="Arial"/>
          <w:szCs w:val="22"/>
          <w:lang w:eastAsia="en-AU"/>
        </w:rPr>
        <w:t>. This is required to ensure Australia’s robust and effective transport sector continues to support national and societal resilience, and Australia’s prosperity. </w:t>
      </w:r>
      <w:r w:rsidRPr="00B16E6B">
        <w:rPr>
          <w:rFonts w:eastAsia="Times New Roman" w:cs="Arial"/>
          <w:color w:val="D13438"/>
          <w:szCs w:val="22"/>
          <w:lang w:eastAsia="en-AU"/>
        </w:rPr>
        <w:t> </w:t>
      </w:r>
    </w:p>
    <w:p w14:paraId="0A1D675E" w14:textId="77777777" w:rsidR="00F40CFA" w:rsidRPr="00B16E6B" w:rsidRDefault="00F40CFA" w:rsidP="009613E1">
      <w:pPr>
        <w:pStyle w:val="Heading1"/>
        <w:numPr>
          <w:ilvl w:val="0"/>
          <w:numId w:val="13"/>
        </w:numPr>
        <w:spacing w:line="271" w:lineRule="auto"/>
      </w:pPr>
      <w:bookmarkStart w:id="1" w:name="_Toc96326922"/>
      <w:r w:rsidRPr="00B16E6B">
        <w:lastRenderedPageBreak/>
        <w:t xml:space="preserve">What are the objectives, why is </w:t>
      </w:r>
      <w:r w:rsidR="00487C6A" w:rsidRPr="00B16E6B">
        <w:t>government</w:t>
      </w:r>
      <w:r w:rsidRPr="00B16E6B">
        <w:t xml:space="preserve"> intervention needed to achieve them, and how will success be measured?</w:t>
      </w:r>
    </w:p>
    <w:p w14:paraId="03A7CF47" w14:textId="6ACE24C5" w:rsidR="00CA613D" w:rsidRDefault="00CA613D" w:rsidP="00752DAE">
      <w:pPr>
        <w:pStyle w:val="Heading2"/>
        <w:rPr>
          <w:rFonts w:eastAsia="Times New Roman"/>
          <w:lang w:eastAsia="en-AU"/>
        </w:rPr>
      </w:pPr>
      <w:r>
        <w:rPr>
          <w:rFonts w:eastAsia="Times New Roman"/>
          <w:lang w:eastAsia="en-AU"/>
        </w:rPr>
        <w:t>2.1 Government’s objectives</w:t>
      </w:r>
    </w:p>
    <w:p w14:paraId="6C46F643" w14:textId="3B9CA662" w:rsidR="00FC5DE7" w:rsidRPr="00B16E6B" w:rsidRDefault="00FC5DE7" w:rsidP="009613E1">
      <w:pPr>
        <w:spacing w:after="240" w:line="271" w:lineRule="auto"/>
        <w:rPr>
          <w:rFonts w:eastAsia="Times New Roman" w:cs="Segoe UI"/>
          <w:sz w:val="18"/>
          <w:szCs w:val="18"/>
          <w:lang w:eastAsia="en-AU"/>
        </w:rPr>
      </w:pPr>
      <w:r w:rsidRPr="00B16E6B">
        <w:rPr>
          <w:rFonts w:eastAsia="Times New Roman"/>
          <w:lang w:eastAsia="en-AU"/>
        </w:rPr>
        <w:t xml:space="preserve">There are several specific objectives for </w:t>
      </w:r>
      <w:r w:rsidR="00487C6A" w:rsidRPr="00B16E6B">
        <w:rPr>
          <w:rFonts w:eastAsia="Times New Roman"/>
          <w:lang w:eastAsia="en-AU"/>
        </w:rPr>
        <w:t>government</w:t>
      </w:r>
      <w:r w:rsidRPr="00B16E6B">
        <w:rPr>
          <w:rFonts w:eastAsia="Times New Roman"/>
          <w:lang w:eastAsia="en-AU"/>
        </w:rPr>
        <w:t xml:space="preserve">’s intervention in considering opportunities for reform. </w:t>
      </w:r>
      <w:r w:rsidR="0076081D" w:rsidRPr="00B16E6B">
        <w:rPr>
          <w:rFonts w:eastAsia="Times New Roman"/>
          <w:lang w:eastAsia="en-AU"/>
        </w:rPr>
        <w:t>These objectives are aligned with the two problem elements identified in Section 1 (as set out in table 8 below).  </w:t>
      </w:r>
    </w:p>
    <w:p w14:paraId="4BA298A9" w14:textId="77777777" w:rsidR="00FC5DE7" w:rsidRPr="00B16E6B" w:rsidRDefault="00FC5DE7" w:rsidP="009613E1">
      <w:pPr>
        <w:spacing w:after="60" w:line="271" w:lineRule="auto"/>
        <w:rPr>
          <w:rFonts w:eastAsia="Times New Roman" w:cs="Segoe UI"/>
          <w:i/>
          <w:iCs/>
          <w:color w:val="44546A"/>
          <w:sz w:val="18"/>
          <w:szCs w:val="18"/>
          <w:lang w:eastAsia="en-AU"/>
        </w:rPr>
      </w:pPr>
      <w:r w:rsidRPr="00B16E6B">
        <w:rPr>
          <w:rFonts w:eastAsia="Times New Roman" w:cs="Arial"/>
          <w:b/>
          <w:bCs/>
          <w:i/>
          <w:iCs/>
          <w:color w:val="44546A"/>
          <w:sz w:val="18"/>
          <w:szCs w:val="18"/>
          <w:lang w:eastAsia="en-AU"/>
        </w:rPr>
        <w:t>Table 8:</w:t>
      </w:r>
      <w:r w:rsidRPr="00B16E6B">
        <w:rPr>
          <w:rFonts w:eastAsia="Times New Roman" w:cs="Segoe UI"/>
          <w:i/>
          <w:iCs/>
          <w:color w:val="44546A"/>
          <w:sz w:val="18"/>
          <w:szCs w:val="18"/>
          <w:lang w:eastAsia="en-AU"/>
        </w:rPr>
        <w:t xml:space="preserve">  </w:t>
      </w:r>
      <w:r w:rsidRPr="00B16E6B">
        <w:rPr>
          <w:rFonts w:eastAsia="Times New Roman" w:cs="Arial"/>
          <w:i/>
          <w:iCs/>
          <w:color w:val="44546A"/>
          <w:sz w:val="18"/>
          <w:szCs w:val="18"/>
          <w:lang w:eastAsia="en-AU"/>
        </w:rPr>
        <w:t>Prob</w:t>
      </w:r>
      <w:r w:rsidR="00774FBA" w:rsidRPr="00B16E6B">
        <w:rPr>
          <w:rFonts w:eastAsia="Times New Roman" w:cs="Arial"/>
          <w:i/>
          <w:iCs/>
          <w:color w:val="44546A"/>
          <w:sz w:val="18"/>
          <w:szCs w:val="18"/>
          <w:lang w:eastAsia="en-AU"/>
        </w:rPr>
        <w:t xml:space="preserve">lem elements and corresponding </w:t>
      </w:r>
      <w:r w:rsidR="00487C6A" w:rsidRPr="00B16E6B">
        <w:rPr>
          <w:rFonts w:eastAsia="Times New Roman" w:cs="Arial"/>
          <w:i/>
          <w:iCs/>
          <w:color w:val="44546A"/>
          <w:sz w:val="18"/>
          <w:szCs w:val="18"/>
          <w:lang w:eastAsia="en-AU"/>
        </w:rPr>
        <w:t>government</w:t>
      </w:r>
      <w:r w:rsidRPr="00B16E6B">
        <w:rPr>
          <w:rFonts w:eastAsia="Times New Roman" w:cs="Arial"/>
          <w:i/>
          <w:iCs/>
          <w:color w:val="44546A"/>
          <w:sz w:val="18"/>
          <w:szCs w:val="18"/>
          <w:lang w:eastAsia="en-AU"/>
        </w:rPr>
        <w:t xml:space="preserve"> objectives </w:t>
      </w:r>
    </w:p>
    <w:tbl>
      <w:tblPr>
        <w:tblW w:w="9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4106"/>
        <w:gridCol w:w="4335"/>
      </w:tblGrid>
      <w:tr w:rsidR="009A44DD" w:rsidRPr="00B16E6B" w14:paraId="241A5E3E" w14:textId="77777777" w:rsidTr="009A44DD">
        <w:trPr>
          <w:trHeight w:val="300"/>
        </w:trPr>
        <w:tc>
          <w:tcPr>
            <w:tcW w:w="709" w:type="dxa"/>
            <w:tcBorders>
              <w:top w:val="single" w:sz="4" w:space="0" w:color="BFBFBF" w:themeColor="background2" w:themeShade="BF"/>
              <w:left w:val="nil"/>
              <w:bottom w:val="single" w:sz="6" w:space="0" w:color="BFBFBF" w:themeColor="background2" w:themeShade="BF"/>
              <w:right w:val="single" w:sz="6" w:space="0" w:color="BFBFBF" w:themeColor="background2" w:themeShade="BF"/>
            </w:tcBorders>
            <w:shd w:val="clear" w:color="auto" w:fill="1C2B39" w:themeFill="accent1"/>
            <w:vAlign w:val="center"/>
            <w:hideMark/>
          </w:tcPr>
          <w:p w14:paraId="0AFF2AD4" w14:textId="34E98C4C" w:rsidR="009A44DD" w:rsidRPr="00B16E6B" w:rsidRDefault="009A44DD" w:rsidP="009613E1">
            <w:pPr>
              <w:spacing w:before="120" w:after="120" w:line="271" w:lineRule="auto"/>
              <w:ind w:left="113"/>
              <w:textAlignment w:val="baseline"/>
              <w:rPr>
                <w:rFonts w:eastAsia="Times New Roman" w:cs="Times New Roman"/>
                <w:sz w:val="20"/>
                <w:szCs w:val="20"/>
                <w:lang w:eastAsia="en-AU"/>
              </w:rPr>
            </w:pPr>
          </w:p>
        </w:tc>
        <w:tc>
          <w:tcPr>
            <w:tcW w:w="4106" w:type="dxa"/>
            <w:tcBorders>
              <w:top w:val="single" w:sz="4" w:space="0" w:color="BFBFBF" w:themeColor="background2" w:themeShade="BF"/>
              <w:left w:val="nil"/>
              <w:bottom w:val="single" w:sz="6" w:space="0" w:color="BFBFBF" w:themeColor="background2" w:themeShade="BF"/>
              <w:right w:val="single" w:sz="6" w:space="0" w:color="BFBFBF" w:themeColor="background2" w:themeShade="BF"/>
            </w:tcBorders>
            <w:shd w:val="clear" w:color="auto" w:fill="1C2B39" w:themeFill="accent1"/>
            <w:vAlign w:val="center"/>
          </w:tcPr>
          <w:p w14:paraId="37C774D2" w14:textId="04750FEF" w:rsidR="009A44DD" w:rsidRPr="00B16E6B" w:rsidRDefault="009A44DD" w:rsidP="009613E1">
            <w:pPr>
              <w:spacing w:before="120" w:after="120" w:line="271" w:lineRule="auto"/>
              <w:ind w:left="113"/>
              <w:textAlignment w:val="baseline"/>
              <w:rPr>
                <w:rFonts w:eastAsia="Times New Roman" w:cs="Times New Roman"/>
                <w:sz w:val="20"/>
                <w:szCs w:val="20"/>
                <w:lang w:eastAsia="en-AU"/>
              </w:rPr>
            </w:pPr>
            <w:r w:rsidRPr="00B16E6B">
              <w:rPr>
                <w:rFonts w:eastAsia="Times New Roman" w:cs="Arial"/>
                <w:b/>
                <w:bCs/>
                <w:sz w:val="20"/>
                <w:szCs w:val="20"/>
                <w:lang w:eastAsia="en-AU"/>
              </w:rPr>
              <w:t>What is the problem?</w:t>
            </w:r>
            <w:r w:rsidRPr="00B16E6B">
              <w:rPr>
                <w:rFonts w:eastAsia="Times New Roman" w:cs="Arial"/>
                <w:sz w:val="20"/>
                <w:szCs w:val="20"/>
                <w:lang w:eastAsia="en-AU"/>
              </w:rPr>
              <w:t> </w:t>
            </w:r>
          </w:p>
        </w:tc>
        <w:tc>
          <w:tcPr>
            <w:tcW w:w="4335" w:type="dxa"/>
            <w:tcBorders>
              <w:top w:val="single" w:sz="4" w:space="0" w:color="BFBFBF" w:themeColor="background2" w:themeShade="BF"/>
              <w:left w:val="single" w:sz="6" w:space="0" w:color="BFBFBF" w:themeColor="background2" w:themeShade="BF"/>
              <w:bottom w:val="single" w:sz="6" w:space="0" w:color="BFBFBF" w:themeColor="background2" w:themeShade="BF"/>
              <w:right w:val="nil"/>
            </w:tcBorders>
            <w:shd w:val="clear" w:color="auto" w:fill="1C2B39" w:themeFill="accent1"/>
            <w:hideMark/>
          </w:tcPr>
          <w:p w14:paraId="79D96591" w14:textId="77777777" w:rsidR="009A44DD" w:rsidRPr="00B16E6B" w:rsidRDefault="009A44DD" w:rsidP="009613E1">
            <w:pPr>
              <w:spacing w:before="120" w:after="120" w:line="271" w:lineRule="auto"/>
              <w:ind w:left="113"/>
              <w:textAlignment w:val="baseline"/>
              <w:rPr>
                <w:rFonts w:eastAsia="Times New Roman" w:cs="Times New Roman"/>
                <w:sz w:val="20"/>
                <w:szCs w:val="20"/>
                <w:lang w:eastAsia="en-AU"/>
              </w:rPr>
            </w:pPr>
            <w:r w:rsidRPr="00B16E6B">
              <w:rPr>
                <w:rFonts w:eastAsia="Times New Roman" w:cs="Arial"/>
                <w:b/>
                <w:bCs/>
                <w:sz w:val="20"/>
                <w:szCs w:val="20"/>
                <w:lang w:eastAsia="en-AU"/>
              </w:rPr>
              <w:t>What are government’s objectives?</w:t>
            </w:r>
            <w:r w:rsidRPr="00B16E6B">
              <w:rPr>
                <w:rFonts w:eastAsia="Times New Roman" w:cs="Arial"/>
                <w:sz w:val="20"/>
                <w:szCs w:val="20"/>
                <w:lang w:eastAsia="en-AU"/>
              </w:rPr>
              <w:t> </w:t>
            </w:r>
          </w:p>
        </w:tc>
      </w:tr>
      <w:tr w:rsidR="00FC5DE7" w:rsidRPr="00B16E6B" w14:paraId="49990803" w14:textId="77777777" w:rsidTr="009A44DD">
        <w:trPr>
          <w:trHeight w:val="300"/>
        </w:trPr>
        <w:tc>
          <w:tcPr>
            <w:tcW w:w="709" w:type="dxa"/>
            <w:tcBorders>
              <w:top w:val="single" w:sz="6" w:space="0" w:color="BFBFBF" w:themeColor="background2" w:themeShade="BF"/>
              <w:left w:val="nil"/>
              <w:bottom w:val="single" w:sz="6" w:space="0" w:color="BFBFBF" w:themeColor="background2" w:themeShade="BF"/>
              <w:right w:val="single" w:sz="6" w:space="0" w:color="BFBFBF" w:themeColor="background2" w:themeShade="BF"/>
            </w:tcBorders>
            <w:shd w:val="clear" w:color="auto" w:fill="F2F2F2" w:themeFill="background2" w:themeFillShade="F2"/>
            <w:vAlign w:val="center"/>
            <w:hideMark/>
          </w:tcPr>
          <w:p w14:paraId="229E4006" w14:textId="77777777" w:rsidR="00FC5DE7" w:rsidRPr="00B16E6B" w:rsidRDefault="00FC5DE7" w:rsidP="009613E1">
            <w:pPr>
              <w:spacing w:after="120" w:line="271" w:lineRule="auto"/>
              <w:ind w:left="113" w:right="113"/>
              <w:textAlignment w:val="baseline"/>
              <w:rPr>
                <w:rFonts w:eastAsia="Times New Roman" w:cs="Times New Roman"/>
                <w:sz w:val="24"/>
                <w:szCs w:val="24"/>
                <w:lang w:eastAsia="en-AU"/>
              </w:rPr>
            </w:pPr>
            <w:r w:rsidRPr="00B16E6B">
              <w:rPr>
                <w:rFonts w:eastAsia="Times New Roman" w:cs="Arial"/>
                <w:b/>
                <w:bCs/>
                <w:sz w:val="20"/>
                <w:szCs w:val="20"/>
                <w:lang w:eastAsia="en-AU"/>
              </w:rPr>
              <w:t>1.1.1</w:t>
            </w:r>
          </w:p>
        </w:tc>
        <w:tc>
          <w:tcPr>
            <w:tcW w:w="4106"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vAlign w:val="center"/>
            <w:hideMark/>
          </w:tcPr>
          <w:p w14:paraId="2C0AF54E" w14:textId="77777777" w:rsidR="00FC5DE7" w:rsidRPr="00B16E6B" w:rsidRDefault="00FC5DE7" w:rsidP="009613E1">
            <w:pPr>
              <w:spacing w:before="20" w:after="1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There are a growing number of threats to Australia’s transport sector, including an inc</w:t>
            </w:r>
            <w:r w:rsidR="0049314B" w:rsidRPr="00B16E6B">
              <w:rPr>
                <w:rFonts w:eastAsia="Times New Roman" w:cs="Arial"/>
                <w:sz w:val="20"/>
                <w:szCs w:val="20"/>
                <w:lang w:eastAsia="en-AU"/>
              </w:rPr>
              <w:t>reasing risk of cyber incidents</w:t>
            </w:r>
            <w:r w:rsidRPr="00B16E6B">
              <w:rPr>
                <w:rFonts w:eastAsia="Times New Roman" w:cs="Arial"/>
                <w:sz w:val="20"/>
                <w:szCs w:val="20"/>
                <w:lang w:eastAsia="en-AU"/>
              </w:rPr>
              <w:t> </w:t>
            </w:r>
          </w:p>
        </w:tc>
        <w:tc>
          <w:tcPr>
            <w:tcW w:w="4335" w:type="dxa"/>
            <w:vMerge w:val="restart"/>
            <w:tcBorders>
              <w:top w:val="single" w:sz="6" w:space="0" w:color="BFBFBF" w:themeColor="background2" w:themeShade="BF"/>
              <w:left w:val="single" w:sz="6" w:space="0" w:color="BFBFBF" w:themeColor="background2" w:themeShade="BF"/>
              <w:bottom w:val="single" w:sz="6" w:space="0" w:color="BFBFBF" w:themeColor="background2" w:themeShade="BF"/>
              <w:right w:val="nil"/>
            </w:tcBorders>
            <w:vAlign w:val="center"/>
            <w:hideMark/>
          </w:tcPr>
          <w:p w14:paraId="3B7183FC" w14:textId="77777777" w:rsidR="0022690C" w:rsidRPr="00B16E6B" w:rsidRDefault="0022690C" w:rsidP="00A11AF5">
            <w:pPr>
              <w:pStyle w:val="ListParagraph"/>
              <w:numPr>
                <w:ilvl w:val="0"/>
                <w:numId w:val="29"/>
              </w:numPr>
              <w:spacing w:before="20" w:after="120" w:line="271" w:lineRule="auto"/>
              <w:textAlignment w:val="baseline"/>
              <w:rPr>
                <w:sz w:val="20"/>
                <w:szCs w:val="20"/>
              </w:rPr>
            </w:pPr>
            <w:r w:rsidRPr="00B16E6B">
              <w:rPr>
                <w:sz w:val="20"/>
                <w:szCs w:val="20"/>
              </w:rPr>
              <w:t xml:space="preserve">Ensure </w:t>
            </w:r>
            <w:r w:rsidR="00487C6A" w:rsidRPr="00B16E6B">
              <w:rPr>
                <w:sz w:val="20"/>
                <w:szCs w:val="20"/>
              </w:rPr>
              <w:t>government</w:t>
            </w:r>
            <w:r w:rsidRPr="00B16E6B">
              <w:rPr>
                <w:sz w:val="20"/>
                <w:szCs w:val="20"/>
              </w:rPr>
              <w:t xml:space="preserve"> and industry are equipped to respond to current and emerging threats  </w:t>
            </w:r>
          </w:p>
          <w:p w14:paraId="0CE11B70" w14:textId="77777777" w:rsidR="0022690C" w:rsidRPr="00B16E6B" w:rsidRDefault="0022690C" w:rsidP="00A11AF5">
            <w:pPr>
              <w:pStyle w:val="ListParagraph"/>
              <w:numPr>
                <w:ilvl w:val="0"/>
                <w:numId w:val="29"/>
              </w:numPr>
              <w:spacing w:before="20" w:after="120" w:line="271" w:lineRule="auto"/>
              <w:textAlignment w:val="baseline"/>
              <w:rPr>
                <w:sz w:val="20"/>
                <w:szCs w:val="20"/>
              </w:rPr>
            </w:pPr>
            <w:r w:rsidRPr="00B16E6B">
              <w:rPr>
                <w:sz w:val="20"/>
                <w:szCs w:val="20"/>
              </w:rPr>
              <w:t>Ensure industry can meet desired security outcomes, including through identifying, mitigating, and responding to all hazards threats</w:t>
            </w:r>
          </w:p>
          <w:p w14:paraId="32E656B4" w14:textId="77777777" w:rsidR="007B34EC" w:rsidRPr="00B16E6B" w:rsidRDefault="00487C6A" w:rsidP="00A11AF5">
            <w:pPr>
              <w:pStyle w:val="ListParagraph"/>
              <w:numPr>
                <w:ilvl w:val="0"/>
                <w:numId w:val="29"/>
              </w:numPr>
              <w:spacing w:before="20" w:after="120" w:line="271" w:lineRule="auto"/>
              <w:textAlignment w:val="baseline"/>
              <w:rPr>
                <w:rFonts w:eastAsia="Times New Roman" w:cs="Arial"/>
                <w:sz w:val="20"/>
                <w:szCs w:val="20"/>
                <w:lang w:eastAsia="en-AU"/>
              </w:rPr>
            </w:pPr>
            <w:r w:rsidRPr="00B16E6B">
              <w:rPr>
                <w:rStyle w:val="ui-provider"/>
                <w:sz w:val="20"/>
                <w:szCs w:val="20"/>
              </w:rPr>
              <w:t>Ensure Australia is proactive and adaptive to evolving international aviation and maritime security obligations</w:t>
            </w:r>
          </w:p>
        </w:tc>
      </w:tr>
      <w:tr w:rsidR="00FC5DE7" w:rsidRPr="00B16E6B" w14:paraId="69D2A27A" w14:textId="77777777" w:rsidTr="009A44DD">
        <w:trPr>
          <w:trHeight w:val="300"/>
        </w:trPr>
        <w:tc>
          <w:tcPr>
            <w:tcW w:w="709" w:type="dxa"/>
            <w:tcBorders>
              <w:top w:val="single" w:sz="6" w:space="0" w:color="BFBFBF" w:themeColor="background2" w:themeShade="BF"/>
              <w:left w:val="nil"/>
              <w:bottom w:val="single" w:sz="4" w:space="0" w:color="BFBFBF" w:themeColor="background2" w:themeShade="BF"/>
              <w:right w:val="single" w:sz="6" w:space="0" w:color="BFBFBF" w:themeColor="background2" w:themeShade="BF"/>
            </w:tcBorders>
            <w:shd w:val="clear" w:color="auto" w:fill="F2F2F2" w:themeFill="background2" w:themeFillShade="F2"/>
            <w:vAlign w:val="center"/>
            <w:hideMark/>
          </w:tcPr>
          <w:p w14:paraId="0ED54604" w14:textId="77777777" w:rsidR="00FC5DE7" w:rsidRPr="00B16E6B" w:rsidRDefault="00FC5DE7" w:rsidP="009613E1">
            <w:pPr>
              <w:spacing w:after="120" w:line="271" w:lineRule="auto"/>
              <w:ind w:left="113" w:right="113"/>
              <w:textAlignment w:val="baseline"/>
              <w:rPr>
                <w:rFonts w:eastAsia="Times New Roman" w:cs="Times New Roman"/>
                <w:sz w:val="24"/>
                <w:szCs w:val="24"/>
                <w:lang w:eastAsia="en-AU"/>
              </w:rPr>
            </w:pPr>
            <w:r w:rsidRPr="00B16E6B">
              <w:rPr>
                <w:rFonts w:eastAsia="Times New Roman" w:cs="Arial"/>
                <w:b/>
                <w:bCs/>
                <w:sz w:val="20"/>
                <w:szCs w:val="20"/>
                <w:lang w:eastAsia="en-AU"/>
              </w:rPr>
              <w:t>1.1.2</w:t>
            </w:r>
          </w:p>
        </w:tc>
        <w:tc>
          <w:tcPr>
            <w:tcW w:w="4106" w:type="dxa"/>
            <w:tcBorders>
              <w:top w:val="single" w:sz="6" w:space="0" w:color="BFBFBF" w:themeColor="background2" w:themeShade="BF"/>
              <w:left w:val="single" w:sz="6" w:space="0" w:color="BFBFBF" w:themeColor="background2" w:themeShade="BF"/>
              <w:bottom w:val="single" w:sz="4" w:space="0" w:color="BFBFBF" w:themeColor="background2" w:themeShade="BF"/>
              <w:right w:val="single" w:sz="6" w:space="0" w:color="BFBFBF" w:themeColor="background2" w:themeShade="BF"/>
            </w:tcBorders>
            <w:vAlign w:val="center"/>
            <w:hideMark/>
          </w:tcPr>
          <w:p w14:paraId="26EBC2A6" w14:textId="77777777" w:rsidR="00FC5DE7" w:rsidRPr="00B16E6B" w:rsidRDefault="00FC5DE7" w:rsidP="009613E1">
            <w:pPr>
              <w:spacing w:after="120" w:line="271" w:lineRule="auto"/>
              <w:ind w:left="113"/>
              <w:textAlignment w:val="baseline"/>
              <w:rPr>
                <w:rFonts w:eastAsia="Times New Roman" w:cs="Times New Roman"/>
                <w:sz w:val="20"/>
                <w:szCs w:val="20"/>
                <w:lang w:eastAsia="en-AU"/>
              </w:rPr>
            </w:pPr>
            <w:r w:rsidRPr="00B16E6B">
              <w:rPr>
                <w:rFonts w:eastAsia="Times New Roman" w:cs="Arial"/>
                <w:sz w:val="20"/>
                <w:szCs w:val="20"/>
                <w:lang w:eastAsia="en-AU"/>
              </w:rPr>
              <w:t>The dynamic and uncertain nature of these threats means the transport sector faces challenges in preparing for, mitigating</w:t>
            </w:r>
            <w:r w:rsidR="0022690C" w:rsidRPr="00B16E6B">
              <w:rPr>
                <w:rFonts w:eastAsia="Times New Roman" w:cs="Arial"/>
                <w:sz w:val="20"/>
                <w:szCs w:val="20"/>
                <w:lang w:eastAsia="en-AU"/>
              </w:rPr>
              <w:t>,</w:t>
            </w:r>
            <w:r w:rsidRPr="00B16E6B">
              <w:rPr>
                <w:rFonts w:eastAsia="Times New Roman" w:cs="Arial"/>
                <w:sz w:val="20"/>
                <w:szCs w:val="20"/>
                <w:lang w:eastAsia="en-AU"/>
              </w:rPr>
              <w:t xml:space="preserve"> and responding</w:t>
            </w:r>
            <w:r w:rsidR="0049314B" w:rsidRPr="00B16E6B">
              <w:rPr>
                <w:rFonts w:eastAsia="Times New Roman" w:cs="Arial"/>
                <w:sz w:val="20"/>
                <w:szCs w:val="20"/>
                <w:lang w:eastAsia="en-AU"/>
              </w:rPr>
              <w:t xml:space="preserve"> to the realisation of </w:t>
            </w:r>
            <w:r w:rsidR="669FEDAB" w:rsidRPr="00B16E6B">
              <w:rPr>
                <w:rFonts w:eastAsia="Times New Roman" w:cs="Arial"/>
                <w:sz w:val="20"/>
                <w:szCs w:val="20"/>
                <w:lang w:eastAsia="en-AU"/>
              </w:rPr>
              <w:t xml:space="preserve">these </w:t>
            </w:r>
            <w:r w:rsidR="0049314B" w:rsidRPr="00B16E6B">
              <w:rPr>
                <w:rFonts w:eastAsia="Times New Roman" w:cs="Arial"/>
                <w:sz w:val="20"/>
                <w:szCs w:val="20"/>
                <w:lang w:eastAsia="en-AU"/>
              </w:rPr>
              <w:t>threats</w:t>
            </w:r>
          </w:p>
        </w:tc>
        <w:tc>
          <w:tcPr>
            <w:tcW w:w="4335" w:type="dxa"/>
            <w:vMerge/>
            <w:tcBorders>
              <w:top w:val="single" w:sz="6" w:space="0" w:color="BFBFBF" w:themeColor="background2" w:themeShade="BF"/>
              <w:bottom w:val="single" w:sz="6" w:space="0" w:color="BFBFBF" w:themeColor="background2" w:themeShade="BF"/>
              <w:right w:val="nil"/>
            </w:tcBorders>
            <w:vAlign w:val="center"/>
            <w:hideMark/>
          </w:tcPr>
          <w:p w14:paraId="3D9720D0" w14:textId="77777777" w:rsidR="00FC5DE7" w:rsidRPr="00B16E6B" w:rsidRDefault="00FC5DE7" w:rsidP="009613E1">
            <w:pPr>
              <w:spacing w:after="0" w:line="271" w:lineRule="auto"/>
              <w:rPr>
                <w:rFonts w:eastAsia="Times New Roman" w:cs="Arial"/>
                <w:sz w:val="20"/>
                <w:szCs w:val="20"/>
                <w:lang w:eastAsia="en-AU"/>
              </w:rPr>
            </w:pPr>
          </w:p>
        </w:tc>
      </w:tr>
    </w:tbl>
    <w:p w14:paraId="50B01722" w14:textId="5A31D4DB" w:rsidR="00605DA5" w:rsidRPr="00B16E6B" w:rsidRDefault="00FC5DE7" w:rsidP="009613E1">
      <w:pPr>
        <w:spacing w:before="240" w:after="120" w:line="271" w:lineRule="auto"/>
        <w:rPr>
          <w:rFonts w:eastAsia="Times New Roman"/>
          <w:lang w:eastAsia="en-AU"/>
        </w:rPr>
      </w:pPr>
      <w:r w:rsidRPr="00B16E6B">
        <w:rPr>
          <w:rFonts w:eastAsia="Times New Roman"/>
          <w:lang w:eastAsia="en-AU"/>
        </w:rPr>
        <w:t xml:space="preserve">With these objectives in mind, </w:t>
      </w:r>
      <w:r w:rsidR="00774379" w:rsidRPr="00B16E6B">
        <w:rPr>
          <w:rFonts w:eastAsia="Times New Roman"/>
          <w:lang w:eastAsia="en-AU"/>
        </w:rPr>
        <w:t xml:space="preserve">4 </w:t>
      </w:r>
      <w:r w:rsidRPr="00B16E6B">
        <w:rPr>
          <w:rFonts w:eastAsia="Times New Roman"/>
          <w:lang w:eastAsia="en-AU"/>
        </w:rPr>
        <w:t>policy options have been formulated. Each of these are discussed in detail in Section 3.</w:t>
      </w:r>
      <w:r w:rsidR="00985D9F" w:rsidRPr="00B16E6B">
        <w:rPr>
          <w:rFonts w:eastAsia="Times New Roman"/>
          <w:lang w:eastAsia="en-AU"/>
        </w:rPr>
        <w:t xml:space="preserve"> These objectives have also been used to evaluate each option in </w:t>
      </w:r>
      <w:r w:rsidR="002C5755" w:rsidRPr="00B16E6B">
        <w:rPr>
          <w:rFonts w:eastAsia="Times New Roman"/>
          <w:lang w:eastAsia="en-AU"/>
        </w:rPr>
        <w:t>question</w:t>
      </w:r>
      <w:r w:rsidR="00985D9F" w:rsidRPr="00B16E6B">
        <w:rPr>
          <w:rFonts w:eastAsia="Times New Roman"/>
          <w:lang w:eastAsia="en-AU"/>
        </w:rPr>
        <w:t xml:space="preserve"> 6, and inform</w:t>
      </w:r>
      <w:r w:rsidR="005968D3" w:rsidRPr="00B16E6B">
        <w:rPr>
          <w:rFonts w:eastAsia="Times New Roman"/>
          <w:lang w:eastAsia="en-AU"/>
        </w:rPr>
        <w:t xml:space="preserve"> the</w:t>
      </w:r>
      <w:r w:rsidR="00985D9F" w:rsidRPr="00B16E6B">
        <w:rPr>
          <w:rFonts w:eastAsia="Times New Roman"/>
          <w:lang w:eastAsia="en-AU"/>
        </w:rPr>
        <w:t xml:space="preserve"> development of potential indicators of success in </w:t>
      </w:r>
      <w:r w:rsidR="002C5755" w:rsidRPr="00B16E6B">
        <w:rPr>
          <w:rFonts w:eastAsia="Times New Roman"/>
          <w:lang w:eastAsia="en-AU"/>
        </w:rPr>
        <w:t>question</w:t>
      </w:r>
      <w:r w:rsidR="00985D9F" w:rsidRPr="00B16E6B">
        <w:rPr>
          <w:rFonts w:eastAsia="Times New Roman"/>
          <w:lang w:eastAsia="en-AU"/>
        </w:rPr>
        <w:t xml:space="preserve"> 7. </w:t>
      </w:r>
    </w:p>
    <w:p w14:paraId="1FC7B6B5" w14:textId="4A2B4F8D" w:rsidR="00605DA5" w:rsidRPr="00B16E6B" w:rsidRDefault="00605DA5" w:rsidP="009613E1">
      <w:pPr>
        <w:spacing w:after="200" w:line="271" w:lineRule="auto"/>
        <w:rPr>
          <w:rFonts w:eastAsia="Times New Roman"/>
          <w:lang w:eastAsia="en-AU"/>
        </w:rPr>
      </w:pPr>
      <w:r w:rsidRPr="00B16E6B">
        <w:rPr>
          <w:rFonts w:eastAsia="Times New Roman"/>
          <w:lang w:eastAsia="en-AU"/>
        </w:rPr>
        <w:t xml:space="preserve">There may be some barriers to </w:t>
      </w:r>
      <w:r w:rsidR="00487C6A" w:rsidRPr="00B16E6B">
        <w:rPr>
          <w:rFonts w:eastAsia="Times New Roman"/>
          <w:lang w:eastAsia="en-AU"/>
        </w:rPr>
        <w:t>government</w:t>
      </w:r>
      <w:r w:rsidRPr="00B16E6B">
        <w:rPr>
          <w:rFonts w:eastAsia="Times New Roman"/>
          <w:lang w:eastAsia="en-AU"/>
        </w:rPr>
        <w:t xml:space="preserve"> achieving the objectives outlined above, which include: </w:t>
      </w:r>
    </w:p>
    <w:p w14:paraId="4BB8F965" w14:textId="40C1A157" w:rsidR="00605DA5" w:rsidRPr="00B16E6B" w:rsidRDefault="00605DA5" w:rsidP="00A11AF5">
      <w:pPr>
        <w:pStyle w:val="ListParagraph"/>
        <w:numPr>
          <w:ilvl w:val="0"/>
          <w:numId w:val="21"/>
        </w:numPr>
        <w:spacing w:line="271" w:lineRule="auto"/>
        <w:ind w:left="714" w:hanging="357"/>
        <w:contextualSpacing w:val="0"/>
        <w:rPr>
          <w:rFonts w:eastAsia="Times New Roman"/>
          <w:lang w:eastAsia="en-AU"/>
        </w:rPr>
      </w:pPr>
      <w:r w:rsidRPr="00B16E6B">
        <w:rPr>
          <w:rFonts w:eastAsia="Times New Roman"/>
          <w:b/>
          <w:lang w:eastAsia="en-AU"/>
        </w:rPr>
        <w:t>resource barriers</w:t>
      </w:r>
      <w:r w:rsidRPr="00B16E6B">
        <w:rPr>
          <w:rFonts w:eastAsia="Times New Roman"/>
          <w:lang w:eastAsia="en-AU"/>
        </w:rPr>
        <w:t xml:space="preserve">, </w:t>
      </w:r>
      <w:r w:rsidR="006C56FD" w:rsidRPr="00B16E6B">
        <w:rPr>
          <w:rFonts w:eastAsia="Times New Roman"/>
          <w:lang w:eastAsia="en-AU"/>
        </w:rPr>
        <w:t xml:space="preserve">within industry and government, </w:t>
      </w:r>
      <w:r w:rsidRPr="00B16E6B">
        <w:rPr>
          <w:rFonts w:eastAsia="Times New Roman"/>
          <w:lang w:eastAsia="en-AU"/>
        </w:rPr>
        <w:t xml:space="preserve">including financial and personnel constraints which may impact </w:t>
      </w:r>
      <w:r w:rsidR="006C56FD" w:rsidRPr="00B16E6B">
        <w:rPr>
          <w:rFonts w:eastAsia="Times New Roman"/>
          <w:lang w:eastAsia="en-AU"/>
        </w:rPr>
        <w:t xml:space="preserve">the </w:t>
      </w:r>
      <w:r w:rsidRPr="00B16E6B">
        <w:rPr>
          <w:bCs/>
          <w:lang w:val="en-US"/>
        </w:rPr>
        <w:t>ability</w:t>
      </w:r>
      <w:r w:rsidRPr="00B16E6B">
        <w:rPr>
          <w:rFonts w:eastAsia="Times New Roman"/>
          <w:lang w:eastAsia="en-AU"/>
        </w:rPr>
        <w:t xml:space="preserve"> to quickly </w:t>
      </w:r>
      <w:r w:rsidR="006C56FD" w:rsidRPr="00B16E6B">
        <w:rPr>
          <w:rFonts w:eastAsia="Times New Roman"/>
          <w:lang w:eastAsia="en-AU"/>
        </w:rPr>
        <w:t>respond to current and emerging threats</w:t>
      </w:r>
    </w:p>
    <w:p w14:paraId="12448803" w14:textId="77777777" w:rsidR="00605DA5" w:rsidRPr="00B16E6B" w:rsidRDefault="00605DA5" w:rsidP="00A11AF5">
      <w:pPr>
        <w:pStyle w:val="ListParagraph"/>
        <w:numPr>
          <w:ilvl w:val="0"/>
          <w:numId w:val="21"/>
        </w:numPr>
        <w:spacing w:line="271" w:lineRule="auto"/>
        <w:ind w:left="714" w:hanging="357"/>
        <w:contextualSpacing w:val="0"/>
        <w:rPr>
          <w:rFonts w:eastAsia="Times New Roman"/>
          <w:b/>
          <w:lang w:eastAsia="en-AU"/>
        </w:rPr>
      </w:pPr>
      <w:r w:rsidRPr="00B16E6B">
        <w:rPr>
          <w:rFonts w:eastAsia="Times New Roman"/>
          <w:b/>
          <w:lang w:eastAsia="en-AU"/>
        </w:rPr>
        <w:t xml:space="preserve">governance and policy barriers, </w:t>
      </w:r>
      <w:r w:rsidRPr="00B16E6B">
        <w:rPr>
          <w:rFonts w:eastAsia="Times New Roman"/>
          <w:lang w:eastAsia="en-AU"/>
        </w:rPr>
        <w:t xml:space="preserve">such as the processes and procedures required to be followed to support </w:t>
      </w:r>
      <w:r w:rsidR="00487C6A" w:rsidRPr="00B16E6B">
        <w:rPr>
          <w:rFonts w:eastAsia="Times New Roman"/>
          <w:lang w:eastAsia="en-AU"/>
        </w:rPr>
        <w:t>government</w:t>
      </w:r>
      <w:r w:rsidRPr="00B16E6B">
        <w:rPr>
          <w:rFonts w:eastAsia="Times New Roman"/>
          <w:lang w:eastAsia="en-AU"/>
        </w:rPr>
        <w:t xml:space="preserve"> intervention and allow </w:t>
      </w:r>
      <w:r w:rsidR="00487C6A" w:rsidRPr="00B16E6B">
        <w:rPr>
          <w:rFonts w:eastAsia="Times New Roman"/>
          <w:lang w:eastAsia="en-AU"/>
        </w:rPr>
        <w:t>government</w:t>
      </w:r>
      <w:r w:rsidRPr="00B16E6B">
        <w:rPr>
          <w:rFonts w:eastAsia="Times New Roman"/>
          <w:lang w:eastAsia="en-AU"/>
        </w:rPr>
        <w:t xml:space="preserve"> to achieve its objectives</w:t>
      </w:r>
      <w:r w:rsidRPr="00B16E6B">
        <w:rPr>
          <w:rFonts w:eastAsia="Times New Roman"/>
          <w:b/>
          <w:lang w:eastAsia="en-AU"/>
        </w:rPr>
        <w:t xml:space="preserve"> </w:t>
      </w:r>
    </w:p>
    <w:p w14:paraId="6A229947" w14:textId="77777777" w:rsidR="00605DA5" w:rsidRPr="00B16E6B" w:rsidRDefault="00605DA5" w:rsidP="00A11AF5">
      <w:pPr>
        <w:pStyle w:val="ListParagraph"/>
        <w:numPr>
          <w:ilvl w:val="0"/>
          <w:numId w:val="21"/>
        </w:numPr>
        <w:spacing w:line="271" w:lineRule="auto"/>
        <w:ind w:left="714" w:hanging="357"/>
        <w:contextualSpacing w:val="0"/>
        <w:rPr>
          <w:rFonts w:eastAsia="Times New Roman"/>
          <w:b/>
          <w:lang w:eastAsia="en-AU"/>
        </w:rPr>
      </w:pPr>
      <w:r w:rsidRPr="00B16E6B">
        <w:rPr>
          <w:rFonts w:eastAsia="Times New Roman"/>
          <w:b/>
          <w:lang w:eastAsia="en-AU"/>
        </w:rPr>
        <w:t xml:space="preserve">stakeholder environment barriers, </w:t>
      </w:r>
      <w:r w:rsidRPr="00B16E6B">
        <w:rPr>
          <w:rFonts w:eastAsia="Times New Roman"/>
          <w:lang w:eastAsia="en-AU"/>
        </w:rPr>
        <w:t xml:space="preserve">including levels of trust between industry and </w:t>
      </w:r>
      <w:r w:rsidR="00487C6A" w:rsidRPr="00B16E6B">
        <w:rPr>
          <w:rFonts w:eastAsia="Times New Roman"/>
          <w:lang w:eastAsia="en-AU"/>
        </w:rPr>
        <w:t>government</w:t>
      </w:r>
      <w:r w:rsidRPr="00B16E6B">
        <w:rPr>
          <w:rFonts w:eastAsia="Times New Roman"/>
          <w:lang w:eastAsia="en-AU"/>
        </w:rPr>
        <w:t xml:space="preserve">, which may influence industry’s level of willingness to collaborate with </w:t>
      </w:r>
      <w:r w:rsidR="00487C6A" w:rsidRPr="00B16E6B">
        <w:rPr>
          <w:rFonts w:eastAsia="Times New Roman"/>
          <w:lang w:eastAsia="en-AU"/>
        </w:rPr>
        <w:t>government</w:t>
      </w:r>
      <w:r w:rsidR="00A31DA8" w:rsidRPr="00B16E6B">
        <w:rPr>
          <w:rFonts w:eastAsia="Times New Roman"/>
          <w:lang w:eastAsia="en-AU"/>
        </w:rPr>
        <w:t>.</w:t>
      </w:r>
    </w:p>
    <w:p w14:paraId="4C5F2FDB" w14:textId="77777777" w:rsidR="00FC5DE7" w:rsidRPr="00B16E6B" w:rsidRDefault="00605DA5" w:rsidP="009613E1">
      <w:pPr>
        <w:spacing w:before="240" w:after="120" w:line="271" w:lineRule="auto"/>
        <w:rPr>
          <w:rFonts w:eastAsia="Times New Roman"/>
          <w:lang w:eastAsia="en-AU"/>
        </w:rPr>
      </w:pPr>
      <w:r w:rsidRPr="00B16E6B">
        <w:rPr>
          <w:rFonts w:eastAsia="Times New Roman"/>
          <w:lang w:eastAsia="en-AU"/>
        </w:rPr>
        <w:lastRenderedPageBreak/>
        <w:t xml:space="preserve">Despite these potential barriers, </w:t>
      </w:r>
      <w:r w:rsidR="00487C6A" w:rsidRPr="00B16E6B">
        <w:rPr>
          <w:rFonts w:eastAsia="Times New Roman"/>
          <w:lang w:eastAsia="en-AU"/>
        </w:rPr>
        <w:t>government</w:t>
      </w:r>
      <w:r w:rsidRPr="00B16E6B">
        <w:rPr>
          <w:rFonts w:eastAsia="Times New Roman"/>
          <w:lang w:eastAsia="en-AU"/>
        </w:rPr>
        <w:t xml:space="preserve">’s existing strong relationship with industry and broader commitment to the security of Australia’s aviation and maritime sectors means there is a strong likelihood that </w:t>
      </w:r>
      <w:r w:rsidR="00487C6A" w:rsidRPr="00B16E6B">
        <w:rPr>
          <w:rFonts w:eastAsia="Times New Roman"/>
          <w:lang w:eastAsia="en-AU"/>
        </w:rPr>
        <w:t>government</w:t>
      </w:r>
      <w:r w:rsidRPr="00B16E6B">
        <w:rPr>
          <w:rFonts w:eastAsia="Times New Roman"/>
          <w:lang w:eastAsia="en-AU"/>
        </w:rPr>
        <w:t xml:space="preserve"> intervention will achieve its desired objectives. </w:t>
      </w:r>
    </w:p>
    <w:p w14:paraId="7ABBB015" w14:textId="77777777" w:rsidR="00FC5DE7" w:rsidRPr="00B16E6B" w:rsidRDefault="00084642" w:rsidP="009613E1">
      <w:pPr>
        <w:pStyle w:val="Heading3"/>
        <w:spacing w:line="271" w:lineRule="auto"/>
        <w:rPr>
          <w:rFonts w:eastAsia="Times New Roman"/>
          <w:sz w:val="32"/>
          <w:szCs w:val="32"/>
          <w:lang w:eastAsia="en-AU"/>
        </w:rPr>
      </w:pPr>
      <w:r w:rsidRPr="00B16E6B">
        <w:rPr>
          <w:rFonts w:eastAsia="Times New Roman"/>
          <w:lang w:eastAsia="en-AU"/>
        </w:rPr>
        <w:t xml:space="preserve">2.2 </w:t>
      </w:r>
      <w:r w:rsidR="00FC5DE7" w:rsidRPr="00B16E6B">
        <w:rPr>
          <w:rFonts w:eastAsia="Times New Roman"/>
          <w:lang w:eastAsia="en-AU"/>
        </w:rPr>
        <w:t xml:space="preserve">Why should </w:t>
      </w:r>
      <w:r w:rsidR="00487C6A" w:rsidRPr="00B16E6B">
        <w:rPr>
          <w:rFonts w:eastAsia="Times New Roman"/>
          <w:lang w:eastAsia="en-AU"/>
        </w:rPr>
        <w:t>g</w:t>
      </w:r>
      <w:r w:rsidR="00FC5DE7" w:rsidRPr="00B16E6B">
        <w:rPr>
          <w:rFonts w:eastAsia="Times New Roman"/>
          <w:lang w:eastAsia="en-AU"/>
        </w:rPr>
        <w:t>overnment intervene? </w:t>
      </w:r>
    </w:p>
    <w:p w14:paraId="0D5F196E" w14:textId="2E413893" w:rsidR="004712EB" w:rsidRPr="00B16E6B" w:rsidRDefault="00FC5DE7" w:rsidP="009613E1">
      <w:pPr>
        <w:spacing w:line="271" w:lineRule="auto"/>
        <w:rPr>
          <w:rFonts w:eastAsia="Times New Roman"/>
          <w:lang w:eastAsia="en-AU"/>
        </w:rPr>
      </w:pPr>
      <w:r w:rsidRPr="00B16E6B">
        <w:rPr>
          <w:rFonts w:eastAsia="Times New Roman"/>
          <w:lang w:eastAsia="en-AU"/>
        </w:rPr>
        <w:t xml:space="preserve">Section 1 has highlighted the existing gaps in the transport security legislative frameworks which, without action, may make Australia’s </w:t>
      </w:r>
      <w:r w:rsidR="00A31DA8" w:rsidRPr="00B16E6B">
        <w:rPr>
          <w:rFonts w:eastAsia="Times New Roman"/>
          <w:lang w:eastAsia="en-AU"/>
        </w:rPr>
        <w:t>transport sector</w:t>
      </w:r>
      <w:r w:rsidRPr="00B16E6B">
        <w:rPr>
          <w:rFonts w:eastAsia="Times New Roman"/>
          <w:lang w:eastAsia="en-AU"/>
        </w:rPr>
        <w:t xml:space="preserve"> vulnerable to increasing all hazards risks posed by cyber incidents, supply chain disruptions, and natural hazards. There is an expectation f</w:t>
      </w:r>
      <w:r w:rsidR="00DC3359" w:rsidRPr="00B16E6B">
        <w:rPr>
          <w:rFonts w:eastAsia="Times New Roman"/>
          <w:lang w:eastAsia="en-AU"/>
        </w:rPr>
        <w:t>rom the Australian public that</w:t>
      </w:r>
      <w:r w:rsidR="00C6495C" w:rsidRPr="00B16E6B">
        <w:rPr>
          <w:rFonts w:eastAsia="Times New Roman"/>
          <w:lang w:eastAsia="en-AU"/>
        </w:rPr>
        <w:t xml:space="preserve"> both</w:t>
      </w:r>
      <w:r w:rsidR="00DC3359" w:rsidRPr="00B16E6B">
        <w:rPr>
          <w:rFonts w:eastAsia="Times New Roman"/>
          <w:lang w:eastAsia="en-AU"/>
        </w:rPr>
        <w:t xml:space="preserve"> </w:t>
      </w:r>
      <w:r w:rsidR="00C6495C" w:rsidRPr="00B16E6B">
        <w:rPr>
          <w:rFonts w:eastAsia="Times New Roman"/>
          <w:lang w:eastAsia="en-AU"/>
        </w:rPr>
        <w:t xml:space="preserve">industry and </w:t>
      </w:r>
      <w:r w:rsidR="00487C6A" w:rsidRPr="00B16E6B">
        <w:rPr>
          <w:rFonts w:eastAsia="Times New Roman"/>
          <w:lang w:eastAsia="en-AU"/>
        </w:rPr>
        <w:t>government</w:t>
      </w:r>
      <w:r w:rsidR="00B162AF" w:rsidRPr="00B16E6B">
        <w:rPr>
          <w:rFonts w:eastAsia="Times New Roman"/>
          <w:lang w:eastAsia="en-AU"/>
        </w:rPr>
        <w:t xml:space="preserve"> </w:t>
      </w:r>
      <w:r w:rsidR="00D10DA3" w:rsidRPr="00B16E6B">
        <w:rPr>
          <w:rFonts w:eastAsia="Times New Roman"/>
          <w:lang w:eastAsia="en-AU"/>
        </w:rPr>
        <w:t xml:space="preserve">are </w:t>
      </w:r>
      <w:r w:rsidRPr="00B16E6B">
        <w:rPr>
          <w:rFonts w:eastAsia="Times New Roman"/>
          <w:lang w:eastAsia="en-AU"/>
        </w:rPr>
        <w:t>equipped with the right tools to support the preparation</w:t>
      </w:r>
      <w:r w:rsidR="006C56FD" w:rsidRPr="00B16E6B">
        <w:rPr>
          <w:rFonts w:eastAsia="Times New Roman"/>
          <w:lang w:eastAsia="en-AU"/>
        </w:rPr>
        <w:t xml:space="preserve"> for</w:t>
      </w:r>
      <w:r w:rsidRPr="00B16E6B">
        <w:rPr>
          <w:rFonts w:eastAsia="Times New Roman"/>
          <w:lang w:eastAsia="en-AU"/>
        </w:rPr>
        <w:t>, prevention</w:t>
      </w:r>
      <w:r w:rsidR="006C56FD" w:rsidRPr="00B16E6B">
        <w:rPr>
          <w:rFonts w:eastAsia="Times New Roman"/>
          <w:lang w:eastAsia="en-AU"/>
        </w:rPr>
        <w:t xml:space="preserve"> of</w:t>
      </w:r>
      <w:r w:rsidRPr="00B16E6B">
        <w:rPr>
          <w:rFonts w:eastAsia="Times New Roman"/>
          <w:lang w:eastAsia="en-AU"/>
        </w:rPr>
        <w:t xml:space="preserve">, and recovery </w:t>
      </w:r>
      <w:r w:rsidR="006C56FD" w:rsidRPr="00B16E6B">
        <w:rPr>
          <w:rFonts w:eastAsia="Times New Roman"/>
          <w:lang w:eastAsia="en-AU"/>
        </w:rPr>
        <w:t xml:space="preserve">from </w:t>
      </w:r>
      <w:r w:rsidRPr="00B16E6B">
        <w:rPr>
          <w:rFonts w:eastAsia="Times New Roman"/>
          <w:lang w:eastAsia="en-AU"/>
        </w:rPr>
        <w:t xml:space="preserve">an all hazards incident. </w:t>
      </w:r>
    </w:p>
    <w:p w14:paraId="145F57EC" w14:textId="77777777" w:rsidR="00FC5DE7" w:rsidRPr="00B16E6B" w:rsidRDefault="00FC5DE7" w:rsidP="009613E1">
      <w:pPr>
        <w:spacing w:line="271" w:lineRule="auto"/>
        <w:rPr>
          <w:rFonts w:eastAsia="Times New Roman" w:cs="Segoe UI"/>
          <w:lang w:eastAsia="en-AU"/>
        </w:rPr>
      </w:pPr>
      <w:r w:rsidRPr="00B16E6B">
        <w:rPr>
          <w:rFonts w:eastAsia="Times New Roman"/>
          <w:lang w:eastAsia="en-AU"/>
        </w:rPr>
        <w:t>The threat enviro</w:t>
      </w:r>
      <w:r w:rsidR="00DC3359" w:rsidRPr="00B16E6B">
        <w:rPr>
          <w:rFonts w:eastAsia="Times New Roman"/>
          <w:lang w:eastAsia="en-AU"/>
        </w:rPr>
        <w:t xml:space="preserve">nment gives rise to a need for </w:t>
      </w:r>
      <w:r w:rsidR="00487C6A" w:rsidRPr="00B16E6B">
        <w:rPr>
          <w:rFonts w:eastAsia="Times New Roman"/>
          <w:lang w:eastAsia="en-AU"/>
        </w:rPr>
        <w:t>government</w:t>
      </w:r>
      <w:r w:rsidRPr="00B16E6B">
        <w:rPr>
          <w:rFonts w:eastAsia="Times New Roman"/>
          <w:lang w:eastAsia="en-AU"/>
        </w:rPr>
        <w:t xml:space="preserve"> to intervene to ensure</w:t>
      </w:r>
      <w:r w:rsidR="00DC3359" w:rsidRPr="00B16E6B">
        <w:rPr>
          <w:rFonts w:eastAsia="Times New Roman"/>
          <w:lang w:eastAsia="en-AU"/>
        </w:rPr>
        <w:t xml:space="preserve"> the transport security legislative frameworks</w:t>
      </w:r>
      <w:r w:rsidRPr="00B16E6B">
        <w:rPr>
          <w:rFonts w:eastAsia="Times New Roman"/>
          <w:lang w:eastAsia="en-AU"/>
        </w:rPr>
        <w:t>:  </w:t>
      </w:r>
    </w:p>
    <w:p w14:paraId="28BCACBD" w14:textId="12A822DA" w:rsidR="00F37399" w:rsidRPr="00B16E6B" w:rsidRDefault="006F4F96" w:rsidP="00A11AF5">
      <w:pPr>
        <w:pStyle w:val="ListParagraph"/>
        <w:numPr>
          <w:ilvl w:val="0"/>
          <w:numId w:val="21"/>
        </w:numPr>
        <w:spacing w:line="271" w:lineRule="auto"/>
        <w:ind w:left="714" w:hanging="357"/>
        <w:contextualSpacing w:val="0"/>
        <w:rPr>
          <w:rFonts w:eastAsia="Times New Roman"/>
          <w:b/>
          <w:lang w:eastAsia="en-AU"/>
        </w:rPr>
      </w:pPr>
      <w:r w:rsidRPr="00B16E6B">
        <w:rPr>
          <w:rFonts w:eastAsia="Times New Roman"/>
          <w:b/>
          <w:lang w:eastAsia="en-AU"/>
        </w:rPr>
        <w:t>o</w:t>
      </w:r>
      <w:r w:rsidR="00F37399" w:rsidRPr="00B16E6B">
        <w:rPr>
          <w:rFonts w:eastAsia="Times New Roman"/>
          <w:b/>
          <w:lang w:eastAsia="en-AU"/>
        </w:rPr>
        <w:t>perates on a</w:t>
      </w:r>
      <w:r w:rsidR="005968D3" w:rsidRPr="00B16E6B">
        <w:rPr>
          <w:rFonts w:eastAsia="Times New Roman"/>
          <w:b/>
          <w:lang w:eastAsia="en-AU"/>
        </w:rPr>
        <w:t xml:space="preserve"> flexible,</w:t>
      </w:r>
      <w:r w:rsidR="00F37399" w:rsidRPr="00B16E6B">
        <w:rPr>
          <w:rFonts w:eastAsia="Times New Roman"/>
          <w:b/>
          <w:lang w:eastAsia="en-AU"/>
        </w:rPr>
        <w:t xml:space="preserve"> risk-based, </w:t>
      </w:r>
      <w:r w:rsidR="005968D3" w:rsidRPr="00B16E6B">
        <w:rPr>
          <w:rFonts w:eastAsia="Times New Roman"/>
          <w:b/>
          <w:lang w:eastAsia="en-AU"/>
        </w:rPr>
        <w:t xml:space="preserve">and </w:t>
      </w:r>
      <w:r w:rsidR="00F37399" w:rsidRPr="00B16E6B">
        <w:rPr>
          <w:rFonts w:eastAsia="Times New Roman"/>
          <w:b/>
          <w:lang w:eastAsia="en-AU"/>
        </w:rPr>
        <w:t xml:space="preserve">scalable basis, </w:t>
      </w:r>
      <w:r w:rsidR="00F37399" w:rsidRPr="00B16E6B">
        <w:rPr>
          <w:rFonts w:eastAsia="Times New Roman"/>
          <w:lang w:eastAsia="en-AU"/>
        </w:rPr>
        <w:t xml:space="preserve">ensuring obligations are adaptable and flexibly applied to entities </w:t>
      </w:r>
      <w:r w:rsidR="00035260" w:rsidRPr="00B16E6B">
        <w:rPr>
          <w:rFonts w:eastAsia="Times New Roman"/>
          <w:lang w:eastAsia="en-AU"/>
        </w:rPr>
        <w:t>based on</w:t>
      </w:r>
      <w:r w:rsidR="00F37399" w:rsidRPr="00B16E6B">
        <w:rPr>
          <w:rFonts w:eastAsia="Times New Roman"/>
          <w:lang w:eastAsia="en-AU"/>
        </w:rPr>
        <w:t xml:space="preserve"> their specific </w:t>
      </w:r>
      <w:r w:rsidR="00035260" w:rsidRPr="00B16E6B">
        <w:rPr>
          <w:rFonts w:eastAsia="Times New Roman"/>
          <w:lang w:eastAsia="en-AU"/>
        </w:rPr>
        <w:t xml:space="preserve">operating </w:t>
      </w:r>
      <w:r w:rsidR="00F37399" w:rsidRPr="00B16E6B">
        <w:rPr>
          <w:rFonts w:eastAsia="Times New Roman"/>
          <w:lang w:eastAsia="en-AU"/>
        </w:rPr>
        <w:t>environments</w:t>
      </w:r>
      <w:r w:rsidR="00035260" w:rsidRPr="00B16E6B">
        <w:rPr>
          <w:rFonts w:eastAsia="Times New Roman"/>
          <w:lang w:eastAsia="en-AU"/>
        </w:rPr>
        <w:t xml:space="preserve"> and size</w:t>
      </w:r>
    </w:p>
    <w:p w14:paraId="693B8462" w14:textId="77777777" w:rsidR="00EE0D76" w:rsidRPr="00B16E6B" w:rsidRDefault="006F4F96" w:rsidP="00A11AF5">
      <w:pPr>
        <w:pStyle w:val="ListParagraph"/>
        <w:numPr>
          <w:ilvl w:val="0"/>
          <w:numId w:val="21"/>
        </w:numPr>
        <w:spacing w:line="271" w:lineRule="auto"/>
        <w:ind w:left="714" w:hanging="357"/>
        <w:contextualSpacing w:val="0"/>
        <w:rPr>
          <w:rFonts w:eastAsia="Times New Roman"/>
          <w:b/>
          <w:lang w:eastAsia="en-AU"/>
        </w:rPr>
      </w:pPr>
      <w:r w:rsidRPr="00B16E6B">
        <w:rPr>
          <w:rFonts w:eastAsia="Times New Roman"/>
          <w:b/>
          <w:lang w:eastAsia="en-AU"/>
        </w:rPr>
        <w:t>h</w:t>
      </w:r>
      <w:r w:rsidR="00F37399" w:rsidRPr="00B16E6B">
        <w:rPr>
          <w:rFonts w:eastAsia="Times New Roman"/>
          <w:b/>
          <w:lang w:eastAsia="en-AU"/>
        </w:rPr>
        <w:t xml:space="preserve">olistically </w:t>
      </w:r>
      <w:r w:rsidR="005968D3" w:rsidRPr="00B16E6B">
        <w:rPr>
          <w:rFonts w:eastAsia="Times New Roman"/>
          <w:b/>
          <w:lang w:eastAsia="en-AU"/>
        </w:rPr>
        <w:t xml:space="preserve">addresses </w:t>
      </w:r>
      <w:r w:rsidR="00F37399" w:rsidRPr="00B16E6B">
        <w:rPr>
          <w:rFonts w:eastAsia="Times New Roman"/>
          <w:b/>
          <w:lang w:eastAsia="en-AU"/>
        </w:rPr>
        <w:t xml:space="preserve">potential vulnerabilities </w:t>
      </w:r>
      <w:r w:rsidR="005968D3" w:rsidRPr="00B16E6B">
        <w:rPr>
          <w:rFonts w:eastAsia="Times New Roman"/>
          <w:lang w:eastAsia="en-AU"/>
        </w:rPr>
        <w:t xml:space="preserve">that </w:t>
      </w:r>
      <w:r w:rsidR="00F37399" w:rsidRPr="00B16E6B">
        <w:rPr>
          <w:rFonts w:eastAsia="Times New Roman"/>
          <w:lang w:eastAsia="en-AU"/>
        </w:rPr>
        <w:t>could have a relevant impact on aviation and maritime entities and flow-on effects for Australia’s critical infrastruct</w:t>
      </w:r>
      <w:r w:rsidR="00EE0D76" w:rsidRPr="00B16E6B">
        <w:rPr>
          <w:rFonts w:eastAsia="Times New Roman"/>
          <w:lang w:eastAsia="en-AU"/>
        </w:rPr>
        <w:t>ure, which</w:t>
      </w:r>
      <w:r w:rsidR="00F37399" w:rsidRPr="00B16E6B">
        <w:rPr>
          <w:rFonts w:eastAsia="Times New Roman"/>
          <w:lang w:eastAsia="en-AU"/>
        </w:rPr>
        <w:t xml:space="preserve"> will result in security requirements </w:t>
      </w:r>
      <w:r w:rsidR="005968D3" w:rsidRPr="00B16E6B">
        <w:rPr>
          <w:rFonts w:eastAsia="Times New Roman"/>
          <w:lang w:eastAsia="en-AU"/>
        </w:rPr>
        <w:t xml:space="preserve">that </w:t>
      </w:r>
      <w:r w:rsidR="00F37399" w:rsidRPr="00B16E6B">
        <w:rPr>
          <w:rFonts w:eastAsia="Times New Roman"/>
          <w:lang w:eastAsia="en-AU"/>
        </w:rPr>
        <w:t xml:space="preserve">support delivery of dynamic, modernised transport </w:t>
      </w:r>
      <w:r w:rsidRPr="00B16E6B">
        <w:rPr>
          <w:rFonts w:eastAsia="Times New Roman"/>
          <w:lang w:eastAsia="en-AU"/>
        </w:rPr>
        <w:t>security legislative frameworks</w:t>
      </w:r>
    </w:p>
    <w:p w14:paraId="2B528682" w14:textId="62236336" w:rsidR="00F37399" w:rsidRPr="00B16E6B" w:rsidRDefault="006F4F96" w:rsidP="00A11AF5">
      <w:pPr>
        <w:pStyle w:val="ListParagraph"/>
        <w:numPr>
          <w:ilvl w:val="0"/>
          <w:numId w:val="21"/>
        </w:numPr>
        <w:spacing w:line="271" w:lineRule="auto"/>
        <w:ind w:left="714" w:hanging="357"/>
        <w:contextualSpacing w:val="0"/>
        <w:rPr>
          <w:rFonts w:eastAsia="Times New Roman"/>
          <w:b/>
          <w:lang w:eastAsia="en-AU"/>
        </w:rPr>
      </w:pPr>
      <w:r w:rsidRPr="00B16E6B">
        <w:rPr>
          <w:rFonts w:eastAsia="Times New Roman"/>
          <w:b/>
          <w:lang w:eastAsia="en-AU"/>
        </w:rPr>
        <w:t>a</w:t>
      </w:r>
      <w:r w:rsidR="00F37399" w:rsidRPr="00B16E6B">
        <w:rPr>
          <w:rFonts w:eastAsia="Times New Roman"/>
          <w:b/>
          <w:lang w:eastAsia="en-AU"/>
        </w:rPr>
        <w:t xml:space="preserve">chieve desired security outcomes </w:t>
      </w:r>
      <w:r w:rsidR="00035260" w:rsidRPr="00B16E6B">
        <w:rPr>
          <w:rFonts w:eastAsia="Times New Roman"/>
          <w:lang w:eastAsia="en-AU"/>
        </w:rPr>
        <w:t xml:space="preserve">by </w:t>
      </w:r>
      <w:r w:rsidR="00F37399" w:rsidRPr="00B16E6B">
        <w:rPr>
          <w:rFonts w:eastAsia="Times New Roman"/>
          <w:lang w:eastAsia="en-AU"/>
        </w:rPr>
        <w:t>ensuring industry participants are subject to the same legislative powers, creating consistency in security requiremen</w:t>
      </w:r>
      <w:r w:rsidRPr="00B16E6B">
        <w:rPr>
          <w:rFonts w:eastAsia="Times New Roman"/>
          <w:lang w:eastAsia="en-AU"/>
        </w:rPr>
        <w:t xml:space="preserve">ts </w:t>
      </w:r>
      <w:r w:rsidR="00E76F97" w:rsidRPr="00B16E6B">
        <w:rPr>
          <w:rFonts w:eastAsia="Times New Roman"/>
          <w:lang w:eastAsia="en-AU"/>
        </w:rPr>
        <w:t xml:space="preserve">and understanding </w:t>
      </w:r>
      <w:r w:rsidRPr="00B16E6B">
        <w:rPr>
          <w:rFonts w:eastAsia="Times New Roman"/>
          <w:lang w:eastAsia="en-AU"/>
        </w:rPr>
        <w:t>across the transport sector</w:t>
      </w:r>
    </w:p>
    <w:p w14:paraId="5C3A89CB" w14:textId="2B5D659A" w:rsidR="00F13246" w:rsidRPr="00B16E6B" w:rsidRDefault="006F4F96" w:rsidP="00A11AF5">
      <w:pPr>
        <w:pStyle w:val="ListParagraph"/>
        <w:numPr>
          <w:ilvl w:val="0"/>
          <w:numId w:val="21"/>
        </w:numPr>
        <w:spacing w:line="271" w:lineRule="auto"/>
        <w:ind w:left="714" w:hanging="357"/>
        <w:contextualSpacing w:val="0"/>
        <w:rPr>
          <w:rFonts w:eastAsia="Times New Roman"/>
          <w:b/>
          <w:lang w:eastAsia="en-AU"/>
        </w:rPr>
      </w:pPr>
      <w:r w:rsidRPr="00B16E6B">
        <w:rPr>
          <w:rFonts w:eastAsia="Times New Roman"/>
          <w:b/>
          <w:lang w:eastAsia="en-AU"/>
        </w:rPr>
        <w:t>s</w:t>
      </w:r>
      <w:r w:rsidR="00F37399" w:rsidRPr="00B16E6B">
        <w:rPr>
          <w:rFonts w:eastAsia="Times New Roman"/>
          <w:b/>
          <w:lang w:eastAsia="en-AU"/>
        </w:rPr>
        <w:t xml:space="preserve">upport coordination and collaboration between </w:t>
      </w:r>
      <w:r w:rsidR="00487C6A" w:rsidRPr="00B16E6B">
        <w:rPr>
          <w:rFonts w:eastAsia="Times New Roman"/>
          <w:b/>
          <w:lang w:eastAsia="en-AU"/>
        </w:rPr>
        <w:t>government</w:t>
      </w:r>
      <w:r w:rsidR="00F37399" w:rsidRPr="00B16E6B">
        <w:rPr>
          <w:rFonts w:eastAsia="Times New Roman"/>
          <w:b/>
          <w:lang w:eastAsia="en-AU"/>
        </w:rPr>
        <w:t xml:space="preserve"> and industry,</w:t>
      </w:r>
      <w:r w:rsidR="00F37399" w:rsidRPr="00B16E6B">
        <w:rPr>
          <w:rFonts w:eastAsia="Times New Roman"/>
          <w:lang w:eastAsia="en-AU"/>
        </w:rPr>
        <w:t xml:space="preserve"> to enable an agile response</w:t>
      </w:r>
      <w:r w:rsidR="00EE0D76" w:rsidRPr="00B16E6B">
        <w:rPr>
          <w:rFonts w:eastAsia="Times New Roman"/>
          <w:lang w:eastAsia="en-AU"/>
        </w:rPr>
        <w:t xml:space="preserve"> to incidents where possible and </w:t>
      </w:r>
      <w:r w:rsidR="005968D3" w:rsidRPr="00B16E6B">
        <w:rPr>
          <w:rFonts w:eastAsia="Times New Roman"/>
          <w:lang w:eastAsia="en-AU"/>
        </w:rPr>
        <w:t>appropriate.</w:t>
      </w:r>
    </w:p>
    <w:p w14:paraId="11C44205" w14:textId="77777777" w:rsidR="00A76E48" w:rsidRPr="00B16E6B" w:rsidRDefault="00487C6A" w:rsidP="009613E1">
      <w:pPr>
        <w:pStyle w:val="BulletedList-Level1"/>
        <w:numPr>
          <w:ilvl w:val="0"/>
          <w:numId w:val="0"/>
        </w:numPr>
        <w:spacing w:after="120" w:line="271" w:lineRule="auto"/>
        <w:ind w:left="142"/>
        <w:rPr>
          <w:rFonts w:eastAsia="Times New Roman"/>
          <w:lang w:eastAsia="en-AU"/>
        </w:rPr>
      </w:pPr>
      <w:r w:rsidRPr="00B16E6B">
        <w:rPr>
          <w:rFonts w:eastAsia="Times New Roman"/>
          <w:lang w:eastAsia="en-AU"/>
        </w:rPr>
        <w:t>G</w:t>
      </w:r>
      <w:r w:rsidR="00FC5DE7" w:rsidRPr="00B16E6B">
        <w:rPr>
          <w:rFonts w:eastAsia="Times New Roman"/>
          <w:lang w:eastAsia="en-AU"/>
        </w:rPr>
        <w:t xml:space="preserve">overnment maintains a unique ability to regulate across supply chains and on a whole-of-sector basis and can intervene to ensure vulnerabilities in critical infrastructure are proactively </w:t>
      </w:r>
      <w:r w:rsidR="006C56FD" w:rsidRPr="00B16E6B">
        <w:rPr>
          <w:rFonts w:eastAsia="Times New Roman"/>
          <w:lang w:eastAsia="en-AU"/>
        </w:rPr>
        <w:t xml:space="preserve">prevented, </w:t>
      </w:r>
      <w:r w:rsidR="00FC5DE7" w:rsidRPr="00B16E6B">
        <w:rPr>
          <w:rFonts w:eastAsia="Times New Roman"/>
          <w:lang w:eastAsia="en-AU"/>
        </w:rPr>
        <w:t xml:space="preserve">detected, and resolved. This is imperative for mitigating the potential impacts of disruption on Australia’s social and economic stability, defence, and national security, as well as the reliability and security of other </w:t>
      </w:r>
      <w:r w:rsidR="45744C8B" w:rsidRPr="00B16E6B">
        <w:rPr>
          <w:rFonts w:eastAsia="Times New Roman"/>
          <w:lang w:eastAsia="en-AU"/>
        </w:rPr>
        <w:t xml:space="preserve">non-transport related </w:t>
      </w:r>
      <w:r w:rsidR="00FC5DE7" w:rsidRPr="00B16E6B">
        <w:rPr>
          <w:rFonts w:eastAsia="Times New Roman"/>
          <w:lang w:eastAsia="en-AU"/>
        </w:rPr>
        <w:t>critical infrastructure assets</w:t>
      </w:r>
      <w:r w:rsidR="006A00F2" w:rsidRPr="00B16E6B">
        <w:rPr>
          <w:rStyle w:val="FootnoteReference"/>
          <w:rFonts w:eastAsia="Times New Roman"/>
          <w:lang w:eastAsia="en-AU"/>
        </w:rPr>
        <w:footnoteReference w:id="37"/>
      </w:r>
      <w:r w:rsidR="00FC5DE7" w:rsidRPr="00B16E6B">
        <w:rPr>
          <w:rFonts w:eastAsia="Times New Roman"/>
          <w:lang w:eastAsia="en-AU"/>
        </w:rPr>
        <w:t xml:space="preserve">. </w:t>
      </w:r>
      <w:r w:rsidRPr="00B16E6B">
        <w:rPr>
          <w:rFonts w:eastAsia="Times New Roman"/>
          <w:lang w:eastAsia="en-AU"/>
        </w:rPr>
        <w:t>Government</w:t>
      </w:r>
      <w:r w:rsidR="00FC5DE7" w:rsidRPr="00B16E6B">
        <w:rPr>
          <w:rFonts w:eastAsia="Times New Roman"/>
          <w:lang w:eastAsia="en-AU"/>
        </w:rPr>
        <w:t xml:space="preserve"> also holds primary responsibility for regulating Australia’s critical infrastructure including, where possible, working in partnership with industry to ensure regulated entities understand and manage their own risk.  </w:t>
      </w:r>
    </w:p>
    <w:p w14:paraId="6BECB16F" w14:textId="77777777" w:rsidR="00A76E48" w:rsidRPr="00B16E6B" w:rsidRDefault="00A76E48" w:rsidP="009613E1">
      <w:pPr>
        <w:pStyle w:val="BulletedList-Level1"/>
        <w:numPr>
          <w:ilvl w:val="0"/>
          <w:numId w:val="0"/>
        </w:numPr>
        <w:spacing w:after="120" w:line="271" w:lineRule="auto"/>
        <w:ind w:left="142"/>
        <w:rPr>
          <w:rFonts w:eastAsia="Times New Roman"/>
          <w:lang w:eastAsia="en-AU"/>
        </w:rPr>
      </w:pPr>
    </w:p>
    <w:p w14:paraId="6C17DC9C" w14:textId="65B2AD7F" w:rsidR="00A76E48" w:rsidRPr="00B16E6B" w:rsidRDefault="00A76E48" w:rsidP="009613E1">
      <w:pPr>
        <w:spacing w:after="200" w:line="271" w:lineRule="auto"/>
        <w:rPr>
          <w:rFonts w:eastAsia="Times New Roman"/>
          <w:lang w:eastAsia="en-AU"/>
        </w:rPr>
      </w:pPr>
      <w:r w:rsidRPr="00B16E6B">
        <w:rPr>
          <w:rFonts w:eastAsia="Times New Roman"/>
          <w:lang w:eastAsia="en-AU"/>
        </w:rPr>
        <w:br w:type="page"/>
      </w:r>
    </w:p>
    <w:p w14:paraId="5FFEDF57" w14:textId="3495A641" w:rsidR="00FC5DE7" w:rsidRPr="00B16E6B" w:rsidRDefault="00487C6A" w:rsidP="009613E1">
      <w:pPr>
        <w:pStyle w:val="BulletedList-Level1"/>
        <w:numPr>
          <w:ilvl w:val="0"/>
          <w:numId w:val="0"/>
        </w:numPr>
        <w:spacing w:after="120" w:line="271" w:lineRule="auto"/>
        <w:ind w:left="142"/>
        <w:rPr>
          <w:rFonts w:eastAsia="Times New Roman" w:cs="Segoe UI"/>
          <w:lang w:eastAsia="en-AU"/>
        </w:rPr>
      </w:pPr>
      <w:r w:rsidRPr="00B16E6B">
        <w:rPr>
          <w:rFonts w:eastAsia="Times New Roman"/>
          <w:lang w:eastAsia="en-AU"/>
        </w:rPr>
        <w:lastRenderedPageBreak/>
        <w:t>Government</w:t>
      </w:r>
      <w:r w:rsidR="00FC5DE7" w:rsidRPr="00B16E6B">
        <w:rPr>
          <w:rFonts w:eastAsia="Times New Roman"/>
          <w:lang w:eastAsia="en-AU"/>
        </w:rPr>
        <w:t xml:space="preserve">’s established mechanisms for industry engagement, cooperation, and compliance support </w:t>
      </w:r>
      <w:r w:rsidRPr="00B16E6B">
        <w:rPr>
          <w:rFonts w:eastAsia="Times New Roman"/>
          <w:lang w:eastAsia="en-AU"/>
        </w:rPr>
        <w:t>government</w:t>
      </w:r>
      <w:r w:rsidR="00FC5DE7" w:rsidRPr="00B16E6B">
        <w:rPr>
          <w:rFonts w:eastAsia="Times New Roman"/>
          <w:lang w:eastAsia="en-AU"/>
        </w:rPr>
        <w:t xml:space="preserve"> intervention moving forward and primarily focus on ensuring all hazard</w:t>
      </w:r>
      <w:r w:rsidR="005968D3" w:rsidRPr="00B16E6B">
        <w:rPr>
          <w:rFonts w:eastAsia="Times New Roman"/>
          <w:lang w:eastAsia="en-AU"/>
        </w:rPr>
        <w:t xml:space="preserve"> security</w:t>
      </w:r>
      <w:r w:rsidR="00FC5DE7" w:rsidRPr="00B16E6B">
        <w:rPr>
          <w:rFonts w:eastAsia="Times New Roman"/>
          <w:lang w:eastAsia="en-AU"/>
        </w:rPr>
        <w:t xml:space="preserve"> risks are appropriately managed:  </w:t>
      </w:r>
    </w:p>
    <w:p w14:paraId="4FCAFA99" w14:textId="77777777" w:rsidR="00EB2F15" w:rsidRPr="00B16E6B" w:rsidRDefault="00FC5DE7" w:rsidP="009613E1">
      <w:pPr>
        <w:pStyle w:val="ListParagraph"/>
        <w:numPr>
          <w:ilvl w:val="0"/>
          <w:numId w:val="18"/>
        </w:numPr>
        <w:spacing w:after="120" w:line="271" w:lineRule="auto"/>
        <w:ind w:left="714" w:hanging="357"/>
        <w:contextualSpacing w:val="0"/>
        <w:rPr>
          <w:rFonts w:eastAsia="Times New Roman"/>
          <w:lang w:eastAsia="en-AU"/>
        </w:rPr>
      </w:pPr>
      <w:r w:rsidRPr="00B16E6B">
        <w:rPr>
          <w:rFonts w:eastAsia="Times New Roman"/>
          <w:b/>
          <w:bCs/>
          <w:lang w:eastAsia="en-AU"/>
        </w:rPr>
        <w:t>Critical Infrastructure Resilience Strategy</w:t>
      </w:r>
      <w:r w:rsidR="00F37399" w:rsidRPr="00B16E6B">
        <w:rPr>
          <w:rFonts w:eastAsia="Times New Roman"/>
          <w:b/>
          <w:bCs/>
          <w:lang w:eastAsia="en-AU"/>
        </w:rPr>
        <w:t xml:space="preserve"> </w:t>
      </w:r>
      <w:r w:rsidR="00F37399" w:rsidRPr="00B16E6B">
        <w:rPr>
          <w:rFonts w:eastAsia="Times New Roman"/>
          <w:bCs/>
          <w:lang w:eastAsia="en-AU"/>
        </w:rPr>
        <w:t>(CIRS)</w:t>
      </w:r>
      <w:r w:rsidR="00774FBA" w:rsidRPr="00B16E6B">
        <w:rPr>
          <w:rFonts w:eastAsia="Times New Roman"/>
          <w:lang w:eastAsia="en-AU"/>
        </w:rPr>
        <w:t xml:space="preserve"> </w:t>
      </w:r>
      <w:r w:rsidRPr="00B16E6B">
        <w:rPr>
          <w:rFonts w:eastAsia="Times New Roman"/>
          <w:lang w:eastAsia="en-AU"/>
        </w:rPr>
        <w:t xml:space="preserve">provides a national framework for guiding Australia to enhanced critical infrastructure security and resilience. The CIRS includes an overarching vision for critical infrastructure, the impacts of changes in operating environments on critical infrastructure, and points of alignment between the CIRS and existing work across </w:t>
      </w:r>
      <w:r w:rsidR="00487C6A" w:rsidRPr="00B16E6B">
        <w:rPr>
          <w:rFonts w:eastAsia="Times New Roman"/>
          <w:lang w:eastAsia="en-AU"/>
        </w:rPr>
        <w:t>government</w:t>
      </w:r>
      <w:r w:rsidRPr="00B16E6B">
        <w:rPr>
          <w:rFonts w:eastAsia="Times New Roman"/>
          <w:lang w:eastAsia="en-AU"/>
        </w:rPr>
        <w:t xml:space="preserve">, to enable achievement of </w:t>
      </w:r>
      <w:r w:rsidRPr="00B16E6B">
        <w:t>objectives.</w:t>
      </w:r>
      <w:r w:rsidRPr="00B16E6B">
        <w:rPr>
          <w:vertAlign w:val="superscript"/>
        </w:rPr>
        <w:footnoteReference w:id="38"/>
      </w:r>
    </w:p>
    <w:p w14:paraId="38FCB24C" w14:textId="77777777" w:rsidR="00561CEE" w:rsidRPr="00B16E6B" w:rsidRDefault="00FC5DE7" w:rsidP="009613E1">
      <w:pPr>
        <w:pStyle w:val="ListParagraph"/>
        <w:numPr>
          <w:ilvl w:val="0"/>
          <w:numId w:val="18"/>
        </w:numPr>
        <w:spacing w:after="120" w:line="271" w:lineRule="auto"/>
        <w:ind w:left="714" w:hanging="357"/>
        <w:contextualSpacing w:val="0"/>
        <w:rPr>
          <w:rFonts w:eastAsia="Times New Roman"/>
          <w:b/>
          <w:bCs/>
          <w:lang w:eastAsia="en-AU"/>
        </w:rPr>
      </w:pPr>
      <w:r w:rsidRPr="00B16E6B">
        <w:rPr>
          <w:rFonts w:eastAsia="Times New Roman"/>
          <w:b/>
          <w:bCs/>
          <w:lang w:eastAsia="en-AU"/>
        </w:rPr>
        <w:t xml:space="preserve">Trusted Information Sharing Network (the TISN) </w:t>
      </w:r>
      <w:r w:rsidRPr="00B16E6B">
        <w:rPr>
          <w:rFonts w:eastAsia="Times New Roman"/>
          <w:bCs/>
          <w:lang w:eastAsia="en-AU"/>
        </w:rPr>
        <w:t xml:space="preserve">is </w:t>
      </w:r>
      <w:r w:rsidR="00487C6A" w:rsidRPr="00B16E6B">
        <w:rPr>
          <w:rFonts w:eastAsia="Times New Roman"/>
          <w:bCs/>
          <w:lang w:eastAsia="en-AU"/>
        </w:rPr>
        <w:t>government</w:t>
      </w:r>
      <w:r w:rsidRPr="00B16E6B">
        <w:rPr>
          <w:rFonts w:eastAsia="Times New Roman"/>
          <w:bCs/>
          <w:lang w:eastAsia="en-AU"/>
        </w:rPr>
        <w:t xml:space="preserve">’s primary tool for </w:t>
      </w:r>
      <w:r w:rsidR="005968D3" w:rsidRPr="00B16E6B">
        <w:rPr>
          <w:rFonts w:eastAsia="Times New Roman"/>
          <w:bCs/>
          <w:lang w:eastAsia="en-AU"/>
        </w:rPr>
        <w:t>sharing business</w:t>
      </w:r>
      <w:r w:rsidRPr="00B16E6B">
        <w:rPr>
          <w:rFonts w:eastAsia="Times New Roman"/>
          <w:bCs/>
          <w:lang w:eastAsia="en-AU"/>
        </w:rPr>
        <w:t>-</w:t>
      </w:r>
      <w:r w:rsidR="00487C6A" w:rsidRPr="00B16E6B">
        <w:rPr>
          <w:rFonts w:eastAsia="Times New Roman"/>
          <w:bCs/>
          <w:lang w:eastAsia="en-AU"/>
        </w:rPr>
        <w:t>government</w:t>
      </w:r>
      <w:r w:rsidRPr="00B16E6B">
        <w:rPr>
          <w:rFonts w:eastAsia="Times New Roman"/>
          <w:bCs/>
          <w:lang w:eastAsia="en-AU"/>
        </w:rPr>
        <w:t xml:space="preserve"> information sharing and resilience-building initiatives on critical infrastructure. The TISN provides a platform for industry and </w:t>
      </w:r>
      <w:r w:rsidR="00487C6A" w:rsidRPr="00B16E6B">
        <w:rPr>
          <w:rFonts w:eastAsia="Times New Roman"/>
          <w:bCs/>
          <w:lang w:eastAsia="en-AU"/>
        </w:rPr>
        <w:t>government</w:t>
      </w:r>
      <w:r w:rsidRPr="00B16E6B">
        <w:rPr>
          <w:rFonts w:eastAsia="Times New Roman"/>
          <w:bCs/>
          <w:lang w:eastAsia="en-AU"/>
        </w:rPr>
        <w:t xml:space="preserve"> representatives to share information that enhances mutual understanding and application of organisational resilience and contribute to achievement of the CIRS.</w:t>
      </w:r>
      <w:r w:rsidRPr="00B16E6B">
        <w:rPr>
          <w:vertAlign w:val="superscript"/>
        </w:rPr>
        <w:footnoteReference w:id="39"/>
      </w:r>
    </w:p>
    <w:p w14:paraId="5150EAF8" w14:textId="77777777" w:rsidR="00FC5DE7" w:rsidRPr="00B16E6B" w:rsidRDefault="00FC5DE7" w:rsidP="009613E1">
      <w:pPr>
        <w:pStyle w:val="ListParagraph"/>
        <w:numPr>
          <w:ilvl w:val="0"/>
          <w:numId w:val="18"/>
        </w:numPr>
        <w:spacing w:after="120" w:line="271" w:lineRule="auto"/>
        <w:ind w:left="714" w:hanging="357"/>
        <w:contextualSpacing w:val="0"/>
        <w:rPr>
          <w:rFonts w:eastAsia="Times New Roman"/>
          <w:b/>
          <w:bCs/>
          <w:lang w:eastAsia="en-AU"/>
        </w:rPr>
      </w:pPr>
      <w:r w:rsidRPr="00B16E6B">
        <w:rPr>
          <w:rFonts w:eastAsia="Times New Roman"/>
          <w:b/>
          <w:bCs/>
          <w:lang w:eastAsia="en-AU"/>
        </w:rPr>
        <w:t>Cyber and Infrastructure Security Centre</w:t>
      </w:r>
      <w:r w:rsidR="00E42691" w:rsidRPr="00B16E6B">
        <w:rPr>
          <w:rFonts w:eastAsia="Times New Roman"/>
          <w:b/>
          <w:bCs/>
          <w:lang w:eastAsia="en-AU"/>
        </w:rPr>
        <w:t xml:space="preserve"> (CISC)</w:t>
      </w:r>
      <w:r w:rsidRPr="00B16E6B">
        <w:rPr>
          <w:rFonts w:eastAsia="Times New Roman"/>
          <w:bCs/>
          <w:lang w:eastAsia="en-AU"/>
        </w:rPr>
        <w:t>,</w:t>
      </w:r>
      <w:r w:rsidRPr="00B16E6B">
        <w:rPr>
          <w:rFonts w:eastAsia="Times New Roman"/>
          <w:b/>
          <w:bCs/>
          <w:lang w:eastAsia="en-AU"/>
        </w:rPr>
        <w:t xml:space="preserve"> </w:t>
      </w:r>
      <w:r w:rsidRPr="00B16E6B">
        <w:rPr>
          <w:rFonts w:eastAsia="Times New Roman"/>
          <w:bCs/>
          <w:lang w:eastAsia="en-AU"/>
        </w:rPr>
        <w:t>responsible for regulating the existing all hazards critical infrastructure regime, indicat</w:t>
      </w:r>
      <w:r w:rsidR="00A40F90" w:rsidRPr="00B16E6B">
        <w:rPr>
          <w:rFonts w:eastAsia="Times New Roman"/>
          <w:bCs/>
          <w:lang w:eastAsia="en-AU"/>
        </w:rPr>
        <w:t>ing</w:t>
      </w:r>
      <w:r w:rsidRPr="00B16E6B">
        <w:rPr>
          <w:rFonts w:eastAsia="Times New Roman"/>
          <w:bCs/>
          <w:lang w:eastAsia="en-AU"/>
        </w:rPr>
        <w:t xml:space="preserve"> </w:t>
      </w:r>
      <w:r w:rsidR="00487C6A" w:rsidRPr="00B16E6B">
        <w:rPr>
          <w:rFonts w:eastAsia="Times New Roman"/>
          <w:bCs/>
          <w:lang w:eastAsia="en-AU"/>
        </w:rPr>
        <w:t>government</w:t>
      </w:r>
      <w:r w:rsidRPr="00B16E6B">
        <w:rPr>
          <w:rFonts w:eastAsia="Times New Roman"/>
          <w:bCs/>
          <w:lang w:eastAsia="en-AU"/>
        </w:rPr>
        <w:t xml:space="preserve">’s commitment to working with asset owners and operators through engagement, partnerships, advice, </w:t>
      </w:r>
      <w:r w:rsidR="00F86253" w:rsidRPr="00B16E6B">
        <w:rPr>
          <w:rFonts w:eastAsia="Times New Roman"/>
          <w:bCs/>
          <w:lang w:eastAsia="en-AU"/>
        </w:rPr>
        <w:t xml:space="preserve">risk assessments, </w:t>
      </w:r>
      <w:r w:rsidRPr="00B16E6B">
        <w:rPr>
          <w:rFonts w:eastAsia="Times New Roman"/>
          <w:bCs/>
          <w:lang w:eastAsia="en-AU"/>
        </w:rPr>
        <w:t>exercises, modelling and regulation.</w:t>
      </w:r>
      <w:r w:rsidRPr="00B16E6B">
        <w:rPr>
          <w:vertAlign w:val="superscript"/>
        </w:rPr>
        <w:footnoteReference w:id="40"/>
      </w:r>
      <w:r w:rsidRPr="00B16E6B">
        <w:rPr>
          <w:vertAlign w:val="superscript"/>
        </w:rPr>
        <w:t xml:space="preserve"> </w:t>
      </w:r>
      <w:r w:rsidRPr="00B16E6B">
        <w:rPr>
          <w:rFonts w:eastAsia="Times New Roman"/>
          <w:bCs/>
          <w:lang w:eastAsia="en-AU"/>
        </w:rPr>
        <w:t xml:space="preserve"> </w:t>
      </w:r>
    </w:p>
    <w:p w14:paraId="2853125F" w14:textId="77777777" w:rsidR="00FC5DE7" w:rsidRPr="00B16E6B" w:rsidRDefault="00FC5DE7" w:rsidP="009613E1">
      <w:pPr>
        <w:spacing w:line="271" w:lineRule="auto"/>
        <w:rPr>
          <w:rFonts w:eastAsia="Times New Roman" w:cs="Segoe UI"/>
          <w:lang w:eastAsia="en-AU"/>
        </w:rPr>
      </w:pPr>
      <w:r w:rsidRPr="00B16E6B">
        <w:rPr>
          <w:rFonts w:eastAsia="Times New Roman"/>
          <w:lang w:eastAsia="en-AU"/>
        </w:rPr>
        <w:t xml:space="preserve">In addition, </w:t>
      </w:r>
      <w:r w:rsidR="00487C6A" w:rsidRPr="00B16E6B">
        <w:rPr>
          <w:rFonts w:eastAsia="Times New Roman"/>
          <w:lang w:eastAsia="en-AU"/>
        </w:rPr>
        <w:t>government</w:t>
      </w:r>
      <w:r w:rsidRPr="00B16E6B">
        <w:rPr>
          <w:rFonts w:eastAsia="Times New Roman"/>
          <w:lang w:eastAsia="en-AU"/>
        </w:rPr>
        <w:t xml:space="preserve">’s continued involvement with critical infrastructure matters through </w:t>
      </w:r>
      <w:r w:rsidR="005968D3" w:rsidRPr="00B16E6B">
        <w:rPr>
          <w:rFonts w:eastAsia="Times New Roman"/>
          <w:lang w:eastAsia="en-AU"/>
        </w:rPr>
        <w:t xml:space="preserve">the </w:t>
      </w:r>
      <w:r w:rsidRPr="00B16E6B">
        <w:rPr>
          <w:rFonts w:eastAsia="Times New Roman"/>
          <w:lang w:eastAsia="en-AU"/>
        </w:rPr>
        <w:t>review and amendment of the applicable regulatory regime, aligns with each of the key objectives in the CIRS, including to:  </w:t>
      </w:r>
    </w:p>
    <w:p w14:paraId="15F49E08" w14:textId="77777777" w:rsidR="00FC5DE7" w:rsidRPr="00B16E6B" w:rsidRDefault="006F4F96" w:rsidP="009613E1">
      <w:pPr>
        <w:pStyle w:val="ListParagraph"/>
        <w:numPr>
          <w:ilvl w:val="0"/>
          <w:numId w:val="18"/>
        </w:numPr>
        <w:spacing w:after="120" w:line="271" w:lineRule="auto"/>
        <w:ind w:left="714" w:hanging="357"/>
        <w:contextualSpacing w:val="0"/>
        <w:rPr>
          <w:rFonts w:eastAsia="Times New Roman"/>
          <w:bCs/>
          <w:lang w:eastAsia="en-AU"/>
        </w:rPr>
      </w:pPr>
      <w:r w:rsidRPr="00B16E6B">
        <w:rPr>
          <w:rFonts w:eastAsia="Times New Roman"/>
          <w:bCs/>
          <w:lang w:eastAsia="en-AU"/>
        </w:rPr>
        <w:t>s</w:t>
      </w:r>
      <w:r w:rsidR="00FC5DE7" w:rsidRPr="00B16E6B">
        <w:rPr>
          <w:rFonts w:eastAsia="Times New Roman"/>
          <w:bCs/>
          <w:lang w:eastAsia="en-AU"/>
        </w:rPr>
        <w:t>upport critical infrastructure owners and operators to effectively manage risks to the continuity of their operations through mature risk-based and resilient approaches </w:t>
      </w:r>
    </w:p>
    <w:p w14:paraId="645F5260" w14:textId="77777777" w:rsidR="00FC5DE7" w:rsidRPr="00B16E6B" w:rsidRDefault="006F4F96" w:rsidP="009613E1">
      <w:pPr>
        <w:pStyle w:val="ListParagraph"/>
        <w:numPr>
          <w:ilvl w:val="0"/>
          <w:numId w:val="18"/>
        </w:numPr>
        <w:spacing w:after="120" w:line="271" w:lineRule="auto"/>
        <w:ind w:left="714" w:hanging="357"/>
        <w:contextualSpacing w:val="0"/>
        <w:rPr>
          <w:rFonts w:eastAsia="Times New Roman"/>
          <w:bCs/>
          <w:lang w:eastAsia="en-AU"/>
        </w:rPr>
      </w:pPr>
      <w:r w:rsidRPr="00B16E6B">
        <w:rPr>
          <w:rFonts w:eastAsia="Times New Roman"/>
          <w:bCs/>
          <w:lang w:eastAsia="en-AU"/>
        </w:rPr>
        <w:t>d</w:t>
      </w:r>
      <w:r w:rsidR="00FC5DE7" w:rsidRPr="00B16E6B">
        <w:rPr>
          <w:rFonts w:eastAsia="Times New Roman"/>
          <w:bCs/>
          <w:lang w:eastAsia="en-AU"/>
        </w:rPr>
        <w:t>eliver initiatives through strong i</w:t>
      </w:r>
      <w:r w:rsidRPr="00B16E6B">
        <w:rPr>
          <w:rFonts w:eastAsia="Times New Roman"/>
          <w:bCs/>
          <w:lang w:eastAsia="en-AU"/>
        </w:rPr>
        <w:t>ndustry-</w:t>
      </w:r>
      <w:r w:rsidR="00487C6A" w:rsidRPr="00B16E6B">
        <w:rPr>
          <w:rFonts w:eastAsia="Times New Roman"/>
          <w:bCs/>
          <w:lang w:eastAsia="en-AU"/>
        </w:rPr>
        <w:t>government</w:t>
      </w:r>
      <w:r w:rsidRPr="00B16E6B">
        <w:rPr>
          <w:rFonts w:eastAsia="Times New Roman"/>
          <w:bCs/>
          <w:lang w:eastAsia="en-AU"/>
        </w:rPr>
        <w:t xml:space="preserve"> partnerships</w:t>
      </w:r>
      <w:r w:rsidR="00FC5DE7" w:rsidRPr="00B16E6B">
        <w:rPr>
          <w:rFonts w:eastAsia="Times New Roman"/>
          <w:bCs/>
          <w:lang w:eastAsia="en-AU"/>
        </w:rPr>
        <w:t>  </w:t>
      </w:r>
    </w:p>
    <w:p w14:paraId="37E812EE" w14:textId="77777777" w:rsidR="00FC5DE7" w:rsidRPr="00B16E6B" w:rsidRDefault="006F4F96" w:rsidP="009613E1">
      <w:pPr>
        <w:pStyle w:val="ListParagraph"/>
        <w:numPr>
          <w:ilvl w:val="0"/>
          <w:numId w:val="18"/>
        </w:numPr>
        <w:spacing w:after="120" w:line="271" w:lineRule="auto"/>
        <w:ind w:left="714" w:hanging="357"/>
        <w:contextualSpacing w:val="0"/>
        <w:rPr>
          <w:rFonts w:eastAsia="Times New Roman"/>
          <w:bCs/>
          <w:lang w:eastAsia="en-AU"/>
        </w:rPr>
      </w:pPr>
      <w:r w:rsidRPr="00B16E6B">
        <w:rPr>
          <w:rFonts w:eastAsia="Times New Roman"/>
          <w:bCs/>
          <w:lang w:eastAsia="en-AU"/>
        </w:rPr>
        <w:t>s</w:t>
      </w:r>
      <w:r w:rsidR="00FC5DE7" w:rsidRPr="00B16E6B">
        <w:rPr>
          <w:rFonts w:eastAsia="Times New Roman"/>
          <w:bCs/>
          <w:lang w:eastAsia="en-AU"/>
        </w:rPr>
        <w:t>upport critical infrastructure owners and operators to strengthen their security and resilience through regulatory frameworks, tools and improved collaboration.  </w:t>
      </w:r>
    </w:p>
    <w:p w14:paraId="7D6860E4" w14:textId="58CE3CB2" w:rsidR="00F13246" w:rsidRPr="00B16E6B" w:rsidRDefault="00FC5DE7" w:rsidP="009613E1">
      <w:pPr>
        <w:spacing w:line="271" w:lineRule="auto"/>
        <w:rPr>
          <w:rFonts w:eastAsia="Times New Roman"/>
          <w:lang w:eastAsia="en-AU"/>
        </w:rPr>
      </w:pPr>
      <w:r w:rsidRPr="00B16E6B">
        <w:rPr>
          <w:rFonts w:eastAsia="Times New Roman"/>
          <w:lang w:eastAsia="en-AU"/>
        </w:rPr>
        <w:t xml:space="preserve">The </w:t>
      </w:r>
      <w:r w:rsidR="00487C6A" w:rsidRPr="00B16E6B">
        <w:rPr>
          <w:rFonts w:eastAsia="Times New Roman"/>
          <w:lang w:eastAsia="en-AU"/>
        </w:rPr>
        <w:t>government</w:t>
      </w:r>
      <w:r w:rsidRPr="00B16E6B">
        <w:rPr>
          <w:rFonts w:eastAsia="Times New Roman"/>
          <w:lang w:eastAsia="en-AU"/>
        </w:rPr>
        <w:t xml:space="preserve"> is remaining vigilant against evolving threats through mechanisms of intervention in the transport sector. These mechanisms are essential to protect lives, safeguard our critical infrastructure assets, and ensure that the legislative and regulatory environment guiding the sector is efficient in allowing for the secure movement of people and goods domestically as well as beyond </w:t>
      </w:r>
      <w:r w:rsidRPr="00B16E6B">
        <w:rPr>
          <w:rStyle w:val="normaltextrun"/>
          <w:rFonts w:cs="Arial"/>
          <w:color w:val="000000"/>
          <w:bdr w:val="none" w:sz="0" w:space="0" w:color="auto" w:frame="1"/>
        </w:rPr>
        <w:t>Australian borders</w:t>
      </w:r>
      <w:r w:rsidRPr="00B16E6B">
        <w:rPr>
          <w:rStyle w:val="normaltextrun"/>
          <w:rFonts w:cs="Arial"/>
          <w:color w:val="000000"/>
          <w:sz w:val="20"/>
          <w:szCs w:val="20"/>
          <w:bdr w:val="none" w:sz="0" w:space="0" w:color="auto" w:frame="1"/>
        </w:rPr>
        <w:t xml:space="preserve">. </w:t>
      </w:r>
    </w:p>
    <w:p w14:paraId="545559BC" w14:textId="08A357B5" w:rsidR="00985D9F" w:rsidRPr="00B16E6B" w:rsidRDefault="00985D9F" w:rsidP="009613E1">
      <w:pPr>
        <w:spacing w:line="271" w:lineRule="auto"/>
        <w:rPr>
          <w:rFonts w:eastAsia="Times New Roman"/>
          <w:lang w:eastAsia="en-AU"/>
        </w:rPr>
      </w:pPr>
      <w:r w:rsidRPr="00B16E6B">
        <w:rPr>
          <w:rFonts w:eastAsia="Times New Roman"/>
          <w:lang w:eastAsia="en-AU"/>
        </w:rPr>
        <w:t xml:space="preserve">While self-regulation by industry has been considered as an alternative to </w:t>
      </w:r>
      <w:r w:rsidR="00487C6A" w:rsidRPr="00B16E6B">
        <w:rPr>
          <w:rFonts w:eastAsia="Times New Roman"/>
          <w:lang w:eastAsia="en-AU"/>
        </w:rPr>
        <w:t>government</w:t>
      </w:r>
      <w:r w:rsidRPr="00B16E6B">
        <w:rPr>
          <w:rFonts w:eastAsia="Times New Roman"/>
          <w:lang w:eastAsia="en-AU"/>
        </w:rPr>
        <w:t xml:space="preserve"> action, the nature of the transport sector means it is not viable in this case. This is because:</w:t>
      </w:r>
    </w:p>
    <w:p w14:paraId="69606639" w14:textId="77777777" w:rsidR="00985D9F" w:rsidRPr="00B16E6B" w:rsidRDefault="005968D3" w:rsidP="009613E1">
      <w:pPr>
        <w:pStyle w:val="ListParagraph"/>
        <w:numPr>
          <w:ilvl w:val="0"/>
          <w:numId w:val="18"/>
        </w:numPr>
        <w:spacing w:after="120" w:line="271" w:lineRule="auto"/>
        <w:ind w:left="714" w:hanging="357"/>
        <w:contextualSpacing w:val="0"/>
        <w:rPr>
          <w:rFonts w:eastAsia="Times New Roman"/>
          <w:bCs/>
          <w:lang w:eastAsia="en-AU"/>
        </w:rPr>
      </w:pPr>
      <w:r w:rsidRPr="00B16E6B">
        <w:rPr>
          <w:rFonts w:eastAsia="Times New Roman"/>
          <w:bCs/>
          <w:lang w:eastAsia="en-AU"/>
        </w:rPr>
        <w:t>t</w:t>
      </w:r>
      <w:r w:rsidR="00985D9F" w:rsidRPr="00B16E6B">
        <w:rPr>
          <w:rFonts w:eastAsia="Times New Roman"/>
          <w:bCs/>
          <w:lang w:eastAsia="en-AU"/>
        </w:rPr>
        <w:t xml:space="preserve">o be effective, regulation of the </w:t>
      </w:r>
      <w:r w:rsidRPr="00B16E6B">
        <w:rPr>
          <w:rFonts w:eastAsia="Times New Roman"/>
          <w:bCs/>
          <w:lang w:eastAsia="en-AU"/>
        </w:rPr>
        <w:t xml:space="preserve">aviation, air cargo, and </w:t>
      </w:r>
      <w:r w:rsidR="00985D9F" w:rsidRPr="00B16E6B">
        <w:rPr>
          <w:rFonts w:eastAsia="Times New Roman"/>
          <w:bCs/>
          <w:lang w:eastAsia="en-AU"/>
        </w:rPr>
        <w:t>maritime sectors must be consistent (including the regulatory standards to which industry partici</w:t>
      </w:r>
      <w:r w:rsidRPr="00B16E6B">
        <w:rPr>
          <w:rFonts w:eastAsia="Times New Roman"/>
          <w:bCs/>
          <w:lang w:eastAsia="en-AU"/>
        </w:rPr>
        <w:t>pants are expected to meet)</w:t>
      </w:r>
    </w:p>
    <w:p w14:paraId="323E8C3F" w14:textId="32ED5476" w:rsidR="00985D9F" w:rsidRPr="00B16E6B" w:rsidRDefault="005968D3" w:rsidP="009613E1">
      <w:pPr>
        <w:pStyle w:val="ListParagraph"/>
        <w:numPr>
          <w:ilvl w:val="0"/>
          <w:numId w:val="18"/>
        </w:numPr>
        <w:spacing w:after="120" w:line="271" w:lineRule="auto"/>
        <w:ind w:left="714" w:hanging="357"/>
        <w:contextualSpacing w:val="0"/>
        <w:rPr>
          <w:rFonts w:eastAsia="Times New Roman"/>
          <w:bCs/>
          <w:lang w:eastAsia="en-AU"/>
        </w:rPr>
      </w:pPr>
      <w:r w:rsidRPr="00B16E6B">
        <w:rPr>
          <w:rFonts w:eastAsia="Times New Roman"/>
          <w:bCs/>
          <w:lang w:eastAsia="en-AU"/>
        </w:rPr>
        <w:lastRenderedPageBreak/>
        <w:t>s</w:t>
      </w:r>
      <w:r w:rsidR="00985D9F" w:rsidRPr="00B16E6B">
        <w:rPr>
          <w:rFonts w:eastAsia="Times New Roman"/>
          <w:bCs/>
          <w:lang w:eastAsia="en-AU"/>
        </w:rPr>
        <w:t xml:space="preserve">elf-regulation by industry may lead to inconsistent approaches </w:t>
      </w:r>
      <w:r w:rsidR="00656B7A" w:rsidRPr="00B16E6B">
        <w:rPr>
          <w:rFonts w:eastAsia="Times New Roman"/>
          <w:bCs/>
          <w:lang w:eastAsia="en-AU"/>
        </w:rPr>
        <w:t xml:space="preserve">across the transport sector and impact on its overall security. </w:t>
      </w:r>
    </w:p>
    <w:p w14:paraId="55CDF40E" w14:textId="32A0565F" w:rsidR="006C56FD" w:rsidRPr="00B16E6B" w:rsidRDefault="006C56FD" w:rsidP="009613E1">
      <w:pPr>
        <w:pStyle w:val="ListParagraph"/>
        <w:numPr>
          <w:ilvl w:val="0"/>
          <w:numId w:val="18"/>
        </w:numPr>
        <w:spacing w:after="120" w:line="271" w:lineRule="auto"/>
        <w:ind w:left="714" w:hanging="357"/>
        <w:contextualSpacing w:val="0"/>
        <w:rPr>
          <w:rFonts w:eastAsia="Times New Roman"/>
          <w:bCs/>
          <w:lang w:eastAsia="en-AU"/>
        </w:rPr>
      </w:pPr>
      <w:r w:rsidRPr="00B16E6B">
        <w:rPr>
          <w:rFonts w:eastAsia="Times New Roman"/>
          <w:bCs/>
          <w:lang w:eastAsia="en-AU"/>
        </w:rPr>
        <w:t>Australia is a signatory to international conventions of ICAO and the IMO, which seek to ensure the security of civil aviation, port facilities and ships</w:t>
      </w:r>
      <w:r w:rsidR="00063418" w:rsidRPr="00B16E6B">
        <w:rPr>
          <w:rFonts w:eastAsia="Times New Roman"/>
          <w:bCs/>
          <w:lang w:eastAsia="en-AU"/>
        </w:rPr>
        <w:t>.</w:t>
      </w:r>
    </w:p>
    <w:p w14:paraId="24972A2D" w14:textId="77777777" w:rsidR="00656B7A" w:rsidRPr="00B16E6B" w:rsidRDefault="00656B7A" w:rsidP="009613E1">
      <w:pPr>
        <w:spacing w:line="271" w:lineRule="auto"/>
        <w:rPr>
          <w:rFonts w:eastAsia="Times New Roman"/>
          <w:lang w:eastAsia="en-AU"/>
        </w:rPr>
      </w:pPr>
      <w:r w:rsidRPr="00B16E6B">
        <w:rPr>
          <w:rFonts w:eastAsia="Times New Roman"/>
          <w:lang w:eastAsia="en-AU"/>
        </w:rPr>
        <w:t xml:space="preserve">Therefore, ongoing </w:t>
      </w:r>
      <w:r w:rsidR="00487C6A" w:rsidRPr="00B16E6B">
        <w:rPr>
          <w:rFonts w:eastAsia="Times New Roman"/>
          <w:lang w:eastAsia="en-AU"/>
        </w:rPr>
        <w:t>government</w:t>
      </w:r>
      <w:r w:rsidRPr="00B16E6B">
        <w:rPr>
          <w:rFonts w:eastAsia="Times New Roman"/>
          <w:lang w:eastAsia="en-AU"/>
        </w:rPr>
        <w:t xml:space="preserve"> intervention through </w:t>
      </w:r>
      <w:r w:rsidR="00487C6A" w:rsidRPr="00B16E6B">
        <w:rPr>
          <w:rFonts w:eastAsia="Times New Roman"/>
          <w:lang w:eastAsia="en-AU"/>
        </w:rPr>
        <w:t>government</w:t>
      </w:r>
      <w:r w:rsidRPr="00B16E6B">
        <w:rPr>
          <w:rFonts w:eastAsia="Times New Roman"/>
          <w:lang w:eastAsia="en-AU"/>
        </w:rPr>
        <w:t xml:space="preserve">’s ability to regulate on a whole of sector basis is the most likely means through which major security incidents are minimised and overall disruptions to the transport sector are mitigated. </w:t>
      </w:r>
    </w:p>
    <w:p w14:paraId="5639B94B" w14:textId="77777777" w:rsidR="00E22FCB" w:rsidRPr="00B16E6B" w:rsidRDefault="00E22FCB" w:rsidP="009613E1">
      <w:pPr>
        <w:pStyle w:val="Heading3"/>
        <w:spacing w:line="271" w:lineRule="auto"/>
        <w:rPr>
          <w:rStyle w:val="normaltextrun"/>
        </w:rPr>
      </w:pPr>
      <w:r w:rsidRPr="00B16E6B">
        <w:rPr>
          <w:rStyle w:val="normaltextrun"/>
        </w:rPr>
        <w:t>2.3 Measures of success</w:t>
      </w:r>
    </w:p>
    <w:p w14:paraId="7F864DE1" w14:textId="5A6222F2" w:rsidR="00E22FCB" w:rsidRPr="00B16E6B" w:rsidRDefault="00E22FCB" w:rsidP="009613E1">
      <w:pPr>
        <w:spacing w:line="271" w:lineRule="auto"/>
      </w:pPr>
      <w:r w:rsidRPr="00B16E6B">
        <w:t xml:space="preserve">Measuring the success of </w:t>
      </w:r>
      <w:r w:rsidR="00487C6A" w:rsidRPr="00B16E6B">
        <w:t>government</w:t>
      </w:r>
      <w:r w:rsidRPr="00B16E6B">
        <w:t xml:space="preserve"> intervention is a key tool for allowing </w:t>
      </w:r>
      <w:r w:rsidR="00487C6A" w:rsidRPr="00B16E6B">
        <w:t>government</w:t>
      </w:r>
      <w:r w:rsidRPr="00B16E6B">
        <w:t xml:space="preserve"> to communicate its chosen regulatory approach to Australians. The established objectives of </w:t>
      </w:r>
      <w:r w:rsidR="00487C6A" w:rsidRPr="00B16E6B">
        <w:t>government</w:t>
      </w:r>
      <w:r w:rsidRPr="00B16E6B">
        <w:t xml:space="preserve"> can provide a lead into measures of success for </w:t>
      </w:r>
      <w:r w:rsidR="00487C6A" w:rsidRPr="00B16E6B">
        <w:t>government</w:t>
      </w:r>
      <w:r w:rsidRPr="00B16E6B">
        <w:t xml:space="preserve"> action reforming the transport security legislative frameworks. In achieving these objectives</w:t>
      </w:r>
      <w:r w:rsidR="005968D3" w:rsidRPr="00B16E6B">
        <w:t xml:space="preserve"> </w:t>
      </w:r>
      <w:r w:rsidR="00487C6A" w:rsidRPr="00B16E6B">
        <w:t>government</w:t>
      </w:r>
      <w:r w:rsidRPr="00B16E6B">
        <w:t xml:space="preserve"> will maintain</w:t>
      </w:r>
      <w:r w:rsidR="005968D3" w:rsidRPr="00B16E6B">
        <w:t xml:space="preserve"> the metrics</w:t>
      </w:r>
      <w:r w:rsidRPr="00B16E6B">
        <w:t xml:space="preserve"> </w:t>
      </w:r>
      <w:r w:rsidR="00DC034B" w:rsidRPr="00B16E6B">
        <w:t xml:space="preserve">described in table 9 below </w:t>
      </w:r>
      <w:r w:rsidRPr="00B16E6B">
        <w:t xml:space="preserve">as measures of success. </w:t>
      </w:r>
    </w:p>
    <w:p w14:paraId="7C29B0BF" w14:textId="77777777" w:rsidR="002C5755" w:rsidRPr="00B16E6B" w:rsidRDefault="002C5755" w:rsidP="009613E1">
      <w:pPr>
        <w:spacing w:after="200" w:line="271" w:lineRule="auto"/>
        <w:rPr>
          <w:rFonts w:eastAsia="Times New Roman" w:cs="Arial"/>
          <w:b/>
          <w:bCs/>
          <w:i/>
          <w:iCs/>
          <w:color w:val="44546A"/>
          <w:sz w:val="18"/>
          <w:szCs w:val="18"/>
          <w:lang w:eastAsia="en-AU"/>
        </w:rPr>
      </w:pPr>
      <w:r w:rsidRPr="00B16E6B">
        <w:rPr>
          <w:rFonts w:eastAsia="Times New Roman" w:cs="Arial"/>
          <w:i/>
          <w:iCs/>
          <w:smallCaps/>
          <w:color w:val="44546A"/>
          <w:sz w:val="18"/>
          <w:szCs w:val="18"/>
          <w:lang w:eastAsia="en-AU"/>
        </w:rPr>
        <w:br w:type="page"/>
      </w:r>
    </w:p>
    <w:p w14:paraId="08D7BBB3" w14:textId="29BBC8E4" w:rsidR="008A479B" w:rsidRPr="00B16E6B" w:rsidRDefault="008A479B" w:rsidP="009613E1">
      <w:pPr>
        <w:pStyle w:val="Caption"/>
        <w:spacing w:after="60" w:line="271" w:lineRule="auto"/>
        <w:rPr>
          <w:rFonts w:eastAsia="Times New Roman" w:cs="Arial"/>
          <w:i/>
          <w:iCs/>
          <w:color w:val="44546A"/>
          <w:sz w:val="18"/>
          <w:szCs w:val="18"/>
          <w:lang w:eastAsia="en-AU"/>
        </w:rPr>
      </w:pPr>
      <w:r w:rsidRPr="00B16E6B">
        <w:rPr>
          <w:rFonts w:eastAsia="Times New Roman" w:cs="Arial"/>
          <w:i/>
          <w:iCs/>
          <w:smallCaps w:val="0"/>
          <w:color w:val="44546A"/>
          <w:sz w:val="18"/>
          <w:szCs w:val="18"/>
          <w:lang w:eastAsia="en-AU"/>
        </w:rPr>
        <w:lastRenderedPageBreak/>
        <w:t xml:space="preserve">Table 9: </w:t>
      </w:r>
      <w:r w:rsidRPr="00B16E6B">
        <w:rPr>
          <w:rFonts w:eastAsia="Times New Roman" w:cs="Arial"/>
          <w:b w:val="0"/>
          <w:i/>
          <w:iCs/>
          <w:smallCaps w:val="0"/>
          <w:color w:val="44546A"/>
          <w:sz w:val="18"/>
          <w:szCs w:val="18"/>
          <w:lang w:eastAsia="en-AU"/>
        </w:rPr>
        <w:t>Framework for scenario development and sensitivity analysis</w:t>
      </w:r>
    </w:p>
    <w:tbl>
      <w:tblPr>
        <w:tblStyle w:val="TableGrid"/>
        <w:tblW w:w="9567" w:type="dxa"/>
        <w:tblInd w:w="71"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22"/>
        <w:gridCol w:w="3343"/>
        <w:gridCol w:w="2874"/>
        <w:gridCol w:w="2228"/>
      </w:tblGrid>
      <w:tr w:rsidR="00A5256B" w:rsidRPr="00B16E6B" w14:paraId="12BCDF4A" w14:textId="77777777" w:rsidTr="00D17A7E">
        <w:trPr>
          <w:trHeight w:val="664"/>
          <w:tblHeader/>
        </w:trPr>
        <w:tc>
          <w:tcPr>
            <w:tcW w:w="1122" w:type="dxa"/>
            <w:tcBorders>
              <w:top w:val="nil"/>
              <w:bottom w:val="single" w:sz="4" w:space="0" w:color="A5A5A5"/>
            </w:tcBorders>
            <w:shd w:val="clear" w:color="auto" w:fill="1C2B39" w:themeFill="accent1"/>
            <w:vAlign w:val="center"/>
          </w:tcPr>
          <w:p w14:paraId="47EC0C1A" w14:textId="20E95F6A" w:rsidR="00A5256B" w:rsidRPr="00B16E6B" w:rsidRDefault="00A5256B" w:rsidP="009613E1">
            <w:pPr>
              <w:spacing w:before="20" w:after="20" w:line="271" w:lineRule="auto"/>
              <w:jc w:val="center"/>
              <w:rPr>
                <w:rFonts w:cs="Arial"/>
                <w:b/>
                <w:bCs/>
                <w:sz w:val="18"/>
                <w:szCs w:val="20"/>
              </w:rPr>
            </w:pPr>
            <w:r w:rsidRPr="00B16E6B">
              <w:rPr>
                <w:rFonts w:cs="Arial"/>
                <w:b/>
                <w:bCs/>
                <w:sz w:val="18"/>
                <w:szCs w:val="20"/>
              </w:rPr>
              <w:t>Relative importance</w:t>
            </w:r>
          </w:p>
        </w:tc>
        <w:tc>
          <w:tcPr>
            <w:tcW w:w="3343" w:type="dxa"/>
            <w:tcBorders>
              <w:top w:val="nil"/>
              <w:bottom w:val="single" w:sz="4" w:space="0" w:color="A5A5A5"/>
            </w:tcBorders>
            <w:shd w:val="clear" w:color="auto" w:fill="1C2B39" w:themeFill="accent1"/>
            <w:vAlign w:val="center"/>
            <w:hideMark/>
          </w:tcPr>
          <w:p w14:paraId="6762F92A" w14:textId="19680DF4" w:rsidR="00A5256B" w:rsidRPr="00B16E6B" w:rsidRDefault="00A5256B" w:rsidP="009613E1">
            <w:pPr>
              <w:spacing w:before="20" w:after="20" w:line="271" w:lineRule="auto"/>
              <w:jc w:val="center"/>
              <w:rPr>
                <w:rFonts w:cs="Arial"/>
                <w:b/>
                <w:bCs/>
                <w:sz w:val="20"/>
                <w:szCs w:val="20"/>
              </w:rPr>
            </w:pPr>
            <w:r w:rsidRPr="00B16E6B">
              <w:rPr>
                <w:rFonts w:cs="Arial"/>
                <w:b/>
                <w:bCs/>
                <w:sz w:val="20"/>
                <w:szCs w:val="20"/>
              </w:rPr>
              <w:t>Measure of Success</w:t>
            </w:r>
          </w:p>
        </w:tc>
        <w:tc>
          <w:tcPr>
            <w:tcW w:w="2874" w:type="dxa"/>
            <w:tcBorders>
              <w:top w:val="nil"/>
              <w:bottom w:val="single" w:sz="4" w:space="0" w:color="A5A5A5"/>
            </w:tcBorders>
            <w:shd w:val="clear" w:color="auto" w:fill="1C2B39" w:themeFill="accent1"/>
            <w:vAlign w:val="center"/>
            <w:hideMark/>
          </w:tcPr>
          <w:p w14:paraId="5AFDB525" w14:textId="5665F569" w:rsidR="00A5256B" w:rsidRPr="00B16E6B" w:rsidRDefault="00A5256B" w:rsidP="009613E1">
            <w:pPr>
              <w:spacing w:before="60" w:after="60" w:line="271" w:lineRule="auto"/>
              <w:rPr>
                <w:rFonts w:cs="Arial"/>
                <w:b/>
                <w:bCs/>
                <w:sz w:val="20"/>
                <w:szCs w:val="20"/>
              </w:rPr>
            </w:pPr>
            <w:r w:rsidRPr="00B16E6B">
              <w:rPr>
                <w:rFonts w:cs="Arial"/>
                <w:b/>
                <w:bCs/>
                <w:sz w:val="20"/>
                <w:szCs w:val="20"/>
              </w:rPr>
              <w:t>Success factor/Key assumptions</w:t>
            </w:r>
          </w:p>
        </w:tc>
        <w:tc>
          <w:tcPr>
            <w:tcW w:w="2228" w:type="dxa"/>
            <w:tcBorders>
              <w:top w:val="nil"/>
              <w:bottom w:val="single" w:sz="4" w:space="0" w:color="A5A5A5"/>
            </w:tcBorders>
            <w:shd w:val="clear" w:color="auto" w:fill="1C2B39" w:themeFill="accent1"/>
            <w:vAlign w:val="center"/>
          </w:tcPr>
          <w:p w14:paraId="78A95207" w14:textId="1A364E27" w:rsidR="00A5256B" w:rsidRPr="00B16E6B" w:rsidRDefault="00A5256B" w:rsidP="009613E1">
            <w:pPr>
              <w:spacing w:before="60" w:after="60" w:line="271" w:lineRule="auto"/>
              <w:rPr>
                <w:rFonts w:cs="Arial"/>
                <w:b/>
                <w:bCs/>
                <w:sz w:val="20"/>
                <w:szCs w:val="20"/>
              </w:rPr>
            </w:pPr>
            <w:r w:rsidRPr="00B16E6B">
              <w:rPr>
                <w:rFonts w:cs="Arial"/>
                <w:b/>
                <w:bCs/>
                <w:sz w:val="20"/>
                <w:szCs w:val="20"/>
              </w:rPr>
              <w:t>Likelihood of applicable measurement</w:t>
            </w:r>
          </w:p>
        </w:tc>
      </w:tr>
      <w:tr w:rsidR="00582C70" w:rsidRPr="00B16E6B" w14:paraId="394D69A7" w14:textId="77777777" w:rsidTr="00D17A7E">
        <w:tblPrEx>
          <w:tblBorders>
            <w:insideH w:val="single" w:sz="4" w:space="0" w:color="A5A5A5"/>
            <w:insideV w:val="single" w:sz="4" w:space="0" w:color="A5A5A5"/>
          </w:tblBorders>
        </w:tblPrEx>
        <w:trPr>
          <w:trHeight w:val="1124"/>
        </w:trPr>
        <w:tc>
          <w:tcPr>
            <w:tcW w:w="1122" w:type="dxa"/>
            <w:tcBorders>
              <w:top w:val="single" w:sz="4" w:space="0" w:color="A5A5A5"/>
              <w:left w:val="nil"/>
              <w:bottom w:val="single" w:sz="4" w:space="0" w:color="A5A5A5"/>
              <w:right w:val="single" w:sz="4" w:space="0" w:color="A5A5A5"/>
            </w:tcBorders>
            <w:vAlign w:val="center"/>
          </w:tcPr>
          <w:p w14:paraId="46EF0F8A" w14:textId="6CFD7ED7" w:rsidR="00582C70" w:rsidRPr="00B16E6B" w:rsidRDefault="00582C70" w:rsidP="00582C70">
            <w:pPr>
              <w:spacing w:before="20" w:after="20" w:line="271" w:lineRule="auto"/>
              <w:jc w:val="center"/>
              <w:rPr>
                <w:b/>
                <w:bCs/>
                <w:sz w:val="20"/>
                <w:lang w:eastAsia="en-AU"/>
              </w:rPr>
            </w:pPr>
            <w:r w:rsidRPr="00B16E6B">
              <w:rPr>
                <w:rFonts w:eastAsia="Times New Roman"/>
                <w:b/>
                <w:sz w:val="20"/>
                <w:lang w:eastAsia="en-AU"/>
              </w:rPr>
              <w:t>1</w:t>
            </w:r>
          </w:p>
        </w:tc>
        <w:tc>
          <w:tcPr>
            <w:tcW w:w="3343" w:type="dxa"/>
            <w:tcBorders>
              <w:top w:val="single" w:sz="4" w:space="0" w:color="A5A5A5"/>
              <w:left w:val="nil"/>
              <w:bottom w:val="single" w:sz="4" w:space="0" w:color="A5A5A5"/>
              <w:right w:val="single" w:sz="4" w:space="0" w:color="A5A5A5"/>
            </w:tcBorders>
            <w:shd w:val="clear" w:color="auto" w:fill="auto"/>
            <w:vAlign w:val="center"/>
          </w:tcPr>
          <w:p w14:paraId="5C33FAAC" w14:textId="52D828EF" w:rsidR="00582C70" w:rsidRPr="00B16E6B" w:rsidRDefault="00582C70" w:rsidP="00582C70">
            <w:pPr>
              <w:spacing w:before="20" w:after="20" w:line="271" w:lineRule="auto"/>
              <w:rPr>
                <w:b/>
                <w:bCs/>
                <w:sz w:val="20"/>
                <w:lang w:eastAsia="en-AU"/>
              </w:rPr>
            </w:pPr>
            <w:r w:rsidRPr="00B16E6B">
              <w:rPr>
                <w:rFonts w:eastAsia="Times New Roman"/>
                <w:b/>
                <w:sz w:val="20"/>
                <w:lang w:eastAsia="en-AU"/>
              </w:rPr>
              <w:t xml:space="preserve">Transport security legislative frameworks are robust, proportionate, and fit-for-purpose: </w:t>
            </w:r>
            <w:r w:rsidRPr="00B16E6B">
              <w:rPr>
                <w:rFonts w:eastAsia="Times New Roman"/>
                <w:sz w:val="20"/>
                <w:lang w:eastAsia="en-AU"/>
              </w:rPr>
              <w:t>This means the legislative frameworks, including the policy settings for the transport security program frameworks, and the compliance and enforcement frameworks support government and industry participants to meet security objectives.</w:t>
            </w:r>
          </w:p>
        </w:tc>
        <w:tc>
          <w:tcPr>
            <w:tcW w:w="2874"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512474A5" w14:textId="093B5DF2" w:rsidR="00582C70" w:rsidRPr="00B16E6B" w:rsidRDefault="00582C70" w:rsidP="003B7424">
            <w:pPr>
              <w:pStyle w:val="FootnoteText"/>
              <w:spacing w:before="240" w:after="160" w:line="271" w:lineRule="auto"/>
              <w:rPr>
                <w:rFonts w:eastAsiaTheme="minorEastAsia" w:cs="Arial"/>
                <w:sz w:val="18"/>
                <w:szCs w:val="18"/>
              </w:rPr>
            </w:pPr>
            <w:r w:rsidRPr="00B16E6B">
              <w:rPr>
                <w:rFonts w:eastAsiaTheme="minorEastAsia" w:cs="Arial"/>
                <w:sz w:val="18"/>
                <w:szCs w:val="18"/>
              </w:rPr>
              <w:t>The reforms’ success will be measured through the Government’s ability to regulate in a flexible, scalable, risk</w:t>
            </w:r>
            <w:r w:rsidRPr="00B16E6B">
              <w:rPr>
                <w:rFonts w:eastAsiaTheme="minorEastAsia" w:cs="Arial"/>
                <w:sz w:val="18"/>
                <w:szCs w:val="18"/>
              </w:rPr>
              <w:noBreakHyphen/>
              <w:t xml:space="preserve">based way, and </w:t>
            </w:r>
            <w:r w:rsidR="003B7424" w:rsidRPr="00B16E6B">
              <w:rPr>
                <w:rFonts w:eastAsiaTheme="minorEastAsia" w:cs="Arial"/>
                <w:sz w:val="18"/>
                <w:szCs w:val="18"/>
              </w:rPr>
              <w:t xml:space="preserve">government and </w:t>
            </w:r>
            <w:r w:rsidRPr="00B16E6B">
              <w:rPr>
                <w:rFonts w:eastAsiaTheme="minorEastAsia" w:cs="Arial"/>
                <w:sz w:val="18"/>
                <w:szCs w:val="18"/>
              </w:rPr>
              <w:t>industry’s resilience to current and emerging threats. This will be measured b</w:t>
            </w:r>
            <w:r w:rsidR="003B7424" w:rsidRPr="00B16E6B">
              <w:rPr>
                <w:rFonts w:eastAsiaTheme="minorEastAsia" w:cs="Arial"/>
                <w:sz w:val="18"/>
                <w:szCs w:val="18"/>
              </w:rPr>
              <w:t xml:space="preserve">y industry’s compliance with the frameworks and the minimisation of major security incidents and disruptions to Australia’s transport sector. </w:t>
            </w:r>
          </w:p>
        </w:tc>
        <w:tc>
          <w:tcPr>
            <w:tcW w:w="2228" w:type="dxa"/>
            <w:tcBorders>
              <w:top w:val="single" w:sz="4" w:space="0" w:color="A5A5A5"/>
              <w:left w:val="single" w:sz="4" w:space="0" w:color="A5A5A5"/>
              <w:bottom w:val="single" w:sz="4" w:space="0" w:color="A5A5A5"/>
              <w:right w:val="nil"/>
            </w:tcBorders>
            <w:shd w:val="clear" w:color="auto" w:fill="FFFFFF" w:themeFill="background1"/>
            <w:vAlign w:val="center"/>
          </w:tcPr>
          <w:p w14:paraId="7E9BC7D0" w14:textId="68DCE3D2" w:rsidR="00582C70" w:rsidRPr="00B16E6B" w:rsidRDefault="00582C70" w:rsidP="00582C70">
            <w:pPr>
              <w:spacing w:before="20" w:after="20" w:line="271" w:lineRule="auto"/>
              <w:rPr>
                <w:rFonts w:cs="Arial"/>
                <w:color w:val="1C2B39" w:themeColor="text1"/>
                <w:sz w:val="20"/>
                <w:szCs w:val="20"/>
              </w:rPr>
            </w:pPr>
            <w:r w:rsidRPr="00B16E6B">
              <w:rPr>
                <w:rFonts w:cs="Arial"/>
                <w:color w:val="1C2B39" w:themeColor="text1"/>
                <w:sz w:val="20"/>
                <w:szCs w:val="20"/>
              </w:rPr>
              <w:t>High – Government will ensure the transport security legislative frameworks remain effective through regular review mechanisms</w:t>
            </w:r>
            <w:r w:rsidR="00596E71" w:rsidRPr="00B16E6B">
              <w:rPr>
                <w:rFonts w:cs="Arial"/>
                <w:color w:val="1C2B39" w:themeColor="text1"/>
                <w:sz w:val="20"/>
                <w:szCs w:val="20"/>
              </w:rPr>
              <w:t>, consideration of international best practice,</w:t>
            </w:r>
            <w:r w:rsidRPr="00B16E6B">
              <w:rPr>
                <w:rFonts w:cs="Arial"/>
                <w:color w:val="1C2B39" w:themeColor="text1"/>
                <w:sz w:val="20"/>
                <w:szCs w:val="20"/>
              </w:rPr>
              <w:t xml:space="preserve"> </w:t>
            </w:r>
            <w:r w:rsidR="00596E71" w:rsidRPr="00B16E6B">
              <w:rPr>
                <w:rFonts w:cs="Arial"/>
                <w:color w:val="1C2B39" w:themeColor="text1"/>
                <w:sz w:val="20"/>
                <w:szCs w:val="20"/>
              </w:rPr>
              <w:t xml:space="preserve">regular </w:t>
            </w:r>
            <w:r w:rsidRPr="00B16E6B">
              <w:rPr>
                <w:rFonts w:cs="Arial"/>
                <w:color w:val="1C2B39" w:themeColor="text1"/>
                <w:sz w:val="20"/>
                <w:szCs w:val="20"/>
              </w:rPr>
              <w:t>engagement with industry</w:t>
            </w:r>
            <w:r w:rsidR="00596E71" w:rsidRPr="00B16E6B">
              <w:rPr>
                <w:rFonts w:cs="Arial"/>
                <w:color w:val="1C2B39" w:themeColor="text1"/>
                <w:sz w:val="20"/>
                <w:szCs w:val="20"/>
              </w:rPr>
              <w:t>, and an understanding of the threat environment.</w:t>
            </w:r>
          </w:p>
        </w:tc>
      </w:tr>
      <w:tr w:rsidR="00A5256B" w:rsidRPr="00B16E6B" w14:paraId="1CDFAA89" w14:textId="77777777" w:rsidTr="00D17A7E">
        <w:tblPrEx>
          <w:tblBorders>
            <w:insideH w:val="single" w:sz="4" w:space="0" w:color="A5A5A5"/>
            <w:insideV w:val="single" w:sz="4" w:space="0" w:color="A5A5A5"/>
          </w:tblBorders>
        </w:tblPrEx>
        <w:trPr>
          <w:trHeight w:val="1124"/>
        </w:trPr>
        <w:tc>
          <w:tcPr>
            <w:tcW w:w="1122" w:type="dxa"/>
            <w:tcBorders>
              <w:top w:val="single" w:sz="4" w:space="0" w:color="A5A5A5"/>
              <w:left w:val="nil"/>
              <w:bottom w:val="single" w:sz="4" w:space="0" w:color="A5A5A5"/>
              <w:right w:val="single" w:sz="4" w:space="0" w:color="A5A5A5"/>
            </w:tcBorders>
            <w:vAlign w:val="center"/>
          </w:tcPr>
          <w:p w14:paraId="1E622990" w14:textId="7D1CE539" w:rsidR="00A5256B" w:rsidRPr="00B16E6B" w:rsidRDefault="00582C70" w:rsidP="009613E1">
            <w:pPr>
              <w:spacing w:before="20" w:after="20" w:line="271" w:lineRule="auto"/>
              <w:jc w:val="center"/>
              <w:rPr>
                <w:b/>
                <w:bCs/>
                <w:sz w:val="20"/>
                <w:lang w:eastAsia="en-AU"/>
              </w:rPr>
            </w:pPr>
            <w:r w:rsidRPr="00B16E6B">
              <w:rPr>
                <w:b/>
                <w:bCs/>
                <w:sz w:val="20"/>
                <w:lang w:eastAsia="en-AU"/>
              </w:rPr>
              <w:t>2</w:t>
            </w:r>
          </w:p>
        </w:tc>
        <w:tc>
          <w:tcPr>
            <w:tcW w:w="3343" w:type="dxa"/>
            <w:tcBorders>
              <w:top w:val="single" w:sz="4" w:space="0" w:color="A5A5A5"/>
              <w:left w:val="nil"/>
              <w:bottom w:val="single" w:sz="4" w:space="0" w:color="A5A5A5"/>
              <w:right w:val="single" w:sz="4" w:space="0" w:color="A5A5A5"/>
            </w:tcBorders>
            <w:shd w:val="clear" w:color="auto" w:fill="auto"/>
            <w:vAlign w:val="center"/>
          </w:tcPr>
          <w:p w14:paraId="72CEE063" w14:textId="69A96AA6" w:rsidR="00A5256B" w:rsidRPr="00B16E6B" w:rsidRDefault="00A5256B" w:rsidP="009613E1">
            <w:pPr>
              <w:spacing w:before="20" w:after="20" w:line="271" w:lineRule="auto"/>
              <w:rPr>
                <w:rFonts w:ascii="Arial" w:hAnsi="Arial" w:cs="Arial"/>
                <w:sz w:val="20"/>
                <w:szCs w:val="20"/>
              </w:rPr>
            </w:pPr>
            <w:r w:rsidRPr="00B16E6B">
              <w:rPr>
                <w:b/>
                <w:bCs/>
                <w:sz w:val="20"/>
                <w:lang w:eastAsia="en-AU"/>
              </w:rPr>
              <w:t xml:space="preserve">Major security incidents in the Australian transport sector are minimised. </w:t>
            </w:r>
            <w:r w:rsidRPr="00B16E6B">
              <w:rPr>
                <w:sz w:val="20"/>
                <w:lang w:eastAsia="en-AU"/>
              </w:rPr>
              <w:t>To the extent that it is avoidable, government will seek to ensure that Australian transport is enduringly safe and secure against the risks it faces currently and in the future.</w:t>
            </w:r>
          </w:p>
        </w:tc>
        <w:tc>
          <w:tcPr>
            <w:tcW w:w="2874"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05833340" w14:textId="258E55EF" w:rsidR="00A5256B" w:rsidRPr="00B16E6B" w:rsidRDefault="00A5256B" w:rsidP="009613E1">
            <w:pPr>
              <w:spacing w:before="240" w:line="271" w:lineRule="auto"/>
              <w:rPr>
                <w:rFonts w:ascii="Arial" w:hAnsi="Arial" w:cs="Arial"/>
                <w:sz w:val="18"/>
                <w:szCs w:val="20"/>
              </w:rPr>
            </w:pPr>
            <w:r w:rsidRPr="00B16E6B">
              <w:rPr>
                <w:rFonts w:cs="Arial"/>
                <w:sz w:val="18"/>
                <w:szCs w:val="20"/>
              </w:rPr>
              <w:t>The reforms’ success will be measured by the extent to which the occurrence of major security incidents in the Australian transport sector are avoided. This objective will be measured based on the number of incidents over time and through the comparison between the number of major incidents in Australia and those that occur overseas.</w:t>
            </w:r>
          </w:p>
        </w:tc>
        <w:tc>
          <w:tcPr>
            <w:tcW w:w="2228" w:type="dxa"/>
            <w:tcBorders>
              <w:top w:val="single" w:sz="4" w:space="0" w:color="A5A5A5"/>
              <w:left w:val="single" w:sz="4" w:space="0" w:color="A5A5A5"/>
              <w:bottom w:val="single" w:sz="4" w:space="0" w:color="A5A5A5"/>
              <w:right w:val="nil"/>
            </w:tcBorders>
            <w:shd w:val="clear" w:color="auto" w:fill="FFFFFF" w:themeFill="background1"/>
            <w:vAlign w:val="center"/>
          </w:tcPr>
          <w:p w14:paraId="7D32B1E5" w14:textId="0E635952" w:rsidR="00A5256B" w:rsidRPr="00B16E6B" w:rsidRDefault="00A5256B" w:rsidP="009613E1">
            <w:pPr>
              <w:spacing w:before="20" w:after="20" w:line="271" w:lineRule="auto"/>
              <w:rPr>
                <w:rFonts w:cs="Arial"/>
                <w:sz w:val="20"/>
                <w:szCs w:val="20"/>
              </w:rPr>
            </w:pPr>
            <w:r w:rsidRPr="00B16E6B">
              <w:rPr>
                <w:rFonts w:cs="Arial"/>
                <w:color w:val="1C2B39" w:themeColor="text1"/>
                <w:sz w:val="20"/>
                <w:szCs w:val="20"/>
              </w:rPr>
              <w:t>Certain - Government will have oversight of all security incidents and can verify the secure operation of the transport sector</w:t>
            </w:r>
          </w:p>
        </w:tc>
      </w:tr>
      <w:tr w:rsidR="00A5256B" w:rsidRPr="00B16E6B" w14:paraId="366A28CF" w14:textId="77777777" w:rsidTr="00D17A7E">
        <w:tblPrEx>
          <w:tblBorders>
            <w:insideH w:val="single" w:sz="4" w:space="0" w:color="A5A5A5"/>
            <w:insideV w:val="single" w:sz="4" w:space="0" w:color="A5A5A5"/>
          </w:tblBorders>
        </w:tblPrEx>
        <w:trPr>
          <w:trHeight w:val="1124"/>
        </w:trPr>
        <w:tc>
          <w:tcPr>
            <w:tcW w:w="1122" w:type="dxa"/>
            <w:tcBorders>
              <w:top w:val="single" w:sz="4" w:space="0" w:color="A5A5A5"/>
              <w:left w:val="nil"/>
              <w:bottom w:val="single" w:sz="4" w:space="0" w:color="A5A5A5"/>
              <w:right w:val="single" w:sz="4" w:space="0" w:color="A5A5A5"/>
            </w:tcBorders>
            <w:vAlign w:val="center"/>
          </w:tcPr>
          <w:p w14:paraId="7B3D47FC" w14:textId="5892B829" w:rsidR="00A5256B" w:rsidRPr="00B16E6B" w:rsidRDefault="00582C70" w:rsidP="009613E1">
            <w:pPr>
              <w:pStyle w:val="BulletedList-Level1"/>
              <w:numPr>
                <w:ilvl w:val="0"/>
                <w:numId w:val="0"/>
              </w:numPr>
              <w:spacing w:after="120" w:line="271" w:lineRule="auto"/>
              <w:contextualSpacing w:val="0"/>
              <w:jc w:val="center"/>
              <w:rPr>
                <w:rFonts w:eastAsia="Times New Roman"/>
                <w:b/>
                <w:sz w:val="20"/>
                <w:lang w:eastAsia="en-AU"/>
              </w:rPr>
            </w:pPr>
            <w:r w:rsidRPr="00B16E6B">
              <w:rPr>
                <w:rFonts w:eastAsia="Times New Roman"/>
                <w:b/>
                <w:sz w:val="20"/>
                <w:lang w:eastAsia="en-AU"/>
              </w:rPr>
              <w:t>3</w:t>
            </w:r>
          </w:p>
        </w:tc>
        <w:tc>
          <w:tcPr>
            <w:tcW w:w="3343" w:type="dxa"/>
            <w:tcBorders>
              <w:top w:val="single" w:sz="4" w:space="0" w:color="A5A5A5"/>
              <w:left w:val="nil"/>
              <w:bottom w:val="single" w:sz="4" w:space="0" w:color="A5A5A5"/>
              <w:right w:val="single" w:sz="4" w:space="0" w:color="A5A5A5"/>
            </w:tcBorders>
            <w:shd w:val="clear" w:color="auto" w:fill="auto"/>
            <w:vAlign w:val="center"/>
          </w:tcPr>
          <w:p w14:paraId="7C11C872" w14:textId="36E145BE" w:rsidR="00A5256B" w:rsidRPr="00B16E6B" w:rsidRDefault="00A5256B" w:rsidP="009613E1">
            <w:pPr>
              <w:pStyle w:val="BulletedList-Level1"/>
              <w:numPr>
                <w:ilvl w:val="0"/>
                <w:numId w:val="0"/>
              </w:numPr>
              <w:spacing w:before="240" w:after="120" w:line="271" w:lineRule="auto"/>
              <w:contextualSpacing w:val="0"/>
              <w:rPr>
                <w:rFonts w:eastAsia="Times New Roman"/>
                <w:b/>
                <w:sz w:val="20"/>
                <w:lang w:eastAsia="en-AU"/>
              </w:rPr>
            </w:pPr>
            <w:r w:rsidRPr="00B16E6B">
              <w:rPr>
                <w:rFonts w:eastAsia="Times New Roman"/>
                <w:b/>
                <w:sz w:val="20"/>
                <w:lang w:eastAsia="en-AU"/>
              </w:rPr>
              <w:t>Disruptions to Australian transport operations caused by lapses in security are minimised</w:t>
            </w:r>
            <w:r w:rsidRPr="00B16E6B">
              <w:rPr>
                <w:rFonts w:eastAsia="Times New Roman"/>
                <w:sz w:val="20"/>
                <w:lang w:eastAsia="en-AU"/>
              </w:rPr>
              <w:t>. Government, industry and the Australian public all benefit significantly from a reliable, consistent and predicable Australian transport sector that is safe from anything with the intent or capability to disrupt it.</w:t>
            </w:r>
          </w:p>
          <w:p w14:paraId="345B100A" w14:textId="77777777" w:rsidR="00A5256B" w:rsidRPr="00B16E6B" w:rsidRDefault="00A5256B" w:rsidP="009613E1">
            <w:pPr>
              <w:spacing w:before="20" w:after="20" w:line="271" w:lineRule="auto"/>
              <w:jc w:val="center"/>
              <w:rPr>
                <w:rFonts w:ascii="Arial" w:hAnsi="Arial" w:cs="Arial"/>
                <w:sz w:val="20"/>
                <w:szCs w:val="20"/>
              </w:rPr>
            </w:pPr>
          </w:p>
        </w:tc>
        <w:tc>
          <w:tcPr>
            <w:tcW w:w="2874"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24831FCF" w14:textId="0FEF52A8" w:rsidR="00A5256B" w:rsidRPr="00B16E6B" w:rsidRDefault="00A5256B" w:rsidP="009613E1">
            <w:pPr>
              <w:spacing w:before="20" w:after="20" w:line="271" w:lineRule="auto"/>
              <w:rPr>
                <w:rFonts w:ascii="Arial" w:hAnsi="Arial" w:cs="Arial"/>
                <w:sz w:val="18"/>
                <w:szCs w:val="20"/>
              </w:rPr>
            </w:pPr>
            <w:r w:rsidRPr="00B16E6B">
              <w:rPr>
                <w:rFonts w:cs="Arial"/>
                <w:sz w:val="18"/>
                <w:szCs w:val="20"/>
              </w:rPr>
              <w:t>The reforms’ success will be measured by the extent to which the magnitude of security incidents when they do occur in the Australian transport sector are minimised or mitigated. This objective will be measured based on the magnitude of incidents in Australian over time and through the comparison between the scale of incidents in Australia and those that occur overseas.</w:t>
            </w:r>
          </w:p>
        </w:tc>
        <w:tc>
          <w:tcPr>
            <w:tcW w:w="2228" w:type="dxa"/>
            <w:tcBorders>
              <w:top w:val="single" w:sz="4" w:space="0" w:color="A5A5A5"/>
              <w:left w:val="single" w:sz="4" w:space="0" w:color="A5A5A5"/>
              <w:bottom w:val="single" w:sz="4" w:space="0" w:color="A5A5A5"/>
              <w:right w:val="nil"/>
            </w:tcBorders>
            <w:shd w:val="clear" w:color="auto" w:fill="FFFFFF" w:themeFill="background1"/>
            <w:vAlign w:val="center"/>
          </w:tcPr>
          <w:p w14:paraId="133A15FC" w14:textId="7AFB4D68" w:rsidR="00A5256B" w:rsidRPr="00B16E6B" w:rsidRDefault="00A76E48" w:rsidP="009613E1">
            <w:pPr>
              <w:spacing w:before="20" w:after="20" w:line="271" w:lineRule="auto"/>
              <w:rPr>
                <w:rFonts w:cs="Arial"/>
                <w:color w:val="1C2B39" w:themeColor="text1"/>
                <w:sz w:val="20"/>
                <w:szCs w:val="20"/>
              </w:rPr>
            </w:pPr>
            <w:r w:rsidRPr="00B16E6B">
              <w:rPr>
                <w:rFonts w:cs="Arial"/>
                <w:color w:val="1C2B39" w:themeColor="text1"/>
                <w:sz w:val="20"/>
                <w:szCs w:val="20"/>
              </w:rPr>
              <w:t>High – Government has visibility over</w:t>
            </w:r>
            <w:r w:rsidR="00A5256B" w:rsidRPr="00B16E6B">
              <w:rPr>
                <w:rFonts w:cs="Arial"/>
                <w:color w:val="1C2B39" w:themeColor="text1"/>
                <w:sz w:val="20"/>
                <w:szCs w:val="20"/>
              </w:rPr>
              <w:t xml:space="preserve"> disruptions to transport sector operations</w:t>
            </w:r>
            <w:r w:rsidRPr="00B16E6B">
              <w:rPr>
                <w:rFonts w:cs="Arial"/>
                <w:color w:val="1C2B39" w:themeColor="text1"/>
                <w:sz w:val="20"/>
                <w:szCs w:val="20"/>
              </w:rPr>
              <w:t xml:space="preserve"> that</w:t>
            </w:r>
            <w:r w:rsidR="00A5256B" w:rsidRPr="00B16E6B">
              <w:rPr>
                <w:rFonts w:cs="Arial"/>
                <w:color w:val="1C2B39" w:themeColor="text1"/>
                <w:sz w:val="20"/>
                <w:szCs w:val="20"/>
              </w:rPr>
              <w:t xml:space="preserve"> are the result of security lapses</w:t>
            </w:r>
          </w:p>
        </w:tc>
      </w:tr>
    </w:tbl>
    <w:p w14:paraId="29B37389" w14:textId="270784DE" w:rsidR="00405232" w:rsidRPr="00B16E6B" w:rsidRDefault="00E22FCB" w:rsidP="00D17A7E">
      <w:pPr>
        <w:pStyle w:val="CommentSubject"/>
        <w:spacing w:before="240"/>
      </w:pPr>
      <w:r w:rsidRPr="00B16E6B">
        <w:rPr>
          <w:b w:val="0"/>
          <w:bCs w:val="0"/>
          <w:sz w:val="22"/>
          <w:szCs w:val="21"/>
        </w:rPr>
        <w:t xml:space="preserve">In pursuing its objectives, </w:t>
      </w:r>
      <w:r w:rsidR="00487C6A" w:rsidRPr="00B16E6B">
        <w:rPr>
          <w:b w:val="0"/>
          <w:bCs w:val="0"/>
          <w:sz w:val="22"/>
          <w:szCs w:val="21"/>
        </w:rPr>
        <w:t>government</w:t>
      </w:r>
      <w:r w:rsidRPr="00B16E6B">
        <w:rPr>
          <w:b w:val="0"/>
          <w:bCs w:val="0"/>
          <w:sz w:val="22"/>
          <w:szCs w:val="21"/>
        </w:rPr>
        <w:t xml:space="preserve"> must overwhelmingly maintain these </w:t>
      </w:r>
      <w:r w:rsidR="005968D3" w:rsidRPr="00B16E6B">
        <w:rPr>
          <w:b w:val="0"/>
          <w:bCs w:val="0"/>
          <w:sz w:val="22"/>
          <w:szCs w:val="21"/>
        </w:rPr>
        <w:t xml:space="preserve">metrics </w:t>
      </w:r>
      <w:r w:rsidRPr="00B16E6B">
        <w:rPr>
          <w:b w:val="0"/>
          <w:bCs w:val="0"/>
          <w:sz w:val="22"/>
          <w:szCs w:val="21"/>
        </w:rPr>
        <w:t xml:space="preserve">or success will not be achieved in its role as the regulator of transport security. </w:t>
      </w:r>
      <w:r w:rsidR="00985D9F" w:rsidRPr="00B16E6B">
        <w:rPr>
          <w:b w:val="0"/>
          <w:bCs w:val="0"/>
          <w:sz w:val="22"/>
          <w:szCs w:val="21"/>
        </w:rPr>
        <w:t xml:space="preserve">These indicators are discussed further in </w:t>
      </w:r>
      <w:hyperlink w:anchor="_7.2_Indicators_of" w:history="1">
        <w:r w:rsidR="002C5755" w:rsidRPr="00B16E6B">
          <w:rPr>
            <w:b w:val="0"/>
            <w:bCs w:val="0"/>
            <w:sz w:val="22"/>
            <w:szCs w:val="21"/>
          </w:rPr>
          <w:t>question</w:t>
        </w:r>
        <w:r w:rsidR="00985D9F" w:rsidRPr="00B16E6B">
          <w:rPr>
            <w:b w:val="0"/>
            <w:bCs w:val="0"/>
            <w:sz w:val="22"/>
            <w:szCs w:val="21"/>
          </w:rPr>
          <w:t xml:space="preserve"> 7</w:t>
        </w:r>
      </w:hyperlink>
      <w:r w:rsidR="00985D9F" w:rsidRPr="00B16E6B">
        <w:rPr>
          <w:b w:val="0"/>
          <w:bCs w:val="0"/>
          <w:sz w:val="22"/>
          <w:szCs w:val="21"/>
        </w:rPr>
        <w:t>.</w:t>
      </w:r>
      <w:r w:rsidR="00985D9F" w:rsidRPr="00B16E6B">
        <w:t xml:space="preserve"> </w:t>
      </w:r>
      <w:r w:rsidRPr="00B16E6B">
        <w:br w:type="page"/>
      </w:r>
    </w:p>
    <w:p w14:paraId="646408D6" w14:textId="77777777" w:rsidR="00405232" w:rsidRPr="00B16E6B" w:rsidRDefault="00405232" w:rsidP="009613E1">
      <w:pPr>
        <w:pStyle w:val="Heading1"/>
        <w:numPr>
          <w:ilvl w:val="0"/>
          <w:numId w:val="13"/>
        </w:numPr>
        <w:spacing w:line="271" w:lineRule="auto"/>
      </w:pPr>
      <w:bookmarkStart w:id="2" w:name="_Toc96326924"/>
      <w:bookmarkEnd w:id="1"/>
      <w:r w:rsidRPr="00B16E6B">
        <w:lastRenderedPageBreak/>
        <w:t>What policy options are you considering?</w:t>
      </w:r>
    </w:p>
    <w:p w14:paraId="6CB3F12D" w14:textId="77777777" w:rsidR="00FD6E1D" w:rsidRPr="00B16E6B" w:rsidRDefault="00FD6E1D" w:rsidP="009613E1">
      <w:pPr>
        <w:spacing w:line="271" w:lineRule="auto"/>
        <w:rPr>
          <w:lang w:val="en-US"/>
        </w:rPr>
      </w:pPr>
      <w:r w:rsidRPr="00B16E6B">
        <w:rPr>
          <w:lang w:val="en-US"/>
        </w:rPr>
        <w:t xml:space="preserve">The department has identified </w:t>
      </w:r>
      <w:r w:rsidR="00774379" w:rsidRPr="00B16E6B">
        <w:rPr>
          <w:lang w:val="en-US"/>
        </w:rPr>
        <w:t xml:space="preserve">4 </w:t>
      </w:r>
      <w:r w:rsidRPr="00B16E6B">
        <w:rPr>
          <w:lang w:val="en-US"/>
        </w:rPr>
        <w:t xml:space="preserve">broad policy options in response to the identified problem elements: </w:t>
      </w:r>
    </w:p>
    <w:p w14:paraId="4E3839B7" w14:textId="77777777" w:rsidR="00FD6E1D" w:rsidRPr="00B16E6B" w:rsidRDefault="006F4F96" w:rsidP="009613E1">
      <w:pPr>
        <w:pStyle w:val="ListParagraph"/>
        <w:numPr>
          <w:ilvl w:val="0"/>
          <w:numId w:val="19"/>
        </w:numPr>
        <w:spacing w:after="120" w:line="271" w:lineRule="auto"/>
        <w:ind w:left="714" w:hanging="357"/>
        <w:contextualSpacing w:val="0"/>
        <w:rPr>
          <w:lang w:val="en-US"/>
        </w:rPr>
      </w:pPr>
      <w:r w:rsidRPr="00B16E6B">
        <w:rPr>
          <w:b/>
          <w:bCs/>
          <w:lang w:val="en-US"/>
        </w:rPr>
        <w:t>o</w:t>
      </w:r>
      <w:r w:rsidR="00FD6E1D" w:rsidRPr="00B16E6B">
        <w:rPr>
          <w:b/>
          <w:bCs/>
          <w:lang w:val="en-US"/>
        </w:rPr>
        <w:t xml:space="preserve">ption 1: </w:t>
      </w:r>
      <w:r w:rsidR="00EE0D76" w:rsidRPr="00B16E6B">
        <w:rPr>
          <w:lang w:val="en-US"/>
        </w:rPr>
        <w:t>m</w:t>
      </w:r>
      <w:r w:rsidR="00FD6E1D" w:rsidRPr="00B16E6B">
        <w:rPr>
          <w:lang w:val="en-US"/>
        </w:rPr>
        <w:t>aintain the status quo</w:t>
      </w:r>
    </w:p>
    <w:p w14:paraId="5E0B10BF" w14:textId="77777777" w:rsidR="00FD6E1D" w:rsidRPr="00B16E6B" w:rsidRDefault="006F4F96" w:rsidP="009613E1">
      <w:pPr>
        <w:pStyle w:val="ListParagraph"/>
        <w:numPr>
          <w:ilvl w:val="0"/>
          <w:numId w:val="19"/>
        </w:numPr>
        <w:spacing w:after="120" w:line="271" w:lineRule="auto"/>
        <w:ind w:left="714" w:hanging="357"/>
        <w:contextualSpacing w:val="0"/>
        <w:rPr>
          <w:lang w:val="en-US"/>
        </w:rPr>
      </w:pPr>
      <w:r w:rsidRPr="00B16E6B">
        <w:rPr>
          <w:b/>
          <w:bCs/>
          <w:lang w:val="en-US"/>
        </w:rPr>
        <w:t>o</w:t>
      </w:r>
      <w:r w:rsidR="00FD6E1D" w:rsidRPr="00B16E6B">
        <w:rPr>
          <w:b/>
          <w:bCs/>
          <w:lang w:val="en-US"/>
        </w:rPr>
        <w:t>ption 2:</w:t>
      </w:r>
      <w:r w:rsidR="00EE0D76" w:rsidRPr="00B16E6B">
        <w:rPr>
          <w:lang w:val="en-US"/>
        </w:rPr>
        <w:t xml:space="preserve"> e</w:t>
      </w:r>
      <w:r w:rsidR="00FD6E1D" w:rsidRPr="00B16E6B">
        <w:rPr>
          <w:lang w:val="en-US"/>
        </w:rPr>
        <w:t xml:space="preserve">ncourage industry to voluntarily uptake all hazards </w:t>
      </w:r>
      <w:r w:rsidR="005968D3" w:rsidRPr="00B16E6B">
        <w:rPr>
          <w:lang w:val="en-US"/>
        </w:rPr>
        <w:t xml:space="preserve">security </w:t>
      </w:r>
      <w:r w:rsidR="00FD6E1D" w:rsidRPr="00B16E6B">
        <w:rPr>
          <w:lang w:val="en-US"/>
        </w:rPr>
        <w:t>risk management</w:t>
      </w:r>
    </w:p>
    <w:p w14:paraId="698E6579" w14:textId="77777777" w:rsidR="00FD6E1D" w:rsidRPr="00B16E6B" w:rsidRDefault="006F4F96" w:rsidP="009613E1">
      <w:pPr>
        <w:pStyle w:val="ListParagraph"/>
        <w:numPr>
          <w:ilvl w:val="0"/>
          <w:numId w:val="19"/>
        </w:numPr>
        <w:spacing w:after="120" w:line="271" w:lineRule="auto"/>
        <w:ind w:left="714" w:hanging="357"/>
        <w:contextualSpacing w:val="0"/>
        <w:rPr>
          <w:lang w:val="en-US"/>
        </w:rPr>
      </w:pPr>
      <w:r w:rsidRPr="00B16E6B">
        <w:rPr>
          <w:b/>
          <w:bCs/>
          <w:lang w:val="en-US"/>
        </w:rPr>
        <w:t>o</w:t>
      </w:r>
      <w:r w:rsidR="00FD6E1D" w:rsidRPr="00B16E6B">
        <w:rPr>
          <w:b/>
          <w:bCs/>
          <w:lang w:val="en-US"/>
        </w:rPr>
        <w:t xml:space="preserve">ption 3: </w:t>
      </w:r>
      <w:r w:rsidR="00EE0D76" w:rsidRPr="00B16E6B">
        <w:rPr>
          <w:lang w:val="en-US"/>
        </w:rPr>
        <w:t>s</w:t>
      </w:r>
      <w:r w:rsidR="00FD6E1D" w:rsidRPr="00B16E6B">
        <w:rPr>
          <w:lang w:val="en-US"/>
        </w:rPr>
        <w:t>witch on CIRMP obligations for ‘critical aviation assets’ and ‘critical ports’ under the SOCI Act</w:t>
      </w:r>
    </w:p>
    <w:p w14:paraId="16D7B6FD" w14:textId="77777777" w:rsidR="00FD6E1D" w:rsidRPr="00B16E6B" w:rsidRDefault="006F4F96" w:rsidP="009613E1">
      <w:pPr>
        <w:pStyle w:val="ListParagraph"/>
        <w:numPr>
          <w:ilvl w:val="0"/>
          <w:numId w:val="19"/>
        </w:numPr>
        <w:spacing w:after="120" w:line="271" w:lineRule="auto"/>
        <w:ind w:left="714" w:hanging="357"/>
        <w:contextualSpacing w:val="0"/>
        <w:rPr>
          <w:lang w:val="en-US"/>
        </w:rPr>
      </w:pPr>
      <w:r w:rsidRPr="00B16E6B">
        <w:rPr>
          <w:b/>
          <w:bCs/>
          <w:lang w:val="en-US"/>
        </w:rPr>
        <w:t>o</w:t>
      </w:r>
      <w:r w:rsidR="00FD6E1D" w:rsidRPr="00B16E6B">
        <w:rPr>
          <w:b/>
          <w:bCs/>
          <w:lang w:val="en-US"/>
        </w:rPr>
        <w:t>ption 4:</w:t>
      </w:r>
      <w:r w:rsidR="00EE0D76" w:rsidRPr="00B16E6B">
        <w:rPr>
          <w:lang w:val="en-US"/>
        </w:rPr>
        <w:t xml:space="preserve"> a</w:t>
      </w:r>
      <w:r w:rsidR="00FD6E1D" w:rsidRPr="00B16E6B">
        <w:rPr>
          <w:lang w:val="en-US"/>
        </w:rPr>
        <w:t>mend ATSA, MTOFSA and their associated regulations to enact mandatory obligations.</w:t>
      </w:r>
    </w:p>
    <w:p w14:paraId="6C93CE31" w14:textId="77777777" w:rsidR="00FD6E1D" w:rsidRPr="00B16E6B" w:rsidRDefault="00FD6E1D" w:rsidP="009613E1">
      <w:pPr>
        <w:spacing w:line="271" w:lineRule="auto"/>
        <w:rPr>
          <w:lang w:val="en-US"/>
        </w:rPr>
      </w:pPr>
      <w:r w:rsidRPr="00B16E6B">
        <w:rPr>
          <w:lang w:val="en-US"/>
        </w:rPr>
        <w:t xml:space="preserve">Each option is described in detail below, including implementation considerations as applicable. </w:t>
      </w:r>
    </w:p>
    <w:p w14:paraId="7D5A162C" w14:textId="77777777" w:rsidR="00FD6E1D" w:rsidRPr="00B16E6B" w:rsidRDefault="00FD6E1D" w:rsidP="009613E1">
      <w:pPr>
        <w:pStyle w:val="Heading2"/>
        <w:spacing w:line="271" w:lineRule="auto"/>
      </w:pPr>
      <w:bookmarkStart w:id="3" w:name="_Toc161145164"/>
      <w:r w:rsidRPr="00B16E6B">
        <w:t>3.1 Option 1: Maintain the status quo</w:t>
      </w:r>
      <w:bookmarkEnd w:id="3"/>
      <w:r w:rsidRPr="00B16E6B">
        <w:t xml:space="preserve"> </w:t>
      </w:r>
    </w:p>
    <w:p w14:paraId="0411973D" w14:textId="17235609" w:rsidR="00FD6E1D" w:rsidRPr="00B16E6B" w:rsidRDefault="00FD6E1D" w:rsidP="009613E1">
      <w:pPr>
        <w:spacing w:line="271" w:lineRule="auto"/>
      </w:pPr>
      <w:r w:rsidRPr="00B16E6B">
        <w:t>Option 1 involves no regulatory action or legislative change to ATSA, MTOFSA or the broader regime to address all hazard</w:t>
      </w:r>
      <w:r w:rsidR="005968D3" w:rsidRPr="00B16E6B">
        <w:t xml:space="preserve"> security</w:t>
      </w:r>
      <w:r w:rsidRPr="00B16E6B">
        <w:t xml:space="preserve"> threats and holistical</w:t>
      </w:r>
      <w:r w:rsidR="00197930" w:rsidRPr="00B16E6B">
        <w:t>ly consider and mitigate</w:t>
      </w:r>
      <w:r w:rsidRPr="00B16E6B">
        <w:t xml:space="preserve"> the risks </w:t>
      </w:r>
      <w:r w:rsidR="005968D3" w:rsidRPr="00B16E6B">
        <w:t xml:space="preserve">industry participants </w:t>
      </w:r>
      <w:r w:rsidR="00D661BC" w:rsidRPr="00B16E6B">
        <w:t xml:space="preserve">their business operations. </w:t>
      </w:r>
      <w:r w:rsidRPr="00B16E6B">
        <w:t xml:space="preserve">Existing legislation, regulations, standards, and guidelines relating to critical infrastructure would remain. </w:t>
      </w:r>
    </w:p>
    <w:p w14:paraId="714824EA" w14:textId="77777777" w:rsidR="006C56FD" w:rsidRPr="00B16E6B" w:rsidRDefault="006C56FD" w:rsidP="009613E1">
      <w:pPr>
        <w:spacing w:line="271" w:lineRule="auto"/>
      </w:pPr>
      <w:r w:rsidRPr="00B16E6B">
        <w:t>Under the status quo, transport sector industry participants primarily be obligated to consider the security risks posed by terrorism, serious crime and trusted insiders based on their physical premise. This requires entities to:</w:t>
      </w:r>
    </w:p>
    <w:p w14:paraId="77BD2AFA" w14:textId="77777777" w:rsidR="006C56FD" w:rsidRPr="00B16E6B" w:rsidRDefault="006C56FD" w:rsidP="009613E1">
      <w:pPr>
        <w:pStyle w:val="ListParagraph"/>
        <w:numPr>
          <w:ilvl w:val="0"/>
          <w:numId w:val="19"/>
        </w:numPr>
        <w:spacing w:after="120" w:line="271" w:lineRule="auto"/>
        <w:ind w:left="714" w:hanging="357"/>
        <w:contextualSpacing w:val="0"/>
        <w:rPr>
          <w:bCs/>
          <w:lang w:val="en-US"/>
        </w:rPr>
      </w:pPr>
      <w:r w:rsidRPr="00B16E6B">
        <w:rPr>
          <w:bCs/>
          <w:lang w:val="en-US"/>
        </w:rPr>
        <w:t>maintain a security program that sets out the measures and procedures entities are required to implement to mitigate security risks</w:t>
      </w:r>
    </w:p>
    <w:p w14:paraId="2F26B055" w14:textId="77777777" w:rsidR="006C56FD" w:rsidRPr="00B16E6B" w:rsidRDefault="006C56FD" w:rsidP="009613E1">
      <w:pPr>
        <w:pStyle w:val="ListParagraph"/>
        <w:numPr>
          <w:ilvl w:val="0"/>
          <w:numId w:val="19"/>
        </w:numPr>
        <w:spacing w:after="120" w:line="271" w:lineRule="auto"/>
        <w:ind w:left="714" w:hanging="357"/>
        <w:contextualSpacing w:val="0"/>
        <w:rPr>
          <w:bCs/>
          <w:lang w:val="en-US"/>
        </w:rPr>
      </w:pPr>
      <w:r w:rsidRPr="00B16E6B">
        <w:rPr>
          <w:bCs/>
          <w:lang w:val="en-US"/>
        </w:rPr>
        <w:t>report security incidents</w:t>
      </w:r>
    </w:p>
    <w:p w14:paraId="7A477BED" w14:textId="77777777" w:rsidR="006C56FD" w:rsidRPr="00B16E6B" w:rsidRDefault="006C56FD" w:rsidP="009613E1">
      <w:pPr>
        <w:pStyle w:val="ListParagraph"/>
        <w:numPr>
          <w:ilvl w:val="0"/>
          <w:numId w:val="19"/>
        </w:numPr>
        <w:spacing w:after="120" w:line="271" w:lineRule="auto"/>
        <w:ind w:left="714" w:hanging="357"/>
        <w:contextualSpacing w:val="0"/>
        <w:rPr>
          <w:bCs/>
          <w:lang w:val="en-US"/>
        </w:rPr>
      </w:pPr>
      <w:r w:rsidRPr="00B16E6B">
        <w:rPr>
          <w:bCs/>
          <w:lang w:val="en-US"/>
        </w:rPr>
        <w:t xml:space="preserve">comply with directions under ATSA and MTOFSA </w:t>
      </w:r>
    </w:p>
    <w:p w14:paraId="236A2524" w14:textId="77777777" w:rsidR="006C56FD" w:rsidRPr="00B16E6B" w:rsidRDefault="006C56FD" w:rsidP="009613E1">
      <w:pPr>
        <w:pStyle w:val="ListParagraph"/>
        <w:numPr>
          <w:ilvl w:val="0"/>
          <w:numId w:val="19"/>
        </w:numPr>
        <w:spacing w:after="120" w:line="271" w:lineRule="auto"/>
        <w:ind w:left="714" w:hanging="357"/>
        <w:contextualSpacing w:val="0"/>
        <w:rPr>
          <w:bCs/>
          <w:lang w:val="en-US"/>
        </w:rPr>
      </w:pPr>
      <w:r w:rsidRPr="00B16E6B">
        <w:rPr>
          <w:bCs/>
          <w:lang w:val="en-US"/>
        </w:rPr>
        <w:t xml:space="preserve">implement additional security measures to secure zones and areas. </w:t>
      </w:r>
    </w:p>
    <w:p w14:paraId="31E3BF60" w14:textId="77777777" w:rsidR="00E42691" w:rsidRPr="00B16E6B" w:rsidRDefault="00E42691" w:rsidP="009613E1">
      <w:pPr>
        <w:spacing w:line="271" w:lineRule="auto"/>
      </w:pPr>
      <w:r w:rsidRPr="00B16E6B">
        <w:t xml:space="preserve">In this option, the pre-established problem elements will endure, and </w:t>
      </w:r>
      <w:r w:rsidR="00487C6A" w:rsidRPr="00B16E6B">
        <w:t>government</w:t>
      </w:r>
      <w:r w:rsidRPr="00B16E6B">
        <w:t xml:space="preserve"> will have </w:t>
      </w:r>
      <w:r w:rsidR="00657979" w:rsidRPr="00B16E6B">
        <w:t xml:space="preserve">limited </w:t>
      </w:r>
      <w:r w:rsidRPr="00B16E6B">
        <w:t xml:space="preserve">capability to address the risks that </w:t>
      </w:r>
      <w:r w:rsidR="00657979" w:rsidRPr="00B16E6B">
        <w:t xml:space="preserve">Australia’s </w:t>
      </w:r>
      <w:r w:rsidRPr="00B16E6B">
        <w:t xml:space="preserve">transport sector faces. </w:t>
      </w:r>
    </w:p>
    <w:p w14:paraId="4BD5AE44" w14:textId="77777777" w:rsidR="000763EB" w:rsidRPr="00B16E6B" w:rsidRDefault="000763EB" w:rsidP="009613E1">
      <w:pPr>
        <w:spacing w:after="200" w:line="271" w:lineRule="auto"/>
        <w:rPr>
          <w:rFonts w:asciiTheme="majorHAnsi" w:eastAsiaTheme="majorEastAsia" w:hAnsiTheme="majorHAnsi" w:cstheme="majorBidi"/>
          <w:color w:val="1C2B39" w:themeColor="accent1"/>
          <w:sz w:val="36"/>
          <w:szCs w:val="28"/>
        </w:rPr>
      </w:pPr>
      <w:bookmarkStart w:id="4" w:name="_Toc161145165"/>
      <w:r w:rsidRPr="00B16E6B">
        <w:br w:type="page"/>
      </w:r>
    </w:p>
    <w:p w14:paraId="093192E8" w14:textId="789373FD" w:rsidR="00FD6E1D" w:rsidRPr="00B16E6B" w:rsidRDefault="00FD6E1D" w:rsidP="009613E1">
      <w:pPr>
        <w:pStyle w:val="Heading2"/>
        <w:spacing w:line="271" w:lineRule="auto"/>
      </w:pPr>
      <w:r w:rsidRPr="00B16E6B">
        <w:lastRenderedPageBreak/>
        <w:t xml:space="preserve">3.2 Option 2: Voluntary uptake of all hazards </w:t>
      </w:r>
      <w:bookmarkEnd w:id="4"/>
      <w:r w:rsidR="007D6C18" w:rsidRPr="00B16E6B">
        <w:t xml:space="preserve">security </w:t>
      </w:r>
    </w:p>
    <w:p w14:paraId="4DDD7744" w14:textId="522046D3" w:rsidR="00FD6E1D" w:rsidRPr="00B16E6B" w:rsidRDefault="00FD6E1D" w:rsidP="009613E1">
      <w:pPr>
        <w:spacing w:line="271" w:lineRule="auto"/>
        <w:rPr>
          <w:lang w:val="en-US"/>
        </w:rPr>
      </w:pPr>
      <w:r w:rsidRPr="00B16E6B">
        <w:rPr>
          <w:lang w:val="en-US"/>
        </w:rPr>
        <w:t xml:space="preserve">Option 2 involves </w:t>
      </w:r>
      <w:r w:rsidR="006C56FD" w:rsidRPr="00B16E6B">
        <w:rPr>
          <w:lang w:val="en-US"/>
        </w:rPr>
        <w:t xml:space="preserve">maintenance of the status quo while </w:t>
      </w:r>
      <w:r w:rsidRPr="00B16E6B">
        <w:rPr>
          <w:lang w:val="en-US"/>
        </w:rPr>
        <w:t>encouraging industry to voluntarily address all hazard threats and holisticall</w:t>
      </w:r>
      <w:r w:rsidR="00197930" w:rsidRPr="00B16E6B">
        <w:rPr>
          <w:lang w:val="en-US"/>
        </w:rPr>
        <w:t xml:space="preserve">y consider and mitigate </w:t>
      </w:r>
      <w:r w:rsidRPr="00B16E6B">
        <w:rPr>
          <w:lang w:val="en-US"/>
        </w:rPr>
        <w:t>the risks facing their business operations. This voluntary engagement would occur through:</w:t>
      </w:r>
    </w:p>
    <w:p w14:paraId="74D87986" w14:textId="5CDA010A" w:rsidR="006C56FD" w:rsidRPr="00B16E6B" w:rsidRDefault="006C56FD" w:rsidP="009613E1">
      <w:pPr>
        <w:pStyle w:val="ListParagraph"/>
        <w:numPr>
          <w:ilvl w:val="0"/>
          <w:numId w:val="20"/>
        </w:numPr>
        <w:spacing w:after="120" w:line="271" w:lineRule="auto"/>
        <w:ind w:left="714" w:hanging="357"/>
        <w:contextualSpacing w:val="0"/>
        <w:rPr>
          <w:lang w:val="en-US"/>
        </w:rPr>
      </w:pPr>
      <w:r w:rsidRPr="00B16E6B">
        <w:rPr>
          <w:lang w:val="en-US"/>
        </w:rPr>
        <w:t>distribution and use of risk assessment materials and threat and hazard information, includi</w:t>
      </w:r>
      <w:r w:rsidR="00AB293B" w:rsidRPr="00B16E6B">
        <w:rPr>
          <w:lang w:val="en-US"/>
        </w:rPr>
        <w:t>ng sector specific intelligence-</w:t>
      </w:r>
      <w:r w:rsidRPr="00B16E6B">
        <w:rPr>
          <w:lang w:val="en-US"/>
        </w:rPr>
        <w:t xml:space="preserve">led risk assessments of critical incident pathways applicable to the transport sector, detailing the likelihood and consequence of security incidents that may lead to disruptions </w:t>
      </w:r>
    </w:p>
    <w:p w14:paraId="4CC7BF80" w14:textId="77777777" w:rsidR="00FD6E1D" w:rsidRPr="00B16E6B" w:rsidRDefault="006F4F96" w:rsidP="009613E1">
      <w:pPr>
        <w:pStyle w:val="ListParagraph"/>
        <w:numPr>
          <w:ilvl w:val="0"/>
          <w:numId w:val="20"/>
        </w:numPr>
        <w:spacing w:after="120" w:line="271" w:lineRule="auto"/>
        <w:ind w:left="714" w:hanging="357"/>
        <w:contextualSpacing w:val="0"/>
        <w:rPr>
          <w:lang w:val="en-US"/>
        </w:rPr>
      </w:pPr>
      <w:r w:rsidRPr="00B16E6B">
        <w:rPr>
          <w:lang w:val="en-US"/>
        </w:rPr>
        <w:t>i</w:t>
      </w:r>
      <w:r w:rsidR="00FD6E1D" w:rsidRPr="00B16E6B">
        <w:rPr>
          <w:lang w:val="en-US"/>
        </w:rPr>
        <w:t xml:space="preserve">mplementation of various measures and procedures, based on risk assessments including reference to specific standards or frameworks, for example, the Essential Eight Maturity Model from </w:t>
      </w:r>
      <w:r w:rsidR="00657979" w:rsidRPr="00B16E6B">
        <w:rPr>
          <w:lang w:val="en-US"/>
        </w:rPr>
        <w:t>ASD’s ACSC</w:t>
      </w:r>
      <w:r w:rsidR="00FD6E1D" w:rsidRPr="00B16E6B">
        <w:rPr>
          <w:lang w:val="en-US"/>
        </w:rPr>
        <w:t>.</w:t>
      </w:r>
    </w:p>
    <w:p w14:paraId="260A7801" w14:textId="77777777" w:rsidR="00E42691" w:rsidRPr="00B16E6B" w:rsidRDefault="00E42691" w:rsidP="009613E1">
      <w:pPr>
        <w:keepNext/>
        <w:keepLines/>
        <w:spacing w:line="271" w:lineRule="auto"/>
        <w:rPr>
          <w:lang w:val="en-US"/>
        </w:rPr>
      </w:pPr>
      <w:r w:rsidRPr="00B16E6B">
        <w:rPr>
          <w:lang w:val="en-US"/>
        </w:rPr>
        <w:t xml:space="preserve">The CISC leverages partnerships across critical infrastructure sectors and between other </w:t>
      </w:r>
      <w:r w:rsidR="00487C6A" w:rsidRPr="00B16E6B">
        <w:rPr>
          <w:lang w:val="en-US"/>
        </w:rPr>
        <w:t>government</w:t>
      </w:r>
      <w:r w:rsidRPr="00B16E6B">
        <w:rPr>
          <w:lang w:val="en-US"/>
        </w:rPr>
        <w:t xml:space="preserve"> regulators and agencies to empower critical infrastructure owners and operators to remain resilient in an ever-changing risk and operating environment. </w:t>
      </w:r>
      <w:r w:rsidR="00657979" w:rsidRPr="00B16E6B">
        <w:rPr>
          <w:lang w:val="en-US"/>
        </w:rPr>
        <w:t xml:space="preserve">This CISC also </w:t>
      </w:r>
      <w:r w:rsidRPr="00B16E6B">
        <w:rPr>
          <w:lang w:val="en-US"/>
        </w:rPr>
        <w:t>actively assists Australian critical infrastructure owners and operators to understand the risk environment and meet their regulatory requirements for the shared benefit of all Australians</w:t>
      </w:r>
      <w:r w:rsidRPr="00B16E6B">
        <w:rPr>
          <w:rStyle w:val="FootnoteReference"/>
          <w:lang w:val="en-US"/>
        </w:rPr>
        <w:footnoteReference w:id="41"/>
      </w:r>
      <w:r w:rsidRPr="00B16E6B">
        <w:rPr>
          <w:lang w:val="en-US"/>
        </w:rPr>
        <w:t xml:space="preserve">. This includes the provision of risk assessment materials otherwise restricted to </w:t>
      </w:r>
      <w:r w:rsidR="00487C6A" w:rsidRPr="00B16E6B">
        <w:rPr>
          <w:lang w:val="en-US"/>
        </w:rPr>
        <w:t>government</w:t>
      </w:r>
      <w:r w:rsidRPr="00B16E6B">
        <w:rPr>
          <w:lang w:val="en-US"/>
        </w:rPr>
        <w:t xml:space="preserve"> use to industry, with the intention of allowing industry to better manage the threats facing critical infrastructure assets. </w:t>
      </w:r>
    </w:p>
    <w:p w14:paraId="7AAA846B" w14:textId="6F3818BC" w:rsidR="00FD6E1D" w:rsidRPr="00B16E6B" w:rsidRDefault="00FD6E1D" w:rsidP="009613E1">
      <w:pPr>
        <w:keepNext/>
        <w:keepLines/>
        <w:spacing w:line="271" w:lineRule="auto"/>
      </w:pPr>
      <w:r w:rsidRPr="00B16E6B">
        <w:rPr>
          <w:lang w:val="en-US"/>
        </w:rPr>
        <w:t>The department would use existing industry engagement mechanisms to share information and advice on risks and hazards and associated mitigation considerations</w:t>
      </w:r>
      <w:r w:rsidR="00186F1B" w:rsidRPr="00B16E6B">
        <w:rPr>
          <w:lang w:val="en-US"/>
        </w:rPr>
        <w:t>, including</w:t>
      </w:r>
      <w:r w:rsidRPr="00B16E6B">
        <w:t xml:space="preserve"> </w:t>
      </w:r>
    </w:p>
    <w:p w14:paraId="7AA6F6B4" w14:textId="77777777" w:rsidR="00FD6E1D" w:rsidRPr="00B16E6B" w:rsidRDefault="00FD6E1D" w:rsidP="009613E1">
      <w:pPr>
        <w:pStyle w:val="ListParagraph"/>
        <w:numPr>
          <w:ilvl w:val="0"/>
          <w:numId w:val="19"/>
        </w:numPr>
        <w:spacing w:after="120" w:line="271" w:lineRule="auto"/>
        <w:ind w:left="714" w:hanging="357"/>
        <w:contextualSpacing w:val="0"/>
        <w:rPr>
          <w:bCs/>
          <w:lang w:val="en-US"/>
        </w:rPr>
      </w:pPr>
      <w:r w:rsidRPr="00B16E6B">
        <w:rPr>
          <w:bCs/>
          <w:lang w:val="en-US"/>
        </w:rPr>
        <w:t>Aviation Security Advisory Forum</w:t>
      </w:r>
      <w:r w:rsidR="001F501A" w:rsidRPr="00B16E6B">
        <w:rPr>
          <w:bCs/>
          <w:lang w:val="en-US"/>
        </w:rPr>
        <w:t xml:space="preserve"> (ASAF)</w:t>
      </w:r>
    </w:p>
    <w:p w14:paraId="72533EB7" w14:textId="77777777" w:rsidR="00FD6E1D" w:rsidRPr="00B16E6B" w:rsidRDefault="00FD6E1D" w:rsidP="009613E1">
      <w:pPr>
        <w:pStyle w:val="ListParagraph"/>
        <w:numPr>
          <w:ilvl w:val="0"/>
          <w:numId w:val="19"/>
        </w:numPr>
        <w:spacing w:after="120" w:line="271" w:lineRule="auto"/>
        <w:ind w:left="714" w:hanging="357"/>
        <w:contextualSpacing w:val="0"/>
        <w:rPr>
          <w:bCs/>
          <w:lang w:val="en-US"/>
        </w:rPr>
      </w:pPr>
      <w:r w:rsidRPr="00B16E6B">
        <w:rPr>
          <w:bCs/>
          <w:lang w:val="en-US"/>
        </w:rPr>
        <w:t>Regional Aviation Security Advisory Forum</w:t>
      </w:r>
      <w:r w:rsidR="001F501A" w:rsidRPr="00B16E6B">
        <w:rPr>
          <w:bCs/>
          <w:lang w:val="en-US"/>
        </w:rPr>
        <w:t xml:space="preserve"> (RASAF) </w:t>
      </w:r>
    </w:p>
    <w:p w14:paraId="7E99DEE6" w14:textId="77777777" w:rsidR="00FD6E1D" w:rsidRPr="00B16E6B" w:rsidRDefault="00FD6E1D" w:rsidP="009613E1">
      <w:pPr>
        <w:pStyle w:val="ListParagraph"/>
        <w:numPr>
          <w:ilvl w:val="0"/>
          <w:numId w:val="19"/>
        </w:numPr>
        <w:spacing w:after="120" w:line="271" w:lineRule="auto"/>
        <w:ind w:left="714" w:hanging="357"/>
        <w:contextualSpacing w:val="0"/>
        <w:rPr>
          <w:bCs/>
          <w:lang w:val="en-US"/>
        </w:rPr>
      </w:pPr>
      <w:r w:rsidRPr="00B16E6B">
        <w:rPr>
          <w:bCs/>
          <w:lang w:val="en-US"/>
        </w:rPr>
        <w:t xml:space="preserve">Air Cargo Security Industry Advisory Forum </w:t>
      </w:r>
      <w:r w:rsidR="001F501A" w:rsidRPr="00B16E6B">
        <w:rPr>
          <w:bCs/>
          <w:lang w:val="en-US"/>
        </w:rPr>
        <w:t xml:space="preserve">(ACSIAF) </w:t>
      </w:r>
    </w:p>
    <w:p w14:paraId="70091776" w14:textId="3AE262D0" w:rsidR="00FD6E1D" w:rsidRPr="00B16E6B" w:rsidRDefault="00FD6E1D" w:rsidP="009613E1">
      <w:pPr>
        <w:pStyle w:val="ListParagraph"/>
        <w:numPr>
          <w:ilvl w:val="0"/>
          <w:numId w:val="19"/>
        </w:numPr>
        <w:spacing w:after="120" w:line="271" w:lineRule="auto"/>
        <w:ind w:left="714" w:hanging="357"/>
        <w:contextualSpacing w:val="0"/>
        <w:rPr>
          <w:bCs/>
          <w:lang w:val="en-US"/>
        </w:rPr>
      </w:pPr>
      <w:r w:rsidRPr="00B16E6B">
        <w:rPr>
          <w:bCs/>
          <w:lang w:val="en-US"/>
        </w:rPr>
        <w:t>Maritime Industry Security Consultative Forum</w:t>
      </w:r>
      <w:r w:rsidR="001F501A" w:rsidRPr="00B16E6B">
        <w:rPr>
          <w:bCs/>
          <w:lang w:val="en-US"/>
        </w:rPr>
        <w:t xml:space="preserve"> (MISCF)</w:t>
      </w:r>
      <w:r w:rsidRPr="00B16E6B">
        <w:rPr>
          <w:bCs/>
          <w:lang w:val="en-US"/>
        </w:rPr>
        <w:t xml:space="preserve"> </w:t>
      </w:r>
    </w:p>
    <w:p w14:paraId="19F58C4C" w14:textId="2F40FA85" w:rsidR="00582F95" w:rsidRPr="00B16E6B" w:rsidRDefault="00582F95" w:rsidP="009613E1">
      <w:pPr>
        <w:pStyle w:val="ListParagraph"/>
        <w:numPr>
          <w:ilvl w:val="0"/>
          <w:numId w:val="19"/>
        </w:numPr>
        <w:spacing w:after="120" w:line="271" w:lineRule="auto"/>
        <w:ind w:left="714" w:hanging="357"/>
        <w:contextualSpacing w:val="0"/>
        <w:rPr>
          <w:bCs/>
          <w:lang w:val="en-US"/>
        </w:rPr>
      </w:pPr>
      <w:r w:rsidRPr="00B16E6B">
        <w:rPr>
          <w:bCs/>
          <w:lang w:val="en-US"/>
        </w:rPr>
        <w:t>Strategic Aviation Security Meeting (SASM)</w:t>
      </w:r>
    </w:p>
    <w:p w14:paraId="6AD79CB3" w14:textId="40BD6FCA" w:rsidR="00582F95" w:rsidRPr="00B16E6B" w:rsidRDefault="00582F95" w:rsidP="009613E1">
      <w:pPr>
        <w:pStyle w:val="ListParagraph"/>
        <w:numPr>
          <w:ilvl w:val="0"/>
          <w:numId w:val="19"/>
        </w:numPr>
        <w:spacing w:after="120" w:line="271" w:lineRule="auto"/>
        <w:ind w:left="714" w:hanging="357"/>
        <w:contextualSpacing w:val="0"/>
        <w:rPr>
          <w:bCs/>
          <w:lang w:val="en-US"/>
        </w:rPr>
      </w:pPr>
      <w:r w:rsidRPr="00B16E6B">
        <w:rPr>
          <w:bCs/>
          <w:lang w:val="en-US"/>
        </w:rPr>
        <w:t>Trusted Information Sharing Network (TISN).</w:t>
      </w:r>
    </w:p>
    <w:p w14:paraId="42447F50" w14:textId="384583FF" w:rsidR="006C56FD" w:rsidRPr="00B16E6B" w:rsidRDefault="006C56FD" w:rsidP="00186F1B">
      <w:pPr>
        <w:spacing w:line="271" w:lineRule="auto"/>
        <w:rPr>
          <w:lang w:val="en-US"/>
        </w:rPr>
      </w:pPr>
      <w:r w:rsidRPr="00B16E6B">
        <w:rPr>
          <w:lang w:val="en-US"/>
        </w:rPr>
        <w:t xml:space="preserve">These forums occur bi-annually (with the exception of MISCF, which occurs three times each year) as well as ad-hoc when required. For example, the industry mechanisms mentioned </w:t>
      </w:r>
      <w:r w:rsidR="00582F95" w:rsidRPr="00B16E6B">
        <w:rPr>
          <w:lang w:val="en-US"/>
        </w:rPr>
        <w:t>would be</w:t>
      </w:r>
      <w:r w:rsidRPr="00B16E6B">
        <w:rPr>
          <w:lang w:val="en-US"/>
        </w:rPr>
        <w:t xml:space="preserve"> used as platforms for the department to consult industry on relevant policy papers, international best practice guidance and threat information relating to aviation and maritime security. </w:t>
      </w:r>
    </w:p>
    <w:p w14:paraId="1E5FA927" w14:textId="77777777" w:rsidR="000A140E" w:rsidRPr="00B16E6B" w:rsidRDefault="000A140E" w:rsidP="009613E1">
      <w:pPr>
        <w:spacing w:after="200" w:line="271" w:lineRule="auto"/>
        <w:rPr>
          <w:rFonts w:asciiTheme="majorHAnsi" w:eastAsiaTheme="majorEastAsia" w:hAnsiTheme="majorHAnsi" w:cstheme="majorBidi"/>
          <w:color w:val="1C2B39" w:themeColor="accent1"/>
          <w:sz w:val="36"/>
          <w:szCs w:val="28"/>
          <w:lang w:val="en-US"/>
        </w:rPr>
      </w:pPr>
      <w:bookmarkStart w:id="5" w:name="_Toc161145166"/>
      <w:r w:rsidRPr="00B16E6B">
        <w:rPr>
          <w:lang w:val="en-US"/>
        </w:rPr>
        <w:br w:type="page"/>
      </w:r>
    </w:p>
    <w:p w14:paraId="569B4553" w14:textId="26978896" w:rsidR="00FD6E1D" w:rsidRPr="00B16E6B" w:rsidRDefault="00FD6E1D" w:rsidP="009613E1">
      <w:pPr>
        <w:pStyle w:val="Heading2"/>
        <w:spacing w:line="271" w:lineRule="auto"/>
        <w:rPr>
          <w:sz w:val="26"/>
          <w:szCs w:val="26"/>
          <w:lang w:val="en-US"/>
        </w:rPr>
      </w:pPr>
      <w:r w:rsidRPr="00B16E6B">
        <w:rPr>
          <w:lang w:val="en-US"/>
        </w:rPr>
        <w:lastRenderedPageBreak/>
        <w:t>3.3 Option 3: Switch on CIRMP obligations for ‘critical aviation assets’ and ‘critical ports’ under the SOCI Act</w:t>
      </w:r>
      <w:bookmarkEnd w:id="5"/>
    </w:p>
    <w:p w14:paraId="1DBF591F" w14:textId="451FC8B5" w:rsidR="00FD6E1D" w:rsidRPr="00B16E6B" w:rsidRDefault="00FD6E1D" w:rsidP="009613E1">
      <w:pPr>
        <w:spacing w:line="271" w:lineRule="auto"/>
      </w:pPr>
      <w:r w:rsidRPr="00B16E6B">
        <w:rPr>
          <w:lang w:val="en-US"/>
        </w:rPr>
        <w:t xml:space="preserve">Under </w:t>
      </w:r>
      <w:r w:rsidR="00D661BC" w:rsidRPr="00B16E6B">
        <w:rPr>
          <w:lang w:val="en-US"/>
        </w:rPr>
        <w:t>o</w:t>
      </w:r>
      <w:r w:rsidRPr="00B16E6B">
        <w:rPr>
          <w:lang w:val="en-US"/>
        </w:rPr>
        <w:t>ption 3, the CIRMP obligations would be switched on for ‘critical aviation assets</w:t>
      </w:r>
      <w:r w:rsidR="00824F7D" w:rsidRPr="00B16E6B">
        <w:rPr>
          <w:lang w:val="en-US"/>
        </w:rPr>
        <w:t>’</w:t>
      </w:r>
      <w:r w:rsidRPr="00B16E6B">
        <w:rPr>
          <w:lang w:val="en-US"/>
        </w:rPr>
        <w:t xml:space="preserve"> and ‘critical ports</w:t>
      </w:r>
      <w:r w:rsidR="00824F7D" w:rsidRPr="00B16E6B">
        <w:rPr>
          <w:lang w:val="en-US"/>
        </w:rPr>
        <w:t>’</w:t>
      </w:r>
      <w:r w:rsidRPr="00B16E6B">
        <w:rPr>
          <w:lang w:val="en-US"/>
        </w:rPr>
        <w:t xml:space="preserve"> under the SOCI Act. Industry participants would be required to develop and maintain a</w:t>
      </w:r>
      <w:r w:rsidRPr="00B16E6B">
        <w:t xml:space="preserve"> CIRMP to identify and mitigate cyber, supply chain and natural hazards. </w:t>
      </w:r>
    </w:p>
    <w:p w14:paraId="50CAB72D" w14:textId="77777777" w:rsidR="00B76413" w:rsidRPr="00B16E6B" w:rsidRDefault="004F66A1" w:rsidP="009613E1">
      <w:pPr>
        <w:spacing w:line="271" w:lineRule="auto"/>
      </w:pPr>
      <w:r w:rsidRPr="00B16E6B">
        <w:t xml:space="preserve">A CIRMP is a written program that identifies and manages the material risks of hazards that could have a disrupting impact on a </w:t>
      </w:r>
      <w:r w:rsidR="00406043" w:rsidRPr="00B16E6B">
        <w:t>critical infrastructure</w:t>
      </w:r>
      <w:r w:rsidRPr="00B16E6B">
        <w:t xml:space="preserve"> asset</w:t>
      </w:r>
      <w:r w:rsidRPr="00B16E6B">
        <w:rPr>
          <w:rStyle w:val="FootnoteReference"/>
        </w:rPr>
        <w:footnoteReference w:id="42"/>
      </w:r>
      <w:r w:rsidRPr="00B16E6B">
        <w:t>. Switching this obligation on for the transport sector</w:t>
      </w:r>
      <w:r w:rsidR="00B76413" w:rsidRPr="00B16E6B">
        <w:t xml:space="preserve"> would see critical aviation assets and critical ports, as they are identified in the SOCI Act, establish programs to identify, minimise and, if possible, eliminate all hazards</w:t>
      </w:r>
      <w:r w:rsidR="00657979" w:rsidRPr="00B16E6B">
        <w:t xml:space="preserve"> security</w:t>
      </w:r>
      <w:r w:rsidR="00B76413" w:rsidRPr="00B16E6B">
        <w:t xml:space="preserve"> risks. </w:t>
      </w:r>
    </w:p>
    <w:p w14:paraId="0F69D153" w14:textId="2441653C" w:rsidR="006C56FD" w:rsidRPr="00B16E6B" w:rsidRDefault="006C56FD" w:rsidP="009613E1">
      <w:pPr>
        <w:spacing w:line="271" w:lineRule="auto"/>
      </w:pPr>
      <w:r w:rsidRPr="00B16E6B">
        <w:t>A small number of transport sector entities are regulated under the SOCI Act. For example, there are 9 airports regulated by the SOCI Act, compared to 115 regulated by ATSA as of October 2024, in addition to aircraft operators, registered air cargo agents, accredited air cargo agents and known consignors that are also regulated</w:t>
      </w:r>
      <w:r w:rsidRPr="00B16E6B">
        <w:rPr>
          <w:rStyle w:val="FootnoteReference"/>
        </w:rPr>
        <w:footnoteReference w:id="43"/>
      </w:r>
      <w:r w:rsidRPr="00B16E6B">
        <w:t>. There are 20 critical ports within the remit of the SOCI Act, and as at January 2019, MTOFSA regulated the security of 65 ports, 213 port facilities and 42 Australian ships</w:t>
      </w:r>
      <w:r w:rsidR="001950F0" w:rsidRPr="00B16E6B">
        <w:t>.</w:t>
      </w:r>
      <w:r w:rsidRPr="00B16E6B">
        <w:rPr>
          <w:rStyle w:val="FootnoteReference"/>
        </w:rPr>
        <w:footnoteReference w:id="44"/>
      </w:r>
      <w:r w:rsidRPr="00B16E6B">
        <w:t xml:space="preserve"> </w:t>
      </w:r>
    </w:p>
    <w:p w14:paraId="37C5D3C4" w14:textId="0B7F343B" w:rsidR="009250C3" w:rsidRPr="00B16E6B" w:rsidRDefault="006C56FD" w:rsidP="009613E1">
      <w:pPr>
        <w:spacing w:line="271" w:lineRule="auto"/>
      </w:pPr>
      <w:r w:rsidRPr="00B16E6B">
        <w:t>Logistically, under this option critical aviation assets and critical ports submit an annual report within 90 days after each relevant financial year concludes. The annual report establishes that a CIRMP is in place, and that the entity is compliant with the rules established in the Security of Critical Infrastructure (Critical infrastructure risk management program) Rules 2023. A CIRMP does not need to be submitted alongside the annual report, however, the CISC as the relevant regulator may request to view the CIRMP as part of a compliance audit. The CIRMP process would be separate from and in addition to the security program requirements unde</w:t>
      </w:r>
      <w:r w:rsidR="00AB293B" w:rsidRPr="00B16E6B">
        <w:t>r ATSA and MTOFSA, which focus</w:t>
      </w:r>
      <w:r w:rsidRPr="00B16E6B">
        <w:t xml:space="preserve"> on physical and personnel security risks, and would only be applicable to the most critical transport sector assets. Regulating the same entities under both the SOCI Act and either ATSA or MTOFSA may potentially introduce a dynamic where entities have split security obligation across two legislati</w:t>
      </w:r>
      <w:r w:rsidR="00582F95" w:rsidRPr="00B16E6B">
        <w:t>ve regimes, and potentially</w:t>
      </w:r>
      <w:r w:rsidRPr="00B16E6B">
        <w:t xml:space="preserve"> duplicative obligations. </w:t>
      </w:r>
    </w:p>
    <w:p w14:paraId="3A6FB292" w14:textId="77777777" w:rsidR="009250C3" w:rsidRPr="00B16E6B" w:rsidRDefault="009250C3" w:rsidP="009613E1">
      <w:pPr>
        <w:spacing w:after="200" w:line="271" w:lineRule="auto"/>
      </w:pPr>
      <w:r w:rsidRPr="00B16E6B">
        <w:br w:type="page"/>
      </w:r>
    </w:p>
    <w:p w14:paraId="32B33157" w14:textId="5903CE9C" w:rsidR="009250C3" w:rsidRPr="00B16E6B" w:rsidRDefault="00E064DD" w:rsidP="009613E1">
      <w:pPr>
        <w:spacing w:line="271" w:lineRule="auto"/>
      </w:pPr>
      <w:r w:rsidRPr="00B16E6B">
        <w:rPr>
          <w:rFonts w:eastAsia="Times New Roman" w:cs="Arial"/>
          <w:b/>
          <w:bCs/>
          <w:i/>
          <w:iCs/>
          <w:color w:val="44546A"/>
          <w:sz w:val="18"/>
          <w:szCs w:val="18"/>
          <w:lang w:eastAsia="en-AU"/>
        </w:rPr>
        <w:lastRenderedPageBreak/>
        <w:t xml:space="preserve">Figure </w:t>
      </w:r>
      <w:r w:rsidR="002257F7" w:rsidRPr="00B16E6B">
        <w:rPr>
          <w:rFonts w:eastAsia="Times New Roman" w:cs="Arial"/>
          <w:b/>
          <w:bCs/>
          <w:i/>
          <w:iCs/>
          <w:color w:val="44546A"/>
          <w:sz w:val="18"/>
          <w:szCs w:val="18"/>
          <w:lang w:eastAsia="en-AU"/>
        </w:rPr>
        <w:t>2</w:t>
      </w:r>
      <w:r w:rsidRPr="00B16E6B">
        <w:rPr>
          <w:rFonts w:eastAsia="Times New Roman" w:cs="Arial"/>
          <w:b/>
          <w:bCs/>
          <w:i/>
          <w:iCs/>
          <w:color w:val="44546A"/>
          <w:sz w:val="18"/>
          <w:szCs w:val="18"/>
          <w:lang w:eastAsia="en-AU"/>
        </w:rPr>
        <w:t xml:space="preserve">: </w:t>
      </w:r>
      <w:r w:rsidR="009250C3" w:rsidRPr="00B16E6B">
        <w:rPr>
          <w:rFonts w:eastAsia="Times New Roman" w:cs="Arial"/>
          <w:i/>
          <w:iCs/>
          <w:color w:val="44546A"/>
          <w:sz w:val="18"/>
          <w:szCs w:val="18"/>
          <w:lang w:eastAsia="en-AU"/>
        </w:rPr>
        <w:t>Capture of regulated aviation and maritime industry participants in the SOCI Act  </w:t>
      </w:r>
      <w:r w:rsidR="009250C3" w:rsidRPr="00B16E6B">
        <w:rPr>
          <w:noProof/>
          <w:lang w:eastAsia="en-AU"/>
        </w:rPr>
        <w:t xml:space="preserve"> </w:t>
      </w:r>
    </w:p>
    <w:p w14:paraId="38C50479" w14:textId="208C4B7F" w:rsidR="009250C3" w:rsidRPr="00B16E6B" w:rsidRDefault="00FF1E25" w:rsidP="009613E1">
      <w:pPr>
        <w:spacing w:after="200" w:line="271" w:lineRule="auto"/>
      </w:pPr>
      <w:r>
        <w:rPr>
          <w:noProof/>
          <w:lang w:eastAsia="en-AU"/>
        </w:rPr>
        <w:drawing>
          <wp:inline distT="0" distB="0" distL="0" distR="0" wp14:anchorId="6660A6B8" wp14:editId="59019785">
            <wp:extent cx="6118860" cy="3512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3512820"/>
                    </a:xfrm>
                    <a:prstGeom prst="rect">
                      <a:avLst/>
                    </a:prstGeom>
                    <a:noFill/>
                  </pic:spPr>
                </pic:pic>
              </a:graphicData>
            </a:graphic>
          </wp:inline>
        </w:drawing>
      </w:r>
      <w:r>
        <w:rPr>
          <w:noProof/>
          <w:lang w:eastAsia="en-AU"/>
        </w:rPr>
        <w:drawing>
          <wp:inline distT="0" distB="0" distL="0" distR="0" wp14:anchorId="56902882" wp14:editId="41390986">
            <wp:extent cx="6118860" cy="3467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3467100"/>
                    </a:xfrm>
                    <a:prstGeom prst="rect">
                      <a:avLst/>
                    </a:prstGeom>
                    <a:noFill/>
                  </pic:spPr>
                </pic:pic>
              </a:graphicData>
            </a:graphic>
          </wp:inline>
        </w:drawing>
      </w:r>
      <w:r w:rsidR="009250C3" w:rsidRPr="00B16E6B">
        <w:br w:type="page"/>
      </w:r>
    </w:p>
    <w:p w14:paraId="7EE69D7D" w14:textId="77777777" w:rsidR="00FD6E1D" w:rsidRPr="00B16E6B" w:rsidRDefault="00FD6E1D" w:rsidP="009613E1">
      <w:pPr>
        <w:pStyle w:val="Heading2"/>
        <w:spacing w:before="0" w:line="271" w:lineRule="auto"/>
        <w:rPr>
          <w:rFonts w:asciiTheme="minorHAnsi" w:hAnsiTheme="minorHAnsi" w:cs="Arial"/>
          <w:sz w:val="26"/>
          <w:szCs w:val="26"/>
          <w:lang w:val="en-US"/>
        </w:rPr>
      </w:pPr>
      <w:bookmarkStart w:id="6" w:name="_Toc161145167"/>
      <w:r w:rsidRPr="00B16E6B">
        <w:lastRenderedPageBreak/>
        <w:t>3.4 Option 4: Amend ATSA, MTOFSA and its associated regulations to enact mandatory obligations</w:t>
      </w:r>
      <w:r w:rsidRPr="00B16E6B">
        <w:rPr>
          <w:rFonts w:asciiTheme="minorHAnsi" w:hAnsiTheme="minorHAnsi" w:cs="Arial"/>
          <w:lang w:val="en-US"/>
        </w:rPr>
        <w:t xml:space="preserve"> </w:t>
      </w:r>
      <w:bookmarkEnd w:id="6"/>
    </w:p>
    <w:p w14:paraId="7034C1D6" w14:textId="77777777" w:rsidR="00FD6E1D" w:rsidRPr="00B16E6B" w:rsidRDefault="00FD6E1D" w:rsidP="009613E1">
      <w:pPr>
        <w:spacing w:line="271" w:lineRule="auto"/>
        <w:rPr>
          <w:lang w:val="en-US"/>
        </w:rPr>
      </w:pPr>
      <w:r w:rsidRPr="00B16E6B">
        <w:rPr>
          <w:lang w:val="en-US"/>
        </w:rPr>
        <w:t>Option 4 seeks to amend the transport security legislative framework</w:t>
      </w:r>
      <w:r w:rsidR="000A6F9B" w:rsidRPr="00B16E6B">
        <w:rPr>
          <w:lang w:val="en-US"/>
        </w:rPr>
        <w:t>s</w:t>
      </w:r>
      <w:r w:rsidRPr="00B16E6B">
        <w:rPr>
          <w:lang w:val="en-US"/>
        </w:rPr>
        <w:t xml:space="preserve">. </w:t>
      </w:r>
      <w:r w:rsidR="00210E27" w:rsidRPr="00B16E6B">
        <w:rPr>
          <w:lang w:val="en-US"/>
        </w:rPr>
        <w:t>The a</w:t>
      </w:r>
      <w:r w:rsidR="00197930" w:rsidRPr="00B16E6B">
        <w:rPr>
          <w:lang w:val="en-US"/>
        </w:rPr>
        <w:t>mendment will</w:t>
      </w:r>
      <w:r w:rsidRPr="00B16E6B">
        <w:rPr>
          <w:lang w:val="en-US"/>
        </w:rPr>
        <w:t xml:space="preserve"> ensure that the </w:t>
      </w:r>
      <w:r w:rsidR="00197930" w:rsidRPr="00B16E6B">
        <w:rPr>
          <w:lang w:val="en-US"/>
        </w:rPr>
        <w:t>aviation and maritime sectors</w:t>
      </w:r>
      <w:r w:rsidRPr="00B16E6B">
        <w:rPr>
          <w:lang w:val="en-US"/>
        </w:rPr>
        <w:t xml:space="preserve"> can adapt and respond to current and emerging threats in a flexible, risk-based, and scalable manner. Option 4 comprises </w:t>
      </w:r>
      <w:r w:rsidR="00412A63" w:rsidRPr="00B16E6B">
        <w:rPr>
          <w:lang w:val="en-US"/>
        </w:rPr>
        <w:t xml:space="preserve">15 </w:t>
      </w:r>
      <w:r w:rsidRPr="00B16E6B">
        <w:rPr>
          <w:lang w:val="en-US"/>
        </w:rPr>
        <w:t xml:space="preserve">measures, each of which have been grouped to support coverage and achievement of desired security objectives: </w:t>
      </w:r>
    </w:p>
    <w:p w14:paraId="32FD31A5" w14:textId="77777777" w:rsidR="00FD6E1D" w:rsidRPr="00B16E6B" w:rsidRDefault="006F4F96" w:rsidP="00A11AF5">
      <w:pPr>
        <w:pStyle w:val="ListParagraph"/>
        <w:numPr>
          <w:ilvl w:val="0"/>
          <w:numId w:val="21"/>
        </w:numPr>
        <w:spacing w:after="120" w:line="271" w:lineRule="auto"/>
        <w:ind w:left="714" w:hanging="357"/>
        <w:contextualSpacing w:val="0"/>
        <w:rPr>
          <w:lang w:val="en-US"/>
        </w:rPr>
      </w:pPr>
      <w:r w:rsidRPr="00B16E6B">
        <w:rPr>
          <w:b/>
          <w:bCs/>
          <w:lang w:val="en-US"/>
        </w:rPr>
        <w:t>r</w:t>
      </w:r>
      <w:r w:rsidR="00FD6E1D" w:rsidRPr="00B16E6B">
        <w:rPr>
          <w:b/>
          <w:bCs/>
          <w:lang w:val="en-US"/>
        </w:rPr>
        <w:t>esilient to current and emerging threats</w:t>
      </w:r>
      <w:r w:rsidR="00FD6E1D" w:rsidRPr="00B16E6B">
        <w:rPr>
          <w:lang w:val="en-US"/>
        </w:rPr>
        <w:t xml:space="preserve"> including measures th</w:t>
      </w:r>
      <w:r w:rsidR="00E75DD1" w:rsidRPr="00B16E6B">
        <w:rPr>
          <w:lang w:val="en-US"/>
        </w:rPr>
        <w:t>at will strengthen the aviation and</w:t>
      </w:r>
      <w:r w:rsidR="00FD6E1D" w:rsidRPr="00B16E6B">
        <w:rPr>
          <w:lang w:val="en-US"/>
        </w:rPr>
        <w:t xml:space="preserve"> maritime sectors against all hazard th</w:t>
      </w:r>
      <w:r w:rsidR="00C72CF0" w:rsidRPr="00B16E6B">
        <w:rPr>
          <w:lang w:val="en-US"/>
        </w:rPr>
        <w:t>reats, including cyber security</w:t>
      </w:r>
    </w:p>
    <w:p w14:paraId="36664702" w14:textId="77777777" w:rsidR="00FD6E1D" w:rsidRPr="00B16E6B" w:rsidRDefault="006F4F96" w:rsidP="00A11AF5">
      <w:pPr>
        <w:pStyle w:val="ListParagraph"/>
        <w:numPr>
          <w:ilvl w:val="0"/>
          <w:numId w:val="21"/>
        </w:numPr>
        <w:spacing w:after="120" w:line="271" w:lineRule="auto"/>
        <w:ind w:left="714" w:hanging="357"/>
        <w:contextualSpacing w:val="0"/>
        <w:rPr>
          <w:lang w:val="en-US"/>
        </w:rPr>
      </w:pPr>
      <w:r w:rsidRPr="00B16E6B">
        <w:rPr>
          <w:b/>
          <w:bCs/>
          <w:lang w:val="en-US"/>
        </w:rPr>
        <w:t>e</w:t>
      </w:r>
      <w:r w:rsidR="00FD6E1D" w:rsidRPr="00B16E6B">
        <w:rPr>
          <w:b/>
          <w:bCs/>
          <w:lang w:val="en-US"/>
        </w:rPr>
        <w:t>ffective system testing program</w:t>
      </w:r>
      <w:r w:rsidR="00FD6E1D" w:rsidRPr="00B16E6B">
        <w:rPr>
          <w:lang w:val="en-US"/>
        </w:rPr>
        <w:t xml:space="preserve">, </w:t>
      </w:r>
      <w:r w:rsidR="00C72CF0" w:rsidRPr="00B16E6B">
        <w:rPr>
          <w:lang w:val="en-US"/>
        </w:rPr>
        <w:t>including measures that align with advances in technology, is risk</w:t>
      </w:r>
      <w:r w:rsidR="00C72CF0" w:rsidRPr="00B16E6B">
        <w:rPr>
          <w:lang w:val="en-US"/>
        </w:rPr>
        <w:noBreakHyphen/>
        <w:t>based and responsive to intelligence</w:t>
      </w:r>
    </w:p>
    <w:p w14:paraId="0CBED6D2" w14:textId="77777777" w:rsidR="00FD6E1D" w:rsidRPr="00B16E6B" w:rsidRDefault="006F4F96" w:rsidP="00A11AF5">
      <w:pPr>
        <w:pStyle w:val="ListParagraph"/>
        <w:numPr>
          <w:ilvl w:val="0"/>
          <w:numId w:val="21"/>
        </w:numPr>
        <w:spacing w:after="120" w:line="271" w:lineRule="auto"/>
        <w:ind w:left="714" w:hanging="357"/>
        <w:contextualSpacing w:val="0"/>
        <w:rPr>
          <w:lang w:val="en-US"/>
        </w:rPr>
      </w:pPr>
      <w:r w:rsidRPr="00B16E6B">
        <w:rPr>
          <w:b/>
          <w:bCs/>
          <w:lang w:val="en-US"/>
        </w:rPr>
        <w:t>r</w:t>
      </w:r>
      <w:r w:rsidR="00FD6E1D" w:rsidRPr="00B16E6B">
        <w:rPr>
          <w:b/>
          <w:bCs/>
          <w:lang w:val="en-US"/>
        </w:rPr>
        <w:t>obust compliance and enforcement framework</w:t>
      </w:r>
      <w:r w:rsidR="00FD6E1D" w:rsidRPr="00B16E6B">
        <w:rPr>
          <w:lang w:val="en-US"/>
        </w:rPr>
        <w:t xml:space="preserve"> including </w:t>
      </w:r>
      <w:r w:rsidR="00C72CF0" w:rsidRPr="00B16E6B">
        <w:rPr>
          <w:lang w:val="en-US"/>
        </w:rPr>
        <w:t>measures that will create consistency, allow the regulator to have scalable options to address non-compliance, and will reflect the evolving and diverse threat environment and the introduction of the all hazards security framework</w:t>
      </w:r>
      <w:r w:rsidR="00FD6E1D" w:rsidRPr="00B16E6B">
        <w:rPr>
          <w:lang w:val="en-US"/>
        </w:rPr>
        <w:t xml:space="preserve"> and </w:t>
      </w:r>
    </w:p>
    <w:p w14:paraId="1043E785" w14:textId="77777777" w:rsidR="00FD6E1D" w:rsidRPr="00B16E6B" w:rsidRDefault="006F4F96" w:rsidP="00A11AF5">
      <w:pPr>
        <w:pStyle w:val="ListParagraph"/>
        <w:numPr>
          <w:ilvl w:val="0"/>
          <w:numId w:val="21"/>
        </w:numPr>
        <w:spacing w:line="271" w:lineRule="auto"/>
        <w:rPr>
          <w:lang w:val="en-US"/>
        </w:rPr>
      </w:pPr>
      <w:proofErr w:type="spellStart"/>
      <w:r w:rsidRPr="00B16E6B">
        <w:rPr>
          <w:b/>
          <w:bCs/>
          <w:lang w:val="en-US"/>
        </w:rPr>
        <w:t>m</w:t>
      </w:r>
      <w:r w:rsidR="00FD6E1D" w:rsidRPr="00B16E6B">
        <w:rPr>
          <w:b/>
          <w:bCs/>
          <w:lang w:val="en-US"/>
        </w:rPr>
        <w:t>odernisation</w:t>
      </w:r>
      <w:proofErr w:type="spellEnd"/>
      <w:r w:rsidR="00FD6E1D" w:rsidRPr="00B16E6B">
        <w:rPr>
          <w:b/>
          <w:bCs/>
          <w:lang w:val="en-US"/>
        </w:rPr>
        <w:t xml:space="preserve"> and </w:t>
      </w:r>
      <w:r w:rsidR="00657979" w:rsidRPr="00B16E6B">
        <w:rPr>
          <w:b/>
          <w:bCs/>
          <w:lang w:val="en-US"/>
        </w:rPr>
        <w:t>proportionate regulation</w:t>
      </w:r>
      <w:r w:rsidR="00657979" w:rsidRPr="00B16E6B">
        <w:rPr>
          <w:lang w:val="en-US"/>
        </w:rPr>
        <w:t xml:space="preserve"> </w:t>
      </w:r>
      <w:r w:rsidR="00C72CF0" w:rsidRPr="00B16E6B">
        <w:rPr>
          <w:lang w:val="en-US"/>
        </w:rPr>
        <w:t>including</w:t>
      </w:r>
      <w:r w:rsidR="00FD6E1D" w:rsidRPr="00B16E6B">
        <w:rPr>
          <w:lang w:val="en-US"/>
        </w:rPr>
        <w:t xml:space="preserve"> measures that will remove elements of the transport security legislative frameworks, making it simpler for low-risk industry participants to meet requirements without reducing security outcomes.</w:t>
      </w:r>
    </w:p>
    <w:p w14:paraId="192F18B0" w14:textId="78400A1B" w:rsidR="009250C3" w:rsidRPr="00B16E6B" w:rsidRDefault="009250C3" w:rsidP="009613E1">
      <w:pPr>
        <w:spacing w:line="271" w:lineRule="auto"/>
        <w:rPr>
          <w:lang w:val="en-US"/>
        </w:rPr>
      </w:pPr>
      <w:r w:rsidRPr="00B16E6B">
        <w:rPr>
          <w:lang w:val="en-US"/>
        </w:rPr>
        <w:t xml:space="preserve">The proposed measures are </w:t>
      </w:r>
      <w:proofErr w:type="spellStart"/>
      <w:r w:rsidRPr="00B16E6B">
        <w:rPr>
          <w:lang w:val="en-US"/>
        </w:rPr>
        <w:t>summarised</w:t>
      </w:r>
      <w:proofErr w:type="spellEnd"/>
      <w:r w:rsidRPr="00B16E6B">
        <w:rPr>
          <w:lang w:val="en-US"/>
        </w:rPr>
        <w:t xml:space="preserve"> in the table below and those which may result in a relevant cost impact are provided in full detail in Appendix A.</w:t>
      </w:r>
    </w:p>
    <w:p w14:paraId="4BD0B6B4" w14:textId="3B14B029" w:rsidR="002E272D" w:rsidRPr="00B16E6B" w:rsidRDefault="002E272D" w:rsidP="009613E1">
      <w:pPr>
        <w:spacing w:line="271" w:lineRule="auto"/>
        <w:rPr>
          <w:lang w:val="en-US"/>
        </w:rPr>
      </w:pPr>
      <w:r w:rsidRPr="00B16E6B">
        <w:rPr>
          <w:lang w:val="en-US"/>
        </w:rPr>
        <w:t>C</w:t>
      </w:r>
      <w:r w:rsidR="00734100" w:rsidRPr="00B16E6B">
        <w:rPr>
          <w:lang w:val="en-US"/>
        </w:rPr>
        <w:t>onsultation with i</w:t>
      </w:r>
      <w:r w:rsidRPr="00B16E6B">
        <w:rPr>
          <w:lang w:val="en-US"/>
        </w:rPr>
        <w:t>ndustry on the first pass IA was held from 17</w:t>
      </w:r>
      <w:r w:rsidR="00734100" w:rsidRPr="00B16E6B">
        <w:rPr>
          <w:lang w:val="en-US"/>
        </w:rPr>
        <w:t xml:space="preserve"> October to 24 October 2024</w:t>
      </w:r>
      <w:r w:rsidRPr="00B16E6B">
        <w:rPr>
          <w:lang w:val="en-US"/>
        </w:rPr>
        <w:t xml:space="preserve">. </w:t>
      </w:r>
      <w:r w:rsidR="00EE74A7">
        <w:rPr>
          <w:lang w:val="en-US"/>
        </w:rPr>
        <w:t>The department received 10</w:t>
      </w:r>
      <w:r w:rsidR="0060569E" w:rsidRPr="00B16E6B">
        <w:rPr>
          <w:lang w:val="en-US"/>
        </w:rPr>
        <w:t xml:space="preserve"> responses – </w:t>
      </w:r>
      <w:r w:rsidR="00EE74A7">
        <w:rPr>
          <w:lang w:val="en-US"/>
        </w:rPr>
        <w:t>five</w:t>
      </w:r>
      <w:r w:rsidR="0060569E" w:rsidRPr="00B16E6B">
        <w:rPr>
          <w:lang w:val="en-US"/>
        </w:rPr>
        <w:t xml:space="preserve"> industry participants </w:t>
      </w:r>
      <w:r w:rsidR="008F3F1A" w:rsidRPr="00B16E6B">
        <w:rPr>
          <w:lang w:val="en-US"/>
        </w:rPr>
        <w:t xml:space="preserve">agreed with </w:t>
      </w:r>
      <w:r w:rsidR="0060569E" w:rsidRPr="00B16E6B">
        <w:rPr>
          <w:lang w:val="en-US"/>
        </w:rPr>
        <w:t>option 4</w:t>
      </w:r>
      <w:r w:rsidR="008F3F1A" w:rsidRPr="00B16E6B">
        <w:rPr>
          <w:lang w:val="en-US"/>
        </w:rPr>
        <w:t xml:space="preserve"> being</w:t>
      </w:r>
      <w:r w:rsidR="0060569E" w:rsidRPr="00B16E6B">
        <w:rPr>
          <w:lang w:val="en-US"/>
        </w:rPr>
        <w:t xml:space="preserve"> the best option</w:t>
      </w:r>
      <w:r w:rsidR="008F3F1A" w:rsidRPr="00B16E6B">
        <w:rPr>
          <w:lang w:val="en-US"/>
        </w:rPr>
        <w:t xml:space="preserve">, 1 industry participant considered option 3 to be more reasonable and the remainder were unable or did not provide a view, citing additional information on what the obligations </w:t>
      </w:r>
      <w:r w:rsidR="00B33BD7" w:rsidRPr="00B16E6B">
        <w:rPr>
          <w:lang w:val="en-US"/>
        </w:rPr>
        <w:t xml:space="preserve">would </w:t>
      </w:r>
      <w:r w:rsidR="00576CE6" w:rsidRPr="00B16E6B">
        <w:rPr>
          <w:lang w:val="en-US"/>
        </w:rPr>
        <w:t>b</w:t>
      </w:r>
      <w:r w:rsidR="00B33BD7" w:rsidRPr="00B16E6B">
        <w:rPr>
          <w:lang w:val="en-US"/>
        </w:rPr>
        <w:t>e</w:t>
      </w:r>
      <w:r w:rsidR="008F3F1A" w:rsidRPr="00B16E6B">
        <w:rPr>
          <w:lang w:val="en-US"/>
        </w:rPr>
        <w:t xml:space="preserve"> was needed </w:t>
      </w:r>
      <w:r w:rsidR="00B33BD7" w:rsidRPr="00B16E6B">
        <w:rPr>
          <w:lang w:val="en-US"/>
        </w:rPr>
        <w:t>to</w:t>
      </w:r>
      <w:r w:rsidR="008F3F1A" w:rsidRPr="00B16E6B">
        <w:rPr>
          <w:lang w:val="en-US"/>
        </w:rPr>
        <w:t xml:space="preserve"> form a view.</w:t>
      </w:r>
      <w:r w:rsidR="0060569E" w:rsidRPr="00B16E6B">
        <w:rPr>
          <w:lang w:val="en-US"/>
        </w:rPr>
        <w:t xml:space="preserve"> </w:t>
      </w:r>
      <w:r w:rsidR="00DE7474" w:rsidRPr="00B16E6B">
        <w:rPr>
          <w:lang w:val="en-US"/>
        </w:rPr>
        <w:t>Further details</w:t>
      </w:r>
      <w:r w:rsidR="00E95AFE" w:rsidRPr="00B16E6B">
        <w:rPr>
          <w:lang w:val="en-US"/>
        </w:rPr>
        <w:t xml:space="preserve"> of the</w:t>
      </w:r>
      <w:r w:rsidR="00DE7474" w:rsidRPr="00B16E6B">
        <w:rPr>
          <w:lang w:val="en-US"/>
        </w:rPr>
        <w:t xml:space="preserve"> outcomes of industry </w:t>
      </w:r>
      <w:r w:rsidR="00A65E36" w:rsidRPr="00B16E6B">
        <w:rPr>
          <w:lang w:val="en-US"/>
        </w:rPr>
        <w:t xml:space="preserve">consultation </w:t>
      </w:r>
      <w:r w:rsidR="00AB293B" w:rsidRPr="00B16E6B">
        <w:rPr>
          <w:lang w:val="en-US"/>
        </w:rPr>
        <w:t>are</w:t>
      </w:r>
      <w:r w:rsidR="00E95AFE" w:rsidRPr="00B16E6B">
        <w:rPr>
          <w:lang w:val="en-US"/>
        </w:rPr>
        <w:t xml:space="preserve"> provided in section 5.2.3 below.</w:t>
      </w:r>
      <w:r w:rsidRPr="00B16E6B">
        <w:rPr>
          <w:lang w:val="en-US"/>
        </w:rPr>
        <w:t xml:space="preserve"> </w:t>
      </w:r>
    </w:p>
    <w:p w14:paraId="5D466A94" w14:textId="77777777" w:rsidR="009250C3" w:rsidRPr="00B16E6B" w:rsidRDefault="009250C3" w:rsidP="009613E1">
      <w:pPr>
        <w:spacing w:after="200" w:line="271" w:lineRule="auto"/>
        <w:rPr>
          <w:lang w:val="en-US"/>
        </w:rPr>
      </w:pPr>
      <w:r w:rsidRPr="00B16E6B">
        <w:rPr>
          <w:lang w:val="en-US"/>
        </w:rPr>
        <w:br w:type="page"/>
      </w:r>
    </w:p>
    <w:p w14:paraId="2FBC8659" w14:textId="7BA0A234" w:rsidR="008016D2" w:rsidRPr="003F4663" w:rsidRDefault="00A027FB" w:rsidP="009613E1">
      <w:pPr>
        <w:spacing w:after="60" w:line="271" w:lineRule="auto"/>
        <w:rPr>
          <w:rFonts w:eastAsia="Times New Roman" w:cs="Arial"/>
          <w:b/>
          <w:bCs/>
          <w:i/>
          <w:iCs/>
          <w:color w:val="44546A"/>
          <w:sz w:val="18"/>
          <w:szCs w:val="18"/>
          <w:lang w:eastAsia="en-AU"/>
        </w:rPr>
      </w:pPr>
      <w:r w:rsidRPr="00B16E6B">
        <w:rPr>
          <w:rFonts w:eastAsia="Times New Roman" w:cs="Arial"/>
          <w:b/>
          <w:bCs/>
          <w:i/>
          <w:iCs/>
          <w:color w:val="44546A"/>
          <w:sz w:val="18"/>
          <w:szCs w:val="18"/>
          <w:lang w:eastAsia="en-AU"/>
        </w:rPr>
        <w:lastRenderedPageBreak/>
        <w:t xml:space="preserve">Table </w:t>
      </w:r>
      <w:r w:rsidR="003F4663" w:rsidRPr="00B16E6B">
        <w:rPr>
          <w:rFonts w:eastAsia="Times New Roman" w:cs="Arial"/>
          <w:b/>
          <w:bCs/>
          <w:i/>
          <w:iCs/>
          <w:color w:val="44546A"/>
          <w:sz w:val="18"/>
          <w:szCs w:val="18"/>
          <w:lang w:eastAsia="en-AU"/>
        </w:rPr>
        <w:t>1</w:t>
      </w:r>
      <w:r w:rsidR="003F4663" w:rsidRPr="003F4663">
        <w:rPr>
          <w:rFonts w:eastAsia="Times New Roman" w:cs="Arial"/>
          <w:b/>
          <w:bCs/>
          <w:i/>
          <w:iCs/>
          <w:color w:val="44546A"/>
          <w:sz w:val="18"/>
          <w:szCs w:val="18"/>
          <w:lang w:eastAsia="en-AU"/>
        </w:rPr>
        <w:t xml:space="preserve">0: </w:t>
      </w:r>
      <w:r w:rsidR="003F4663" w:rsidRPr="003F4663">
        <w:rPr>
          <w:rFonts w:eastAsia="Times New Roman" w:cs="Arial"/>
          <w:i/>
          <w:iCs/>
          <w:color w:val="44546A"/>
          <w:sz w:val="18"/>
          <w:szCs w:val="18"/>
          <w:lang w:eastAsia="en-AU"/>
        </w:rPr>
        <w:t>Proposed</w:t>
      </w:r>
      <w:r w:rsidR="008016D2" w:rsidRPr="003F4663">
        <w:rPr>
          <w:rFonts w:eastAsia="Times New Roman" w:cs="Arial"/>
          <w:i/>
          <w:iCs/>
          <w:color w:val="44546A"/>
          <w:sz w:val="18"/>
          <w:szCs w:val="18"/>
          <w:lang w:eastAsia="en-AU"/>
        </w:rPr>
        <w:t xml:space="preserve"> </w:t>
      </w:r>
      <w:r w:rsidR="002C5755" w:rsidRPr="003F4663">
        <w:rPr>
          <w:rFonts w:eastAsia="Times New Roman" w:cs="Arial"/>
          <w:i/>
          <w:iCs/>
          <w:color w:val="44546A"/>
          <w:sz w:val="18"/>
          <w:szCs w:val="18"/>
          <w:lang w:eastAsia="en-AU"/>
        </w:rPr>
        <w:t>measure</w:t>
      </w:r>
      <w:r w:rsidR="008016D2" w:rsidRPr="003F4663">
        <w:rPr>
          <w:rFonts w:eastAsia="Times New Roman" w:cs="Arial"/>
          <w:i/>
          <w:iCs/>
          <w:color w:val="44546A"/>
          <w:sz w:val="18"/>
          <w:szCs w:val="18"/>
          <w:lang w:eastAsia="en-AU"/>
        </w:rPr>
        <w:t>s</w:t>
      </w:r>
      <w:r w:rsidR="008016D2" w:rsidRPr="003F4663">
        <w:rPr>
          <w:rFonts w:eastAsia="Times New Roman" w:cs="Arial"/>
          <w:b/>
          <w:bCs/>
          <w:i/>
          <w:iCs/>
          <w:color w:val="44546A"/>
          <w:sz w:val="18"/>
          <w:szCs w:val="18"/>
          <w:lang w:eastAsia="en-AU"/>
        </w:rPr>
        <w:t> </w:t>
      </w:r>
    </w:p>
    <w:tbl>
      <w:tblPr>
        <w:tblStyle w:val="TableGrid"/>
        <w:tblW w:w="5238" w:type="pct"/>
        <w:tblInd w:w="-426"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53"/>
        <w:gridCol w:w="5672"/>
        <w:gridCol w:w="1872"/>
      </w:tblGrid>
      <w:tr w:rsidR="008016D2" w:rsidRPr="00B16E6B" w14:paraId="1ECF92DE" w14:textId="77777777" w:rsidTr="00A4302A">
        <w:tc>
          <w:tcPr>
            <w:tcW w:w="1264" w:type="pct"/>
            <w:tcBorders>
              <w:top w:val="single" w:sz="4" w:space="0" w:color="BFBFBF" w:themeColor="background2" w:themeShade="BF"/>
              <w:left w:val="nil"/>
              <w:bottom w:val="single" w:sz="4" w:space="0" w:color="D9D9D9" w:themeColor="background1" w:themeShade="D9"/>
              <w:right w:val="single" w:sz="4" w:space="0" w:color="D9D9D9" w:themeColor="background1" w:themeShade="D9"/>
            </w:tcBorders>
            <w:shd w:val="clear" w:color="auto" w:fill="1C2B39" w:themeFill="accent1"/>
            <w:vAlign w:val="center"/>
            <w:hideMark/>
          </w:tcPr>
          <w:p w14:paraId="6E7AC6A4" w14:textId="28FF7116" w:rsidR="008016D2" w:rsidRPr="00B16E6B" w:rsidRDefault="008016D2" w:rsidP="009613E1">
            <w:pPr>
              <w:spacing w:after="0" w:line="271" w:lineRule="auto"/>
              <w:jc w:val="center"/>
              <w:rPr>
                <w:rFonts w:eastAsiaTheme="minorHAnsi" w:cs="Arial"/>
                <w:b/>
                <w:sz w:val="18"/>
                <w:szCs w:val="20"/>
                <w:lang w:val="en-US"/>
              </w:rPr>
            </w:pPr>
            <w:r w:rsidRPr="00B16E6B">
              <w:rPr>
                <w:rFonts w:cs="Arial"/>
                <w:b/>
                <w:sz w:val="18"/>
                <w:szCs w:val="20"/>
                <w:lang w:val="en-US"/>
              </w:rPr>
              <w:t>Measure</w:t>
            </w:r>
          </w:p>
        </w:tc>
        <w:tc>
          <w:tcPr>
            <w:tcW w:w="2809" w:type="pct"/>
            <w:tcBorders>
              <w:top w:val="single" w:sz="4" w:space="0" w:color="BFBFBF" w:themeColor="background2"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C2B39" w:themeFill="accent1"/>
            <w:vAlign w:val="center"/>
            <w:hideMark/>
          </w:tcPr>
          <w:p w14:paraId="77237843" w14:textId="77777777" w:rsidR="008016D2" w:rsidRPr="00B16E6B" w:rsidRDefault="008016D2" w:rsidP="009613E1">
            <w:pPr>
              <w:spacing w:before="40" w:after="40" w:line="271" w:lineRule="auto"/>
              <w:jc w:val="center"/>
              <w:rPr>
                <w:rFonts w:cs="Arial"/>
                <w:b/>
                <w:sz w:val="18"/>
                <w:szCs w:val="20"/>
                <w:lang w:val="en-US"/>
              </w:rPr>
            </w:pPr>
            <w:r w:rsidRPr="00B16E6B">
              <w:rPr>
                <w:rFonts w:cs="Arial"/>
                <w:b/>
                <w:sz w:val="18"/>
                <w:szCs w:val="20"/>
                <w:lang w:val="en-US"/>
              </w:rPr>
              <w:t xml:space="preserve">Summary </w:t>
            </w:r>
          </w:p>
        </w:tc>
        <w:tc>
          <w:tcPr>
            <w:tcW w:w="927" w:type="pct"/>
            <w:tcBorders>
              <w:top w:val="single" w:sz="4" w:space="0" w:color="BFBFBF" w:themeColor="background2" w:themeShade="BF"/>
              <w:left w:val="single" w:sz="4" w:space="0" w:color="D9D9D9" w:themeColor="background1" w:themeShade="D9"/>
              <w:bottom w:val="single" w:sz="4" w:space="0" w:color="D9D9D9" w:themeColor="background1" w:themeShade="D9"/>
              <w:right w:val="nil"/>
            </w:tcBorders>
            <w:shd w:val="clear" w:color="auto" w:fill="1C2B39" w:themeFill="accent1"/>
            <w:vAlign w:val="center"/>
            <w:hideMark/>
          </w:tcPr>
          <w:p w14:paraId="26C997C1" w14:textId="77777777" w:rsidR="008016D2" w:rsidRPr="00B16E6B" w:rsidRDefault="008016D2" w:rsidP="009613E1">
            <w:pPr>
              <w:spacing w:after="0" w:line="271" w:lineRule="auto"/>
              <w:jc w:val="center"/>
              <w:rPr>
                <w:rFonts w:cs="Arial"/>
                <w:b/>
                <w:bCs/>
                <w:sz w:val="18"/>
                <w:szCs w:val="20"/>
                <w:lang w:val="en-US"/>
              </w:rPr>
            </w:pPr>
            <w:r w:rsidRPr="00B16E6B">
              <w:rPr>
                <w:rFonts w:cs="Arial"/>
                <w:b/>
                <w:bCs/>
                <w:sz w:val="18"/>
                <w:szCs w:val="20"/>
                <w:lang w:val="en-US"/>
              </w:rPr>
              <w:t>Affected sector</w:t>
            </w:r>
          </w:p>
        </w:tc>
      </w:tr>
      <w:tr w:rsidR="005000DA" w:rsidRPr="00B16E6B" w14:paraId="2F044D02" w14:textId="77777777" w:rsidTr="00A4302A">
        <w:trPr>
          <w:trHeight w:val="161"/>
        </w:trPr>
        <w:tc>
          <w:tcPr>
            <w:tcW w:w="1264" w:type="pct"/>
            <w:tcBorders>
              <w:top w:val="single" w:sz="4" w:space="0" w:color="D9D9D9" w:themeColor="background1" w:themeShade="D9"/>
              <w:left w:val="nil"/>
              <w:bottom w:val="single" w:sz="4" w:space="0" w:color="D9D9D9" w:themeColor="background1" w:themeShade="D9"/>
              <w:right w:val="nil"/>
            </w:tcBorders>
            <w:shd w:val="clear" w:color="auto" w:fill="E1E9F0" w:themeFill="accent1" w:themeFillTint="1A"/>
          </w:tcPr>
          <w:p w14:paraId="23681034" w14:textId="478B770D" w:rsidR="005000DA" w:rsidRPr="00B16E6B" w:rsidRDefault="005000DA" w:rsidP="005000DA">
            <w:pPr>
              <w:spacing w:before="40" w:after="40" w:line="271" w:lineRule="auto"/>
              <w:jc w:val="center"/>
              <w:rPr>
                <w:rFonts w:cs="Arial"/>
                <w:bCs/>
                <w:sz w:val="18"/>
                <w:szCs w:val="20"/>
                <w:lang w:val="en-US"/>
              </w:rPr>
            </w:pPr>
          </w:p>
        </w:tc>
        <w:tc>
          <w:tcPr>
            <w:tcW w:w="2809" w:type="pct"/>
            <w:tcBorders>
              <w:top w:val="single" w:sz="4" w:space="0" w:color="D9D9D9" w:themeColor="background1" w:themeShade="D9"/>
              <w:left w:val="nil"/>
              <w:bottom w:val="single" w:sz="4" w:space="0" w:color="D9D9D9" w:themeColor="background1" w:themeShade="D9"/>
              <w:right w:val="nil"/>
            </w:tcBorders>
            <w:shd w:val="clear" w:color="auto" w:fill="E1E9F0" w:themeFill="accent1" w:themeFillTint="1A"/>
          </w:tcPr>
          <w:p w14:paraId="6A425C27" w14:textId="0DEAC762" w:rsidR="005000DA" w:rsidRPr="00B16E6B" w:rsidRDefault="005000DA" w:rsidP="005000DA">
            <w:pPr>
              <w:spacing w:before="40" w:after="40" w:line="271" w:lineRule="auto"/>
              <w:jc w:val="center"/>
              <w:rPr>
                <w:rFonts w:cs="Arial"/>
                <w:bCs/>
                <w:sz w:val="18"/>
                <w:szCs w:val="20"/>
                <w:lang w:val="en-US"/>
              </w:rPr>
            </w:pPr>
            <w:r w:rsidRPr="00B16E6B">
              <w:rPr>
                <w:rFonts w:cs="Arial"/>
                <w:bCs/>
                <w:sz w:val="18"/>
                <w:szCs w:val="20"/>
              </w:rPr>
              <w:t>Resilient to current and emerging</w:t>
            </w:r>
            <w:r w:rsidR="00755E89">
              <w:rPr>
                <w:rFonts w:cs="Arial"/>
                <w:bCs/>
                <w:sz w:val="18"/>
                <w:szCs w:val="20"/>
              </w:rPr>
              <w:t xml:space="preserve"> </w:t>
            </w:r>
            <w:r w:rsidRPr="00B16E6B">
              <w:rPr>
                <w:rFonts w:cs="Arial"/>
                <w:bCs/>
                <w:sz w:val="18"/>
                <w:szCs w:val="20"/>
              </w:rPr>
              <w:t>threats</w:t>
            </w:r>
          </w:p>
        </w:tc>
        <w:tc>
          <w:tcPr>
            <w:tcW w:w="927" w:type="pct"/>
            <w:tcBorders>
              <w:top w:val="single" w:sz="4" w:space="0" w:color="D9D9D9" w:themeColor="background1" w:themeShade="D9"/>
              <w:left w:val="nil"/>
              <w:bottom w:val="single" w:sz="4" w:space="0" w:color="D9D9D9" w:themeColor="background1" w:themeShade="D9"/>
              <w:right w:val="nil"/>
            </w:tcBorders>
            <w:shd w:val="clear" w:color="auto" w:fill="E1E9F0" w:themeFill="accent1" w:themeFillTint="1A"/>
          </w:tcPr>
          <w:p w14:paraId="1C421AA1" w14:textId="73EB42A1" w:rsidR="005000DA" w:rsidRPr="00B16E6B" w:rsidRDefault="005000DA" w:rsidP="005000DA">
            <w:pPr>
              <w:spacing w:before="40" w:after="40" w:line="271" w:lineRule="auto"/>
              <w:jc w:val="center"/>
              <w:rPr>
                <w:rFonts w:cs="Arial"/>
                <w:bCs/>
                <w:sz w:val="18"/>
                <w:szCs w:val="20"/>
                <w:lang w:val="en-US"/>
              </w:rPr>
            </w:pPr>
          </w:p>
        </w:tc>
      </w:tr>
      <w:tr w:rsidR="005000DA" w:rsidRPr="00B16E6B" w14:paraId="62266F9E" w14:textId="77777777" w:rsidTr="00A4302A">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hideMark/>
          </w:tcPr>
          <w:p w14:paraId="6BFAB887" w14:textId="3EADB206" w:rsidR="005000DA" w:rsidRPr="00755E89" w:rsidRDefault="005000DA" w:rsidP="005000DA">
            <w:pPr>
              <w:spacing w:after="0" w:line="271" w:lineRule="auto"/>
              <w:rPr>
                <w:rFonts w:cs="Arial"/>
                <w:sz w:val="17"/>
                <w:szCs w:val="17"/>
                <w:lang w:val="en-US"/>
              </w:rPr>
            </w:pPr>
            <w:r w:rsidRPr="00B16E6B">
              <w:rPr>
                <w:rFonts w:cs="Arial"/>
                <w:sz w:val="17"/>
                <w:szCs w:val="17"/>
                <w:lang w:val="en-US"/>
              </w:rPr>
              <w:t>1</w:t>
            </w:r>
            <w:r w:rsidR="00755E89">
              <w:rPr>
                <w:rFonts w:cs="Arial"/>
                <w:sz w:val="17"/>
                <w:szCs w:val="17"/>
                <w:lang w:val="en-US"/>
              </w:rPr>
              <w:t xml:space="preserve">. </w:t>
            </w:r>
            <w:r w:rsidRPr="00B16E6B">
              <w:rPr>
                <w:rFonts w:cs="Arial"/>
                <w:sz w:val="17"/>
                <w:szCs w:val="17"/>
              </w:rPr>
              <w:t>Unlawful interference</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C86047D" w14:textId="57850F9B" w:rsidR="005000DA" w:rsidRPr="00B16E6B" w:rsidRDefault="005000DA" w:rsidP="005000DA">
            <w:pPr>
              <w:spacing w:before="20" w:after="20" w:line="271" w:lineRule="auto"/>
              <w:rPr>
                <w:rFonts w:cs="Arial"/>
                <w:sz w:val="17"/>
                <w:szCs w:val="17"/>
              </w:rPr>
            </w:pPr>
            <w:r w:rsidRPr="00B16E6B">
              <w:rPr>
                <w:rFonts w:cs="Arial"/>
                <w:sz w:val="17"/>
                <w:szCs w:val="17"/>
              </w:rPr>
              <w:t>Expand the definition of unlawful interference and security incident reporting requirements to capture a variety of acts, including cyber security incidents</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0C66E330" w14:textId="77777777" w:rsidR="005000DA" w:rsidRPr="00B16E6B" w:rsidRDefault="005000DA" w:rsidP="005000DA">
            <w:pPr>
              <w:spacing w:after="0" w:line="271" w:lineRule="auto"/>
              <w:rPr>
                <w:rFonts w:cs="Arial"/>
                <w:sz w:val="17"/>
                <w:szCs w:val="17"/>
              </w:rPr>
            </w:pPr>
            <w:r w:rsidRPr="00B16E6B">
              <w:rPr>
                <w:rFonts w:cs="Arial"/>
                <w:sz w:val="17"/>
                <w:szCs w:val="17"/>
              </w:rPr>
              <w:t>Aviation and maritime sectors</w:t>
            </w:r>
          </w:p>
        </w:tc>
      </w:tr>
      <w:tr w:rsidR="00A4302A" w:rsidRPr="00B16E6B" w14:paraId="17238AB9" w14:textId="77777777" w:rsidTr="00A4302A">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hideMark/>
          </w:tcPr>
          <w:p w14:paraId="27BB42D9" w14:textId="51F3B1AE" w:rsidR="00A4302A" w:rsidRPr="00A4302A" w:rsidRDefault="00A4302A" w:rsidP="005000DA">
            <w:pPr>
              <w:spacing w:after="0" w:line="271" w:lineRule="auto"/>
              <w:rPr>
                <w:rFonts w:cs="Arial"/>
                <w:sz w:val="17"/>
                <w:szCs w:val="17"/>
                <w:lang w:val="en-US"/>
              </w:rPr>
            </w:pPr>
            <w:r w:rsidRPr="00B16E6B">
              <w:rPr>
                <w:rFonts w:cs="Arial"/>
                <w:sz w:val="17"/>
                <w:szCs w:val="17"/>
                <w:lang w:val="en-US"/>
              </w:rPr>
              <w:t>2</w:t>
            </w:r>
            <w:r>
              <w:rPr>
                <w:rFonts w:cs="Arial"/>
                <w:sz w:val="17"/>
                <w:szCs w:val="17"/>
                <w:lang w:val="en-US"/>
              </w:rPr>
              <w:t xml:space="preserve">. </w:t>
            </w:r>
            <w:r w:rsidRPr="00B16E6B">
              <w:rPr>
                <w:rFonts w:cs="Arial"/>
                <w:sz w:val="17"/>
                <w:szCs w:val="17"/>
              </w:rPr>
              <w:t>All hazards</w:t>
            </w:r>
          </w:p>
          <w:p w14:paraId="56003C7F" w14:textId="77777777" w:rsidR="00A4302A" w:rsidRPr="00B16E6B" w:rsidRDefault="00A4302A" w:rsidP="005000DA">
            <w:pPr>
              <w:spacing w:after="0" w:line="271" w:lineRule="auto"/>
              <w:rPr>
                <w:rFonts w:cs="Arial"/>
                <w:sz w:val="17"/>
                <w:szCs w:val="17"/>
              </w:rPr>
            </w:pP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21DC0C8" w14:textId="4647AC9F" w:rsidR="00A4302A" w:rsidRPr="00B16E6B" w:rsidRDefault="00A4302A" w:rsidP="005000DA">
            <w:pPr>
              <w:spacing w:before="20" w:after="20" w:line="271" w:lineRule="auto"/>
              <w:rPr>
                <w:rFonts w:cs="Arial"/>
                <w:sz w:val="17"/>
                <w:szCs w:val="17"/>
              </w:rPr>
            </w:pPr>
            <w:r w:rsidRPr="00B16E6B">
              <w:rPr>
                <w:rFonts w:cs="Arial"/>
                <w:sz w:val="17"/>
                <w:szCs w:val="17"/>
              </w:rPr>
              <w:t xml:space="preserve">Introduce all hazard security obligations. How the obligations apply to individual industry cohorts are outlined in Appendix </w:t>
            </w:r>
            <w:r w:rsidRPr="00B16E6B">
              <w:rPr>
                <w:rStyle w:val="CommentReference"/>
                <w:rFonts w:eastAsiaTheme="minorHAnsi"/>
                <w:sz w:val="17"/>
                <w:szCs w:val="17"/>
              </w:rPr>
              <w:t>B</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2A79A108" w14:textId="77777777" w:rsidR="00A4302A" w:rsidRPr="00B16E6B" w:rsidRDefault="00A4302A" w:rsidP="005000DA">
            <w:pPr>
              <w:spacing w:after="0" w:line="271" w:lineRule="auto"/>
              <w:rPr>
                <w:rFonts w:cs="Arial"/>
                <w:sz w:val="17"/>
                <w:szCs w:val="17"/>
              </w:rPr>
            </w:pPr>
            <w:r w:rsidRPr="00B16E6B">
              <w:rPr>
                <w:rFonts w:cs="Arial"/>
                <w:sz w:val="17"/>
                <w:szCs w:val="17"/>
              </w:rPr>
              <w:t>Aviation and maritime sectors</w:t>
            </w:r>
          </w:p>
        </w:tc>
      </w:tr>
      <w:tr w:rsidR="00A4302A" w:rsidRPr="00B16E6B" w14:paraId="2E6E249D" w14:textId="77777777" w:rsidTr="00A4302A">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hideMark/>
          </w:tcPr>
          <w:p w14:paraId="5782176B" w14:textId="637065B1" w:rsidR="00A4302A" w:rsidRPr="006527EE" w:rsidRDefault="00A4302A" w:rsidP="005000DA">
            <w:pPr>
              <w:spacing w:after="0" w:line="271" w:lineRule="auto"/>
              <w:rPr>
                <w:rFonts w:cs="Arial"/>
                <w:sz w:val="17"/>
                <w:szCs w:val="17"/>
                <w:lang w:val="en-US"/>
              </w:rPr>
            </w:pPr>
            <w:r w:rsidRPr="00B16E6B">
              <w:rPr>
                <w:rFonts w:cs="Arial"/>
                <w:sz w:val="17"/>
                <w:szCs w:val="17"/>
                <w:lang w:val="en-US"/>
              </w:rPr>
              <w:t>3</w:t>
            </w:r>
            <w:r w:rsidR="006527EE">
              <w:rPr>
                <w:rFonts w:cs="Arial"/>
                <w:sz w:val="17"/>
                <w:szCs w:val="17"/>
                <w:lang w:val="en-US"/>
              </w:rPr>
              <w:t xml:space="preserve">. </w:t>
            </w:r>
            <w:r w:rsidRPr="00B16E6B">
              <w:rPr>
                <w:rFonts w:cs="Arial"/>
                <w:sz w:val="17"/>
                <w:szCs w:val="17"/>
              </w:rPr>
              <w:t>Security controlled activities</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4C936F8" w14:textId="25037C90" w:rsidR="00A4302A" w:rsidRPr="00B16E6B" w:rsidRDefault="00A4302A" w:rsidP="005000DA">
            <w:pPr>
              <w:spacing w:before="20" w:after="20" w:line="271" w:lineRule="auto"/>
              <w:rPr>
                <w:rFonts w:cs="Arial"/>
                <w:sz w:val="17"/>
                <w:szCs w:val="17"/>
              </w:rPr>
            </w:pPr>
            <w:r w:rsidRPr="00B16E6B">
              <w:rPr>
                <w:rFonts w:cs="Arial"/>
                <w:sz w:val="17"/>
                <w:szCs w:val="17"/>
              </w:rPr>
              <w:t>Introduce a requirement for industry to identify and mitigate risks associated with personnel who have access to, or influence over, secure areas, or critical systems, remotely</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264E8C6E" w14:textId="77777777" w:rsidR="00A4302A" w:rsidRPr="00B16E6B" w:rsidRDefault="00A4302A" w:rsidP="005000DA">
            <w:pPr>
              <w:spacing w:after="0" w:line="271" w:lineRule="auto"/>
              <w:rPr>
                <w:rFonts w:cs="Arial"/>
                <w:sz w:val="17"/>
                <w:szCs w:val="17"/>
              </w:rPr>
            </w:pPr>
            <w:r w:rsidRPr="00B16E6B">
              <w:rPr>
                <w:rFonts w:cs="Arial"/>
                <w:sz w:val="17"/>
                <w:szCs w:val="17"/>
              </w:rPr>
              <w:t>Aviation and maritime sectors</w:t>
            </w:r>
          </w:p>
        </w:tc>
      </w:tr>
      <w:tr w:rsidR="00A4302A" w:rsidRPr="00B16E6B" w14:paraId="7DA83312" w14:textId="0AFA6FE1" w:rsidTr="00A4302A">
        <w:trPr>
          <w:trHeight w:val="77"/>
        </w:trPr>
        <w:tc>
          <w:tcPr>
            <w:tcW w:w="1264" w:type="pct"/>
            <w:tcBorders>
              <w:top w:val="single" w:sz="4" w:space="0" w:color="D9D9D9" w:themeColor="background1" w:themeShade="D9"/>
              <w:left w:val="nil"/>
              <w:bottom w:val="single" w:sz="4" w:space="0" w:color="D9D9D9" w:themeColor="background1" w:themeShade="D9"/>
              <w:right w:val="nil"/>
            </w:tcBorders>
            <w:shd w:val="clear" w:color="auto" w:fill="E1E9F0" w:themeFill="accent1" w:themeFillTint="1A"/>
            <w:vAlign w:val="center"/>
            <w:hideMark/>
          </w:tcPr>
          <w:p w14:paraId="741E76D3" w14:textId="7BDAA93A" w:rsidR="00A4302A" w:rsidRPr="00B16E6B" w:rsidRDefault="00A4302A" w:rsidP="005000DA">
            <w:pPr>
              <w:spacing w:before="40" w:after="40" w:line="271" w:lineRule="auto"/>
              <w:jc w:val="center"/>
              <w:rPr>
                <w:rFonts w:cs="Arial"/>
                <w:bCs/>
                <w:sz w:val="20"/>
                <w:szCs w:val="20"/>
              </w:rPr>
            </w:pPr>
            <w:bookmarkStart w:id="7" w:name="_Hlk161331327"/>
          </w:p>
        </w:tc>
        <w:tc>
          <w:tcPr>
            <w:tcW w:w="2809" w:type="pct"/>
            <w:tcBorders>
              <w:top w:val="single" w:sz="4" w:space="0" w:color="D9D9D9" w:themeColor="background1" w:themeShade="D9"/>
              <w:left w:val="nil"/>
              <w:bottom w:val="single" w:sz="4" w:space="0" w:color="D9D9D9" w:themeColor="background1" w:themeShade="D9"/>
              <w:right w:val="nil"/>
            </w:tcBorders>
            <w:shd w:val="clear" w:color="auto" w:fill="E1E9F0" w:themeFill="accent1" w:themeFillTint="1A"/>
            <w:vAlign w:val="center"/>
          </w:tcPr>
          <w:p w14:paraId="4FC180E6" w14:textId="0E9B0BDC" w:rsidR="00A4302A" w:rsidRPr="00B16E6B" w:rsidRDefault="00A4302A" w:rsidP="005000DA">
            <w:pPr>
              <w:spacing w:before="40" w:after="40" w:line="271" w:lineRule="auto"/>
              <w:jc w:val="center"/>
              <w:rPr>
                <w:rFonts w:cs="Arial"/>
                <w:bCs/>
                <w:sz w:val="20"/>
                <w:szCs w:val="20"/>
              </w:rPr>
            </w:pPr>
            <w:r w:rsidRPr="00B16E6B">
              <w:rPr>
                <w:rFonts w:cs="Arial"/>
                <w:bCs/>
                <w:sz w:val="18"/>
                <w:szCs w:val="20"/>
              </w:rPr>
              <w:t>Effective system testing program</w:t>
            </w:r>
          </w:p>
        </w:tc>
        <w:tc>
          <w:tcPr>
            <w:tcW w:w="927" w:type="pct"/>
            <w:tcBorders>
              <w:top w:val="single" w:sz="4" w:space="0" w:color="D9D9D9" w:themeColor="background1" w:themeShade="D9"/>
              <w:left w:val="nil"/>
              <w:bottom w:val="single" w:sz="4" w:space="0" w:color="D9D9D9" w:themeColor="background1" w:themeShade="D9"/>
              <w:right w:val="nil"/>
            </w:tcBorders>
            <w:shd w:val="clear" w:color="auto" w:fill="E1E9F0" w:themeFill="accent1" w:themeFillTint="1A"/>
            <w:vAlign w:val="center"/>
          </w:tcPr>
          <w:p w14:paraId="527F6DE8" w14:textId="57730F4A" w:rsidR="00A4302A" w:rsidRPr="00B16E6B" w:rsidRDefault="00A4302A" w:rsidP="005000DA">
            <w:pPr>
              <w:spacing w:before="40" w:after="40" w:line="271" w:lineRule="auto"/>
              <w:jc w:val="center"/>
              <w:rPr>
                <w:rFonts w:cs="Arial"/>
                <w:bCs/>
                <w:sz w:val="20"/>
                <w:szCs w:val="20"/>
              </w:rPr>
            </w:pPr>
          </w:p>
        </w:tc>
        <w:bookmarkEnd w:id="7"/>
      </w:tr>
      <w:tr w:rsidR="00A4302A" w:rsidRPr="00B16E6B" w14:paraId="4B11A3C1" w14:textId="77777777" w:rsidTr="00A4302A">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hideMark/>
          </w:tcPr>
          <w:p w14:paraId="27E0611F" w14:textId="7DB23D88" w:rsidR="00A4302A" w:rsidRPr="00236F90" w:rsidRDefault="00A4302A" w:rsidP="005000DA">
            <w:pPr>
              <w:spacing w:after="0" w:line="271" w:lineRule="auto"/>
              <w:rPr>
                <w:rFonts w:cs="Arial"/>
                <w:sz w:val="17"/>
                <w:szCs w:val="17"/>
                <w:lang w:val="en-US"/>
              </w:rPr>
            </w:pPr>
            <w:r w:rsidRPr="00B16E6B">
              <w:rPr>
                <w:rFonts w:cs="Arial"/>
                <w:sz w:val="17"/>
                <w:szCs w:val="17"/>
                <w:lang w:val="en-US"/>
              </w:rPr>
              <w:t>4</w:t>
            </w:r>
            <w:r w:rsidR="00236F90">
              <w:rPr>
                <w:rFonts w:cs="Arial"/>
                <w:sz w:val="17"/>
                <w:szCs w:val="17"/>
                <w:lang w:val="en-US"/>
              </w:rPr>
              <w:t xml:space="preserve">. </w:t>
            </w:r>
            <w:r w:rsidRPr="00B16E6B">
              <w:rPr>
                <w:rFonts w:cs="Arial"/>
                <w:sz w:val="17"/>
                <w:szCs w:val="17"/>
              </w:rPr>
              <w:t>Test weapon definition</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5FA9C41" w14:textId="77777777" w:rsidR="00A4302A" w:rsidRPr="00B16E6B" w:rsidRDefault="00A4302A" w:rsidP="005000DA">
            <w:pPr>
              <w:spacing w:before="20" w:after="20" w:line="271" w:lineRule="auto"/>
              <w:rPr>
                <w:rFonts w:cs="Arial"/>
                <w:sz w:val="17"/>
                <w:szCs w:val="17"/>
              </w:rPr>
            </w:pPr>
            <w:r w:rsidRPr="00B16E6B">
              <w:rPr>
                <w:rFonts w:cs="Arial"/>
                <w:sz w:val="17"/>
                <w:szCs w:val="17"/>
              </w:rPr>
              <w:t>Amend the definition of test weapons to align with likely threat scenarios</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5A495A14" w14:textId="77777777" w:rsidR="00A4302A" w:rsidRPr="00B16E6B" w:rsidRDefault="00A4302A" w:rsidP="005000DA">
            <w:pPr>
              <w:spacing w:after="0" w:line="271" w:lineRule="auto"/>
              <w:rPr>
                <w:rFonts w:cs="Arial"/>
                <w:sz w:val="17"/>
                <w:szCs w:val="17"/>
              </w:rPr>
            </w:pPr>
            <w:r w:rsidRPr="00B16E6B">
              <w:rPr>
                <w:rFonts w:cs="Arial"/>
                <w:sz w:val="17"/>
                <w:szCs w:val="17"/>
              </w:rPr>
              <w:t>Aviation sector</w:t>
            </w:r>
          </w:p>
        </w:tc>
      </w:tr>
      <w:tr w:rsidR="00A4302A" w:rsidRPr="00B16E6B" w14:paraId="0E146101" w14:textId="77777777" w:rsidTr="00A4302A">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hideMark/>
          </w:tcPr>
          <w:p w14:paraId="42F0CA1A" w14:textId="50A5453B" w:rsidR="00A4302A" w:rsidRPr="00236F90" w:rsidRDefault="00A4302A" w:rsidP="005000DA">
            <w:pPr>
              <w:spacing w:after="0" w:line="271" w:lineRule="auto"/>
              <w:rPr>
                <w:rFonts w:cs="Arial"/>
                <w:sz w:val="17"/>
                <w:szCs w:val="17"/>
                <w:lang w:val="en-US"/>
              </w:rPr>
            </w:pPr>
            <w:r w:rsidRPr="00B16E6B">
              <w:rPr>
                <w:rFonts w:cs="Arial"/>
                <w:sz w:val="17"/>
                <w:szCs w:val="17"/>
                <w:lang w:val="en-US"/>
              </w:rPr>
              <w:t>5</w:t>
            </w:r>
            <w:r w:rsidR="00236F90">
              <w:rPr>
                <w:rFonts w:cs="Arial"/>
                <w:sz w:val="17"/>
                <w:szCs w:val="17"/>
                <w:lang w:val="en-US"/>
              </w:rPr>
              <w:t xml:space="preserve">. </w:t>
            </w:r>
            <w:r w:rsidRPr="00B16E6B">
              <w:rPr>
                <w:rFonts w:cs="Arial"/>
                <w:sz w:val="17"/>
                <w:szCs w:val="17"/>
              </w:rPr>
              <w:t>Vulnerability testing</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A861DFD" w14:textId="17FDE6DA" w:rsidR="00A4302A" w:rsidRPr="00B16E6B" w:rsidRDefault="00A4302A" w:rsidP="005000DA">
            <w:pPr>
              <w:spacing w:before="20" w:after="20" w:line="271" w:lineRule="auto"/>
              <w:rPr>
                <w:rFonts w:cs="Arial"/>
                <w:sz w:val="17"/>
                <w:szCs w:val="17"/>
              </w:rPr>
            </w:pPr>
            <w:r w:rsidRPr="00B16E6B">
              <w:rPr>
                <w:rFonts w:cs="Arial"/>
                <w:sz w:val="17"/>
                <w:szCs w:val="17"/>
              </w:rPr>
              <w:t>Introduce vulnerability testing on Australian aviation and maritime security systems. Vulnerability testing involves a department officer acting as an adversary who has both the intent and capability to exploit a security system in an attempt to expose weaknesses. The proposed frequency and plan of vulnerability testing is not yet determined.</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763944E1" w14:textId="77777777" w:rsidR="00A4302A" w:rsidRPr="00B16E6B" w:rsidRDefault="00A4302A" w:rsidP="005000DA">
            <w:pPr>
              <w:spacing w:after="0" w:line="271" w:lineRule="auto"/>
              <w:rPr>
                <w:rFonts w:cs="Arial"/>
                <w:sz w:val="17"/>
                <w:szCs w:val="17"/>
              </w:rPr>
            </w:pPr>
            <w:r w:rsidRPr="00B16E6B">
              <w:rPr>
                <w:rFonts w:cs="Arial"/>
                <w:sz w:val="17"/>
                <w:szCs w:val="17"/>
              </w:rPr>
              <w:t>Aviation sector</w:t>
            </w:r>
          </w:p>
        </w:tc>
      </w:tr>
      <w:tr w:rsidR="00A4302A" w:rsidRPr="00B16E6B" w14:paraId="30A58E26" w14:textId="77777777" w:rsidTr="00A4302A">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hideMark/>
          </w:tcPr>
          <w:p w14:paraId="5137B5EE" w14:textId="199F95DC" w:rsidR="00A4302A" w:rsidRPr="00236F90" w:rsidRDefault="00A4302A" w:rsidP="005000DA">
            <w:pPr>
              <w:spacing w:after="0" w:line="271" w:lineRule="auto"/>
              <w:rPr>
                <w:rFonts w:cs="Arial"/>
                <w:sz w:val="17"/>
                <w:szCs w:val="17"/>
                <w:lang w:val="en-US"/>
              </w:rPr>
            </w:pPr>
            <w:r w:rsidRPr="00B16E6B">
              <w:rPr>
                <w:rFonts w:cs="Arial"/>
                <w:sz w:val="17"/>
                <w:szCs w:val="17"/>
                <w:lang w:val="en-US"/>
              </w:rPr>
              <w:t>6</w:t>
            </w:r>
            <w:r w:rsidR="00236F90">
              <w:rPr>
                <w:rFonts w:cs="Arial"/>
                <w:sz w:val="17"/>
                <w:szCs w:val="17"/>
                <w:lang w:val="en-US"/>
              </w:rPr>
              <w:t xml:space="preserve">. </w:t>
            </w:r>
            <w:r w:rsidRPr="00B16E6B">
              <w:rPr>
                <w:rFonts w:cs="Arial"/>
                <w:sz w:val="17"/>
                <w:szCs w:val="17"/>
              </w:rPr>
              <w:t>Maritime systems testing</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14B4B98" w14:textId="53597BD8" w:rsidR="00A4302A" w:rsidRPr="00B16E6B" w:rsidRDefault="00A4302A" w:rsidP="005000DA">
            <w:pPr>
              <w:spacing w:before="20" w:after="20" w:line="271" w:lineRule="auto"/>
              <w:rPr>
                <w:rFonts w:cs="Arial"/>
                <w:sz w:val="17"/>
                <w:szCs w:val="17"/>
              </w:rPr>
            </w:pPr>
            <w:r w:rsidRPr="00B16E6B">
              <w:rPr>
                <w:rFonts w:cs="Arial"/>
                <w:sz w:val="17"/>
                <w:szCs w:val="17"/>
              </w:rPr>
              <w:t>Introduce maritime system and vulnerability testing and provide Maritime Security Inspectors (MSIs) with equivalent protection and powers that Aviation Security Inspectors (ASIs) currently possess. A system test is designed to test a security screening system as a whole, including screening equipment and screening officers. These tests are used to determine whether the measures and procedures at a screening point are effectively implemented to detect weapons, and prevent their carriage into a secure area.</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209FE1C9" w14:textId="77777777" w:rsidR="00A4302A" w:rsidRPr="00B16E6B" w:rsidRDefault="00A4302A" w:rsidP="005000DA">
            <w:pPr>
              <w:spacing w:after="0" w:line="271" w:lineRule="auto"/>
              <w:rPr>
                <w:rFonts w:cs="Arial"/>
                <w:sz w:val="17"/>
                <w:szCs w:val="17"/>
              </w:rPr>
            </w:pPr>
            <w:r w:rsidRPr="00B16E6B">
              <w:rPr>
                <w:rFonts w:cs="Arial"/>
                <w:sz w:val="17"/>
                <w:szCs w:val="17"/>
              </w:rPr>
              <w:t>Maritime sector</w:t>
            </w:r>
          </w:p>
        </w:tc>
      </w:tr>
      <w:tr w:rsidR="00A4302A" w:rsidRPr="00B16E6B" w14:paraId="0C90888F" w14:textId="77777777" w:rsidTr="00A4302A">
        <w:trPr>
          <w:trHeight w:val="77"/>
        </w:trPr>
        <w:tc>
          <w:tcPr>
            <w:tcW w:w="1264" w:type="pct"/>
            <w:tcBorders>
              <w:top w:val="single" w:sz="4" w:space="0" w:color="D9D9D9" w:themeColor="background1" w:themeShade="D9"/>
              <w:left w:val="nil"/>
              <w:bottom w:val="single" w:sz="4" w:space="0" w:color="D9D9D9" w:themeColor="background1" w:themeShade="D9"/>
              <w:right w:val="nil"/>
            </w:tcBorders>
            <w:shd w:val="clear" w:color="auto" w:fill="E1E9F0" w:themeFill="accent1" w:themeFillTint="1A"/>
            <w:vAlign w:val="center"/>
            <w:hideMark/>
          </w:tcPr>
          <w:p w14:paraId="37839E10" w14:textId="4F52640E" w:rsidR="00A4302A" w:rsidRPr="00B16E6B" w:rsidRDefault="00A4302A" w:rsidP="005000DA">
            <w:pPr>
              <w:spacing w:before="40" w:after="40" w:line="271" w:lineRule="auto"/>
              <w:jc w:val="center"/>
              <w:rPr>
                <w:rFonts w:cs="Arial"/>
                <w:bCs/>
                <w:color w:val="FFFFFF" w:themeColor="background1"/>
                <w:sz w:val="20"/>
                <w:szCs w:val="20"/>
              </w:rPr>
            </w:pPr>
          </w:p>
        </w:tc>
        <w:tc>
          <w:tcPr>
            <w:tcW w:w="2809" w:type="pct"/>
            <w:tcBorders>
              <w:top w:val="single" w:sz="4" w:space="0" w:color="D9D9D9" w:themeColor="background1" w:themeShade="D9"/>
              <w:left w:val="nil"/>
              <w:bottom w:val="single" w:sz="4" w:space="0" w:color="D9D9D9" w:themeColor="background1" w:themeShade="D9"/>
              <w:right w:val="nil"/>
            </w:tcBorders>
            <w:shd w:val="clear" w:color="auto" w:fill="E1E9F0" w:themeFill="accent1" w:themeFillTint="1A"/>
            <w:vAlign w:val="center"/>
          </w:tcPr>
          <w:p w14:paraId="4F53947E" w14:textId="4C66346D" w:rsidR="00A4302A" w:rsidRPr="00B16E6B" w:rsidRDefault="00A4302A" w:rsidP="005000DA">
            <w:pPr>
              <w:spacing w:before="40" w:after="40" w:line="271" w:lineRule="auto"/>
              <w:jc w:val="center"/>
              <w:rPr>
                <w:rFonts w:cs="Arial"/>
                <w:bCs/>
                <w:color w:val="FFFFFF" w:themeColor="background1"/>
                <w:sz w:val="20"/>
                <w:szCs w:val="20"/>
              </w:rPr>
            </w:pPr>
            <w:r w:rsidRPr="00B16E6B">
              <w:rPr>
                <w:rFonts w:cs="Arial"/>
                <w:bCs/>
                <w:sz w:val="18"/>
                <w:szCs w:val="20"/>
              </w:rPr>
              <w:t>Robust compliance and enforcement framework</w:t>
            </w:r>
          </w:p>
        </w:tc>
        <w:tc>
          <w:tcPr>
            <w:tcW w:w="927" w:type="pct"/>
            <w:tcBorders>
              <w:top w:val="single" w:sz="4" w:space="0" w:color="D9D9D9" w:themeColor="background1" w:themeShade="D9"/>
              <w:left w:val="nil"/>
              <w:bottom w:val="single" w:sz="4" w:space="0" w:color="D9D9D9" w:themeColor="background1" w:themeShade="D9"/>
              <w:right w:val="nil"/>
            </w:tcBorders>
            <w:shd w:val="clear" w:color="auto" w:fill="E1E9F0" w:themeFill="accent1" w:themeFillTint="1A"/>
            <w:vAlign w:val="center"/>
          </w:tcPr>
          <w:p w14:paraId="5A4B0F23" w14:textId="3A7F0F88" w:rsidR="00A4302A" w:rsidRPr="00B16E6B" w:rsidRDefault="00A4302A" w:rsidP="005000DA">
            <w:pPr>
              <w:spacing w:before="40" w:after="40" w:line="271" w:lineRule="auto"/>
              <w:jc w:val="center"/>
              <w:rPr>
                <w:rFonts w:cs="Arial"/>
                <w:bCs/>
                <w:color w:val="FFFFFF" w:themeColor="background1"/>
                <w:sz w:val="20"/>
                <w:szCs w:val="20"/>
              </w:rPr>
            </w:pPr>
          </w:p>
        </w:tc>
      </w:tr>
      <w:tr w:rsidR="00A4302A" w:rsidRPr="00B16E6B" w14:paraId="3E32FB35" w14:textId="77777777" w:rsidTr="00A4302A">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hideMark/>
          </w:tcPr>
          <w:p w14:paraId="144B69BE" w14:textId="50D892B1" w:rsidR="00A4302A" w:rsidRPr="00236F90" w:rsidRDefault="00A4302A" w:rsidP="005000DA">
            <w:pPr>
              <w:spacing w:after="0" w:line="271" w:lineRule="auto"/>
              <w:rPr>
                <w:rFonts w:cs="Arial"/>
                <w:sz w:val="17"/>
                <w:szCs w:val="17"/>
                <w:lang w:val="en-US"/>
              </w:rPr>
            </w:pPr>
            <w:r w:rsidRPr="00B16E6B">
              <w:rPr>
                <w:rFonts w:cs="Arial"/>
                <w:sz w:val="17"/>
                <w:szCs w:val="17"/>
                <w:lang w:val="en-US"/>
              </w:rPr>
              <w:t>7</w:t>
            </w:r>
            <w:r w:rsidR="00236F90">
              <w:rPr>
                <w:rFonts w:cs="Arial"/>
                <w:sz w:val="17"/>
                <w:szCs w:val="17"/>
                <w:lang w:val="en-US"/>
              </w:rPr>
              <w:t xml:space="preserve">. </w:t>
            </w:r>
            <w:r w:rsidRPr="00B16E6B">
              <w:rPr>
                <w:rFonts w:cs="Arial"/>
                <w:sz w:val="17"/>
                <w:szCs w:val="17"/>
              </w:rPr>
              <w:t>Special security directions (SSD)</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C245D44" w14:textId="40455942" w:rsidR="00A4302A" w:rsidRPr="00B16E6B" w:rsidRDefault="00A4302A" w:rsidP="005000DA">
            <w:pPr>
              <w:spacing w:before="20" w:after="20" w:line="271" w:lineRule="auto"/>
              <w:rPr>
                <w:rFonts w:cs="Arial"/>
                <w:sz w:val="17"/>
                <w:szCs w:val="17"/>
              </w:rPr>
            </w:pPr>
            <w:r w:rsidRPr="00B16E6B">
              <w:rPr>
                <w:rFonts w:cs="Arial"/>
                <w:sz w:val="17"/>
                <w:szCs w:val="17"/>
              </w:rPr>
              <w:t>Align SSD powers across ATSA and MTOFSA to enable it to be issued where there is a specific threat,</w:t>
            </w:r>
            <w:r>
              <w:rPr>
                <w:rFonts w:cs="Arial"/>
                <w:sz w:val="17"/>
                <w:szCs w:val="17"/>
              </w:rPr>
              <w:t xml:space="preserve"> </w:t>
            </w:r>
            <w:r w:rsidRPr="00B16E6B">
              <w:rPr>
                <w:rFonts w:cs="Arial"/>
                <w:sz w:val="17"/>
                <w:szCs w:val="17"/>
              </w:rPr>
              <w:t xml:space="preserve">or change in general threat or risk across all hazards. SSDs will continue to be exercised as a power of last resort. </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0A1AB8DF" w14:textId="77777777" w:rsidR="00A4302A" w:rsidRPr="00B16E6B" w:rsidRDefault="00A4302A" w:rsidP="005000DA">
            <w:pPr>
              <w:spacing w:after="0" w:line="271" w:lineRule="auto"/>
              <w:rPr>
                <w:rFonts w:cs="Arial"/>
                <w:sz w:val="17"/>
                <w:szCs w:val="17"/>
              </w:rPr>
            </w:pPr>
            <w:r w:rsidRPr="00B16E6B">
              <w:rPr>
                <w:rFonts w:cs="Arial"/>
                <w:sz w:val="17"/>
                <w:szCs w:val="17"/>
              </w:rPr>
              <w:t>Aviation and maritime sectors</w:t>
            </w:r>
          </w:p>
        </w:tc>
      </w:tr>
      <w:tr w:rsidR="00A4302A" w:rsidRPr="00B16E6B" w14:paraId="1C1EF430" w14:textId="77777777" w:rsidTr="00A4302A">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47696D21" w14:textId="59C3D332" w:rsidR="00A4302A" w:rsidRPr="00236F90" w:rsidRDefault="00A4302A" w:rsidP="005000DA">
            <w:pPr>
              <w:spacing w:after="0" w:line="271" w:lineRule="auto"/>
              <w:rPr>
                <w:rFonts w:cs="Arial"/>
                <w:sz w:val="17"/>
                <w:szCs w:val="17"/>
                <w:lang w:val="en-US"/>
              </w:rPr>
            </w:pPr>
            <w:r w:rsidRPr="00B16E6B">
              <w:rPr>
                <w:rFonts w:cs="Arial"/>
                <w:sz w:val="17"/>
                <w:szCs w:val="17"/>
                <w:lang w:val="en-US"/>
              </w:rPr>
              <w:t>8</w:t>
            </w:r>
            <w:r w:rsidR="00236F90">
              <w:rPr>
                <w:rFonts w:cs="Arial"/>
                <w:sz w:val="17"/>
                <w:szCs w:val="17"/>
                <w:lang w:val="en-US"/>
              </w:rPr>
              <w:t xml:space="preserve">. </w:t>
            </w:r>
            <w:r w:rsidRPr="00B16E6B">
              <w:rPr>
                <w:rFonts w:cs="Arial"/>
                <w:sz w:val="17"/>
                <w:szCs w:val="17"/>
                <w:lang w:val="en-US"/>
              </w:rPr>
              <w:t xml:space="preserve">Demerit points </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8C70D1" w14:textId="77777777" w:rsidR="00A4302A" w:rsidRPr="00B16E6B" w:rsidRDefault="00A4302A" w:rsidP="005000DA">
            <w:pPr>
              <w:spacing w:before="20" w:after="20" w:line="271" w:lineRule="auto"/>
              <w:rPr>
                <w:rFonts w:cs="Arial"/>
                <w:sz w:val="17"/>
                <w:szCs w:val="17"/>
              </w:rPr>
            </w:pPr>
            <w:r w:rsidRPr="00B16E6B">
              <w:rPr>
                <w:rFonts w:cs="Arial"/>
                <w:sz w:val="17"/>
                <w:szCs w:val="17"/>
              </w:rPr>
              <w:t>Extend the demerit points system to the air cargo sector</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6AE69D4" w14:textId="2B67592A" w:rsidR="00A4302A" w:rsidRPr="00B16E6B" w:rsidRDefault="00A4302A" w:rsidP="005000DA">
            <w:pPr>
              <w:spacing w:after="0" w:line="271" w:lineRule="auto"/>
              <w:rPr>
                <w:rFonts w:cs="Arial"/>
                <w:sz w:val="17"/>
                <w:szCs w:val="17"/>
              </w:rPr>
            </w:pPr>
            <w:r w:rsidRPr="00B16E6B">
              <w:rPr>
                <w:rFonts w:cs="Arial"/>
                <w:sz w:val="17"/>
                <w:szCs w:val="17"/>
              </w:rPr>
              <w:t>Aviation sector</w:t>
            </w:r>
          </w:p>
        </w:tc>
      </w:tr>
      <w:tr w:rsidR="00A4302A" w:rsidRPr="00B16E6B" w14:paraId="5F62CE4D" w14:textId="77777777" w:rsidTr="00A4302A">
        <w:trPr>
          <w:trHeight w:val="120"/>
        </w:trPr>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E1E9F0" w:themeFill="accent1" w:themeFillTint="1A"/>
            <w:vAlign w:val="center"/>
          </w:tcPr>
          <w:p w14:paraId="0B235639" w14:textId="7A38826D" w:rsidR="00A4302A" w:rsidRPr="00B16E6B" w:rsidRDefault="00A4302A" w:rsidP="005000DA">
            <w:pPr>
              <w:spacing w:before="40" w:after="40" w:line="271" w:lineRule="auto"/>
              <w:jc w:val="center"/>
              <w:rPr>
                <w:rFonts w:cs="Arial"/>
                <w:sz w:val="16"/>
                <w:szCs w:val="20"/>
              </w:rPr>
            </w:pPr>
          </w:p>
        </w:tc>
        <w:tc>
          <w:tcPr>
            <w:tcW w:w="2809"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E1E9F0" w:themeFill="accent1" w:themeFillTint="1A"/>
            <w:vAlign w:val="center"/>
          </w:tcPr>
          <w:p w14:paraId="65AF8CD1" w14:textId="64F0974A" w:rsidR="00A4302A" w:rsidRPr="00B16E6B" w:rsidRDefault="00A4302A" w:rsidP="005000DA">
            <w:pPr>
              <w:spacing w:before="40" w:after="40" w:line="271" w:lineRule="auto"/>
              <w:jc w:val="center"/>
              <w:rPr>
                <w:rFonts w:cs="Arial"/>
                <w:sz w:val="16"/>
                <w:szCs w:val="20"/>
              </w:rPr>
            </w:pPr>
            <w:r w:rsidRPr="00B16E6B">
              <w:rPr>
                <w:rFonts w:cs="Arial"/>
                <w:bCs/>
                <w:sz w:val="18"/>
                <w:szCs w:val="20"/>
              </w:rPr>
              <w:t>Modernisation and proportionate regulation</w:t>
            </w:r>
          </w:p>
        </w:tc>
        <w:tc>
          <w:tcPr>
            <w:tcW w:w="92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E1E9F0" w:themeFill="accent1" w:themeFillTint="1A"/>
            <w:vAlign w:val="center"/>
          </w:tcPr>
          <w:p w14:paraId="6A8A86D0" w14:textId="6A604AD2" w:rsidR="00A4302A" w:rsidRPr="00B16E6B" w:rsidRDefault="00A4302A" w:rsidP="005000DA">
            <w:pPr>
              <w:spacing w:before="40" w:after="40" w:line="271" w:lineRule="auto"/>
              <w:jc w:val="center"/>
              <w:rPr>
                <w:rFonts w:cs="Arial"/>
                <w:sz w:val="16"/>
                <w:szCs w:val="20"/>
              </w:rPr>
            </w:pPr>
          </w:p>
        </w:tc>
      </w:tr>
      <w:tr w:rsidR="00A4302A" w:rsidRPr="00B16E6B" w14:paraId="45E582C6" w14:textId="77777777" w:rsidTr="00A4302A">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A5DF27F" w14:textId="1B29E4EF" w:rsidR="00A4302A" w:rsidRPr="00B16E6B" w:rsidRDefault="00A4302A" w:rsidP="005000DA">
            <w:pPr>
              <w:spacing w:after="0" w:line="271" w:lineRule="auto"/>
              <w:rPr>
                <w:rFonts w:cs="Arial"/>
                <w:sz w:val="17"/>
                <w:szCs w:val="17"/>
                <w:lang w:val="en-US"/>
              </w:rPr>
            </w:pPr>
            <w:r w:rsidRPr="00B16E6B">
              <w:rPr>
                <w:rFonts w:cs="Arial"/>
                <w:sz w:val="17"/>
                <w:szCs w:val="17"/>
                <w:lang w:val="en-US"/>
              </w:rPr>
              <w:t>9</w:t>
            </w:r>
            <w:r w:rsidR="00236F90">
              <w:rPr>
                <w:rFonts w:cs="Arial"/>
                <w:sz w:val="17"/>
                <w:szCs w:val="17"/>
                <w:lang w:val="en-US"/>
              </w:rPr>
              <w:t xml:space="preserve">. </w:t>
            </w:r>
            <w:r w:rsidRPr="00B16E6B">
              <w:rPr>
                <w:rFonts w:cs="Arial"/>
                <w:sz w:val="17"/>
                <w:szCs w:val="17"/>
              </w:rPr>
              <w:t>Training requirements – Air Cargo</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CAD68" w14:textId="591F2856" w:rsidR="00A4302A" w:rsidRPr="00B16E6B" w:rsidRDefault="00A4302A" w:rsidP="005000DA">
            <w:pPr>
              <w:spacing w:before="20" w:after="20" w:line="271" w:lineRule="auto"/>
              <w:rPr>
                <w:rFonts w:cs="Arial"/>
                <w:sz w:val="17"/>
                <w:szCs w:val="17"/>
              </w:rPr>
            </w:pPr>
            <w:r w:rsidRPr="00B16E6B">
              <w:rPr>
                <w:rFonts w:cs="Arial"/>
                <w:sz w:val="17"/>
                <w:szCs w:val="17"/>
              </w:rPr>
              <w:t>Allow training requirements for cargo-examining aircraft operators to be made through determinations to align with the rest of the air cargo sector</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A053C42" w14:textId="77777777" w:rsidR="00A4302A" w:rsidRPr="00B16E6B" w:rsidRDefault="00A4302A" w:rsidP="005000DA">
            <w:pPr>
              <w:spacing w:after="0" w:line="271" w:lineRule="auto"/>
              <w:rPr>
                <w:rFonts w:cs="Arial"/>
                <w:sz w:val="17"/>
                <w:szCs w:val="17"/>
              </w:rPr>
            </w:pPr>
            <w:r w:rsidRPr="00B16E6B">
              <w:rPr>
                <w:rFonts w:cs="Arial"/>
                <w:sz w:val="17"/>
                <w:szCs w:val="17"/>
              </w:rPr>
              <w:t>Aviation sector</w:t>
            </w:r>
          </w:p>
        </w:tc>
      </w:tr>
      <w:tr w:rsidR="00A4302A" w:rsidRPr="00B16E6B" w14:paraId="4B937649" w14:textId="77777777" w:rsidTr="00A4302A">
        <w:trPr>
          <w:trHeight w:val="1036"/>
        </w:trPr>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7E12D40" w14:textId="3568D258" w:rsidR="00A4302A" w:rsidRPr="00236F90" w:rsidRDefault="00A4302A" w:rsidP="005000DA">
            <w:pPr>
              <w:spacing w:after="0" w:line="271" w:lineRule="auto"/>
              <w:rPr>
                <w:rFonts w:cs="Arial"/>
                <w:sz w:val="17"/>
                <w:szCs w:val="17"/>
                <w:lang w:val="en-US"/>
              </w:rPr>
            </w:pPr>
            <w:r w:rsidRPr="00B16E6B">
              <w:rPr>
                <w:rFonts w:cs="Arial"/>
                <w:sz w:val="17"/>
                <w:szCs w:val="17"/>
                <w:lang w:val="en-US"/>
              </w:rPr>
              <w:t>10</w:t>
            </w:r>
            <w:r w:rsidR="00236F90">
              <w:rPr>
                <w:rFonts w:cs="Arial"/>
                <w:sz w:val="17"/>
                <w:szCs w:val="17"/>
                <w:lang w:val="en-US"/>
              </w:rPr>
              <w:t xml:space="preserve">. </w:t>
            </w:r>
            <w:r w:rsidRPr="00B16E6B">
              <w:rPr>
                <w:rFonts w:cs="Arial"/>
                <w:sz w:val="17"/>
                <w:szCs w:val="17"/>
              </w:rPr>
              <w:t>Align authority for issuing security identification cards</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91C1A0" w14:textId="77777777" w:rsidR="00A4302A" w:rsidRPr="00B16E6B" w:rsidRDefault="00A4302A" w:rsidP="005000DA">
            <w:pPr>
              <w:spacing w:before="20" w:after="20" w:line="271" w:lineRule="auto"/>
              <w:rPr>
                <w:rFonts w:cs="Arial"/>
                <w:sz w:val="17"/>
                <w:szCs w:val="17"/>
              </w:rPr>
            </w:pPr>
            <w:r w:rsidRPr="00B16E6B">
              <w:rPr>
                <w:rFonts w:cs="Arial"/>
                <w:sz w:val="17"/>
                <w:szCs w:val="17"/>
              </w:rPr>
              <w:t>Align the powers for authorising the charging fee for issuing a security identification card across the transport security legislative frameworks</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6BDD4A4" w14:textId="77777777" w:rsidR="00A4302A" w:rsidRPr="00B16E6B" w:rsidRDefault="00A4302A" w:rsidP="005000DA">
            <w:pPr>
              <w:spacing w:after="0" w:line="271" w:lineRule="auto"/>
              <w:rPr>
                <w:rFonts w:cs="Arial"/>
                <w:sz w:val="17"/>
                <w:szCs w:val="17"/>
              </w:rPr>
            </w:pPr>
            <w:r w:rsidRPr="00B16E6B">
              <w:rPr>
                <w:rFonts w:cs="Arial"/>
                <w:sz w:val="17"/>
                <w:szCs w:val="17"/>
              </w:rPr>
              <w:t>Aviation sector</w:t>
            </w:r>
          </w:p>
        </w:tc>
      </w:tr>
      <w:tr w:rsidR="00A4302A" w:rsidRPr="00B16E6B" w14:paraId="1C6459C4" w14:textId="77777777" w:rsidTr="00A4302A">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D0A7BC7" w14:textId="48AEE6B9" w:rsidR="00A4302A" w:rsidRPr="00C05877" w:rsidRDefault="00A4302A" w:rsidP="005000DA">
            <w:pPr>
              <w:spacing w:after="0" w:line="271" w:lineRule="auto"/>
              <w:rPr>
                <w:rFonts w:cs="Arial"/>
                <w:sz w:val="17"/>
                <w:szCs w:val="17"/>
                <w:lang w:val="en-US"/>
              </w:rPr>
            </w:pPr>
            <w:r w:rsidRPr="00B16E6B">
              <w:rPr>
                <w:rFonts w:cs="Arial"/>
                <w:sz w:val="17"/>
                <w:szCs w:val="17"/>
                <w:lang w:val="en-US"/>
              </w:rPr>
              <w:t>11</w:t>
            </w:r>
            <w:r w:rsidR="00C05877">
              <w:rPr>
                <w:rFonts w:cs="Arial"/>
                <w:sz w:val="17"/>
                <w:szCs w:val="17"/>
                <w:lang w:val="en-US"/>
              </w:rPr>
              <w:t xml:space="preserve">. </w:t>
            </w:r>
            <w:r w:rsidRPr="00B16E6B">
              <w:rPr>
                <w:rFonts w:cs="Arial"/>
                <w:sz w:val="17"/>
                <w:szCs w:val="17"/>
              </w:rPr>
              <w:t>Amend definitions to secure Australia’s maritime ports</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3B6805" w14:textId="4CC44423" w:rsidR="00A4302A" w:rsidRPr="00B16E6B" w:rsidRDefault="00A4302A" w:rsidP="005000DA">
            <w:pPr>
              <w:spacing w:before="20" w:after="20" w:line="271" w:lineRule="auto"/>
              <w:rPr>
                <w:rFonts w:cs="Arial"/>
                <w:sz w:val="17"/>
                <w:szCs w:val="17"/>
              </w:rPr>
            </w:pPr>
            <w:r w:rsidRPr="00B16E6B">
              <w:rPr>
                <w:rFonts w:cs="Arial"/>
                <w:sz w:val="17"/>
                <w:szCs w:val="17"/>
              </w:rPr>
              <w:t>Amend the definition of ‘port’ and ‘security regulated port’ in the MTOFSA to allow the port boundary to be adjusted to capture areas that needs to be secured.</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01262C8" w14:textId="77777777" w:rsidR="00A4302A" w:rsidRPr="00B16E6B" w:rsidRDefault="00A4302A" w:rsidP="005000DA">
            <w:pPr>
              <w:spacing w:after="0" w:line="271" w:lineRule="auto"/>
              <w:rPr>
                <w:rFonts w:cs="Arial"/>
                <w:sz w:val="17"/>
                <w:szCs w:val="17"/>
              </w:rPr>
            </w:pPr>
            <w:r w:rsidRPr="00B16E6B">
              <w:rPr>
                <w:rFonts w:cs="Arial"/>
                <w:sz w:val="17"/>
                <w:szCs w:val="17"/>
              </w:rPr>
              <w:t>Maritime sector</w:t>
            </w:r>
          </w:p>
        </w:tc>
      </w:tr>
      <w:tr w:rsidR="00A4302A" w:rsidRPr="00B16E6B" w14:paraId="2F766AF8" w14:textId="77777777" w:rsidTr="00A4302A">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1C516ED" w14:textId="471EE9D6" w:rsidR="00A4302A" w:rsidRPr="00C05877" w:rsidRDefault="00A4302A" w:rsidP="005000DA">
            <w:pPr>
              <w:spacing w:after="0" w:line="271" w:lineRule="auto"/>
              <w:rPr>
                <w:rFonts w:cs="Arial"/>
                <w:sz w:val="17"/>
                <w:szCs w:val="17"/>
                <w:lang w:val="en-US"/>
              </w:rPr>
            </w:pPr>
            <w:r w:rsidRPr="00B16E6B">
              <w:rPr>
                <w:rFonts w:cs="Arial"/>
                <w:sz w:val="17"/>
                <w:szCs w:val="17"/>
                <w:lang w:val="en-US"/>
              </w:rPr>
              <w:t>12</w:t>
            </w:r>
            <w:r w:rsidR="00C05877">
              <w:rPr>
                <w:rFonts w:cs="Arial"/>
                <w:sz w:val="17"/>
                <w:szCs w:val="17"/>
                <w:lang w:val="en-US"/>
              </w:rPr>
              <w:t xml:space="preserve">. </w:t>
            </w:r>
            <w:r w:rsidRPr="00B16E6B">
              <w:rPr>
                <w:rFonts w:cs="Arial"/>
                <w:sz w:val="17"/>
                <w:szCs w:val="17"/>
              </w:rPr>
              <w:t>Dual purpose vessels</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0D3F65" w14:textId="77777777" w:rsidR="00A4302A" w:rsidRPr="00B16E6B" w:rsidRDefault="00A4302A" w:rsidP="005000DA">
            <w:pPr>
              <w:spacing w:before="20" w:after="20" w:line="271" w:lineRule="auto"/>
              <w:rPr>
                <w:rFonts w:cs="Arial"/>
                <w:sz w:val="17"/>
                <w:szCs w:val="17"/>
              </w:rPr>
            </w:pPr>
            <w:r w:rsidRPr="00B16E6B">
              <w:rPr>
                <w:rFonts w:cs="Arial"/>
                <w:sz w:val="17"/>
                <w:szCs w:val="17"/>
              </w:rPr>
              <w:t>Remove the requirement for ships that operate as both a ship and offshore facility to have two security plans</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7445A922" w14:textId="77777777" w:rsidR="00A4302A" w:rsidRPr="00B16E6B" w:rsidRDefault="00A4302A" w:rsidP="005000DA">
            <w:pPr>
              <w:spacing w:after="0" w:line="271" w:lineRule="auto"/>
              <w:rPr>
                <w:rFonts w:cs="Arial"/>
                <w:sz w:val="17"/>
                <w:szCs w:val="17"/>
              </w:rPr>
            </w:pPr>
            <w:r w:rsidRPr="00B16E6B">
              <w:rPr>
                <w:rFonts w:cs="Arial"/>
                <w:sz w:val="17"/>
                <w:szCs w:val="17"/>
              </w:rPr>
              <w:t>Maritime sector</w:t>
            </w:r>
          </w:p>
        </w:tc>
      </w:tr>
      <w:tr w:rsidR="00A4302A" w:rsidRPr="00B16E6B" w14:paraId="145D386F" w14:textId="77777777" w:rsidTr="00A4302A">
        <w:trPr>
          <w:trHeight w:val="122"/>
        </w:trPr>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AADA5AD" w14:textId="305B9122" w:rsidR="00A4302A" w:rsidRPr="00C05877" w:rsidRDefault="00A4302A" w:rsidP="005000DA">
            <w:pPr>
              <w:spacing w:after="0" w:line="271" w:lineRule="auto"/>
              <w:rPr>
                <w:rFonts w:cs="Arial"/>
                <w:sz w:val="17"/>
                <w:szCs w:val="17"/>
                <w:lang w:val="en-US"/>
              </w:rPr>
            </w:pPr>
            <w:r w:rsidRPr="00B16E6B">
              <w:rPr>
                <w:rFonts w:cs="Arial"/>
                <w:sz w:val="17"/>
                <w:szCs w:val="17"/>
                <w:lang w:val="en-US"/>
              </w:rPr>
              <w:t>13</w:t>
            </w:r>
            <w:r w:rsidR="00C05877">
              <w:rPr>
                <w:rFonts w:cs="Arial"/>
                <w:sz w:val="17"/>
                <w:szCs w:val="17"/>
                <w:lang w:val="en-US"/>
              </w:rPr>
              <w:t xml:space="preserve">. </w:t>
            </w:r>
            <w:r w:rsidRPr="00B16E6B">
              <w:rPr>
                <w:rFonts w:cs="Arial"/>
                <w:sz w:val="17"/>
                <w:szCs w:val="17"/>
              </w:rPr>
              <w:t>Infrequent international vessels</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B9AB19" w14:textId="77777777" w:rsidR="00A4302A" w:rsidRPr="00B16E6B" w:rsidRDefault="00A4302A" w:rsidP="005000DA">
            <w:pPr>
              <w:spacing w:before="20" w:after="20" w:line="271" w:lineRule="auto"/>
              <w:rPr>
                <w:rFonts w:cs="Arial"/>
                <w:sz w:val="17"/>
                <w:szCs w:val="17"/>
              </w:rPr>
            </w:pPr>
            <w:r w:rsidRPr="00B16E6B">
              <w:rPr>
                <w:rFonts w:cs="Arial"/>
                <w:sz w:val="17"/>
                <w:szCs w:val="17"/>
              </w:rPr>
              <w:t xml:space="preserve">Remove the requirement for a security plan for ships that infrequently travel internationally </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7E5C257" w14:textId="77777777" w:rsidR="00A4302A" w:rsidRPr="00B16E6B" w:rsidRDefault="00A4302A" w:rsidP="005000DA">
            <w:pPr>
              <w:spacing w:after="0" w:line="271" w:lineRule="auto"/>
              <w:rPr>
                <w:rFonts w:cs="Arial"/>
                <w:sz w:val="17"/>
                <w:szCs w:val="17"/>
              </w:rPr>
            </w:pPr>
            <w:r w:rsidRPr="00B16E6B">
              <w:rPr>
                <w:rFonts w:cs="Arial"/>
                <w:sz w:val="17"/>
                <w:szCs w:val="17"/>
              </w:rPr>
              <w:t>Maritime sector</w:t>
            </w:r>
          </w:p>
        </w:tc>
      </w:tr>
      <w:tr w:rsidR="00A4302A" w:rsidRPr="00B16E6B" w14:paraId="089213C4" w14:textId="77777777" w:rsidTr="00A4302A">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74DBF64" w14:textId="5054F77A" w:rsidR="00A4302A" w:rsidRPr="00C05877" w:rsidRDefault="00A4302A" w:rsidP="005000DA">
            <w:pPr>
              <w:spacing w:after="0" w:line="271" w:lineRule="auto"/>
              <w:rPr>
                <w:rFonts w:cs="Arial"/>
                <w:sz w:val="17"/>
                <w:szCs w:val="17"/>
                <w:lang w:val="en-US"/>
              </w:rPr>
            </w:pPr>
            <w:r w:rsidRPr="00B16E6B">
              <w:rPr>
                <w:rFonts w:cs="Arial"/>
                <w:sz w:val="17"/>
                <w:szCs w:val="17"/>
                <w:lang w:val="en-US"/>
              </w:rPr>
              <w:t>14</w:t>
            </w:r>
            <w:r w:rsidR="00C05877">
              <w:rPr>
                <w:rFonts w:cs="Arial"/>
                <w:sz w:val="17"/>
                <w:szCs w:val="17"/>
                <w:lang w:val="en-US"/>
              </w:rPr>
              <w:t xml:space="preserve">. </w:t>
            </w:r>
            <w:r w:rsidRPr="00B16E6B">
              <w:rPr>
                <w:rFonts w:cs="Arial"/>
                <w:sz w:val="17"/>
                <w:szCs w:val="17"/>
              </w:rPr>
              <w:t>Gender</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CB45AA9" w14:textId="77777777" w:rsidR="00A4302A" w:rsidRPr="00B16E6B" w:rsidRDefault="00A4302A" w:rsidP="005000DA">
            <w:pPr>
              <w:spacing w:before="20" w:after="20" w:line="271" w:lineRule="auto"/>
              <w:rPr>
                <w:rFonts w:cs="Arial"/>
                <w:sz w:val="17"/>
                <w:szCs w:val="17"/>
              </w:rPr>
            </w:pPr>
            <w:r w:rsidRPr="00B16E6B">
              <w:rPr>
                <w:rFonts w:cs="Arial"/>
                <w:sz w:val="17"/>
                <w:szCs w:val="17"/>
              </w:rPr>
              <w:t xml:space="preserve">Replace ‘sex’ with ‘gender if practicable’ </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E06DE7D" w14:textId="77777777" w:rsidR="00A4302A" w:rsidRPr="00B16E6B" w:rsidRDefault="00A4302A" w:rsidP="005000DA">
            <w:pPr>
              <w:spacing w:after="0" w:line="271" w:lineRule="auto"/>
              <w:rPr>
                <w:rFonts w:cs="Arial"/>
                <w:sz w:val="17"/>
                <w:szCs w:val="17"/>
              </w:rPr>
            </w:pPr>
            <w:r w:rsidRPr="00B16E6B">
              <w:rPr>
                <w:rFonts w:cs="Arial"/>
                <w:sz w:val="17"/>
                <w:szCs w:val="17"/>
              </w:rPr>
              <w:t>Aviation and maritime sectors</w:t>
            </w:r>
          </w:p>
        </w:tc>
      </w:tr>
      <w:tr w:rsidR="00A4302A" w:rsidRPr="00B16E6B" w14:paraId="2B3EF36F" w14:textId="77777777" w:rsidTr="00A4302A">
        <w:tc>
          <w:tcPr>
            <w:tcW w:w="1264"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82F55BE" w14:textId="6C37923F" w:rsidR="00A4302A" w:rsidRPr="00C05877" w:rsidRDefault="00A4302A" w:rsidP="005000DA">
            <w:pPr>
              <w:spacing w:after="0" w:line="271" w:lineRule="auto"/>
              <w:rPr>
                <w:rFonts w:cs="Arial"/>
                <w:sz w:val="17"/>
                <w:szCs w:val="17"/>
                <w:lang w:val="en-US"/>
              </w:rPr>
            </w:pPr>
            <w:r w:rsidRPr="00B16E6B">
              <w:rPr>
                <w:rFonts w:cs="Arial"/>
                <w:sz w:val="17"/>
                <w:szCs w:val="17"/>
                <w:lang w:val="en-US"/>
              </w:rPr>
              <w:t>15</w:t>
            </w:r>
            <w:r w:rsidR="00C05877">
              <w:rPr>
                <w:rFonts w:cs="Arial"/>
                <w:sz w:val="17"/>
                <w:szCs w:val="17"/>
                <w:lang w:val="en-US"/>
              </w:rPr>
              <w:t xml:space="preserve">. </w:t>
            </w:r>
            <w:r w:rsidRPr="00B16E6B">
              <w:rPr>
                <w:rFonts w:cs="Arial"/>
                <w:sz w:val="17"/>
                <w:szCs w:val="17"/>
              </w:rPr>
              <w:t>Remove reference to ‘fax’</w:t>
            </w:r>
          </w:p>
        </w:tc>
        <w:tc>
          <w:tcPr>
            <w:tcW w:w="28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F948FE" w14:textId="77777777" w:rsidR="00A4302A" w:rsidRPr="00B16E6B" w:rsidRDefault="00A4302A" w:rsidP="005000DA">
            <w:pPr>
              <w:spacing w:before="20" w:after="20" w:line="271" w:lineRule="auto"/>
              <w:rPr>
                <w:rFonts w:cs="Arial"/>
                <w:sz w:val="17"/>
                <w:szCs w:val="17"/>
              </w:rPr>
            </w:pPr>
            <w:r w:rsidRPr="00B16E6B">
              <w:rPr>
                <w:rFonts w:cs="Arial"/>
                <w:sz w:val="17"/>
                <w:szCs w:val="17"/>
              </w:rPr>
              <w:t>Make the legislation technologically agnostic</w:t>
            </w:r>
          </w:p>
        </w:tc>
        <w:tc>
          <w:tcPr>
            <w:tcW w:w="927"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8721290" w14:textId="77777777" w:rsidR="00A4302A" w:rsidRPr="00B16E6B" w:rsidRDefault="00A4302A" w:rsidP="005000DA">
            <w:pPr>
              <w:spacing w:after="0" w:line="271" w:lineRule="auto"/>
              <w:rPr>
                <w:rFonts w:cs="Arial"/>
                <w:sz w:val="17"/>
                <w:szCs w:val="17"/>
              </w:rPr>
            </w:pPr>
            <w:r w:rsidRPr="00B16E6B">
              <w:rPr>
                <w:rFonts w:cs="Arial"/>
                <w:sz w:val="17"/>
                <w:szCs w:val="17"/>
              </w:rPr>
              <w:t>Maritime sector</w:t>
            </w:r>
          </w:p>
        </w:tc>
      </w:tr>
    </w:tbl>
    <w:p w14:paraId="290DA9FD" w14:textId="77777777" w:rsidR="00405232" w:rsidRPr="00B16E6B" w:rsidRDefault="00405232" w:rsidP="009613E1">
      <w:pPr>
        <w:pStyle w:val="Heading1"/>
        <w:pageBreakBefore/>
        <w:numPr>
          <w:ilvl w:val="0"/>
          <w:numId w:val="13"/>
        </w:numPr>
        <w:spacing w:line="271" w:lineRule="auto"/>
        <w:ind w:left="714" w:hanging="357"/>
      </w:pPr>
      <w:r w:rsidRPr="00B16E6B">
        <w:lastRenderedPageBreak/>
        <w:t>What is the likely net benefit of each option?</w:t>
      </w:r>
    </w:p>
    <w:bookmarkEnd w:id="2"/>
    <w:p w14:paraId="0C3F1F63" w14:textId="0B6694AC" w:rsidR="00FD6E1D" w:rsidRPr="00B16E6B" w:rsidRDefault="00FD6E1D" w:rsidP="009613E1">
      <w:pPr>
        <w:spacing w:line="271" w:lineRule="auto"/>
        <w:rPr>
          <w:rFonts w:eastAsia="Times New Roman"/>
        </w:rPr>
      </w:pPr>
      <w:r w:rsidRPr="00B16E6B">
        <w:rPr>
          <w:rFonts w:eastAsia="Times New Roman"/>
        </w:rPr>
        <w:t xml:space="preserve">This </w:t>
      </w:r>
      <w:r w:rsidR="00896FCB" w:rsidRPr="00B16E6B">
        <w:rPr>
          <w:rFonts w:eastAsia="Times New Roman"/>
        </w:rPr>
        <w:t>IA</w:t>
      </w:r>
      <w:r w:rsidRPr="00B16E6B">
        <w:rPr>
          <w:rFonts w:eastAsia="Times New Roman"/>
        </w:rPr>
        <w:t xml:space="preserve"> focusse</w:t>
      </w:r>
      <w:r w:rsidR="006550F1" w:rsidRPr="00B16E6B">
        <w:rPr>
          <w:rFonts w:eastAsia="Times New Roman"/>
        </w:rPr>
        <w:t>s</w:t>
      </w:r>
      <w:r w:rsidRPr="00B16E6B">
        <w:rPr>
          <w:rFonts w:eastAsia="Times New Roman"/>
        </w:rPr>
        <w:t xml:space="preserve"> on identifying the broad categories of anticipated costs and benefits arising from the proposed policy options. A comprehensive scan has been conducted of available literature and evidence on the impacts of the options under consideration, including the potential benefits for individuals, businesses, </w:t>
      </w:r>
      <w:r w:rsidR="00487C6A" w:rsidRPr="00B16E6B">
        <w:rPr>
          <w:rFonts w:eastAsia="Times New Roman"/>
        </w:rPr>
        <w:t>government</w:t>
      </w:r>
      <w:r w:rsidRPr="00B16E6B">
        <w:rPr>
          <w:rFonts w:eastAsia="Times New Roman"/>
        </w:rPr>
        <w:t>, community, and the economy, and the potential regulatory costs of each poli</w:t>
      </w:r>
      <w:r w:rsidR="001D159D" w:rsidRPr="00B16E6B">
        <w:rPr>
          <w:rFonts w:eastAsia="Times New Roman"/>
        </w:rPr>
        <w:t>cy option. Ongoing consultation</w:t>
      </w:r>
      <w:r w:rsidRPr="00B16E6B">
        <w:rPr>
          <w:rFonts w:eastAsia="Times New Roman"/>
        </w:rPr>
        <w:t xml:space="preserve"> with industry on the potential reforms continue</w:t>
      </w:r>
      <w:r w:rsidR="001F501A" w:rsidRPr="00B16E6B">
        <w:rPr>
          <w:rFonts w:eastAsia="Times New Roman"/>
        </w:rPr>
        <w:t>s</w:t>
      </w:r>
      <w:r w:rsidRPr="00B16E6B">
        <w:rPr>
          <w:rFonts w:eastAsia="Times New Roman"/>
        </w:rPr>
        <w:t xml:space="preserve"> to provide valuable preliminary insights on the anticipated regulatory costs and benefits attached to each option. </w:t>
      </w:r>
    </w:p>
    <w:p w14:paraId="6CA3CF96" w14:textId="77777777" w:rsidR="00FD6E1D" w:rsidRPr="00B16E6B" w:rsidRDefault="00896FCB" w:rsidP="009613E1">
      <w:pPr>
        <w:spacing w:line="271" w:lineRule="auto"/>
        <w:rPr>
          <w:rFonts w:eastAsia="Times New Roman"/>
        </w:rPr>
      </w:pPr>
      <w:r w:rsidRPr="00B16E6B">
        <w:rPr>
          <w:rFonts w:eastAsia="Times New Roman"/>
        </w:rPr>
        <w:t>This IA has analysed w</w:t>
      </w:r>
      <w:r w:rsidR="00FD6E1D" w:rsidRPr="00B16E6B">
        <w:rPr>
          <w:rFonts w:eastAsia="Times New Roman"/>
        </w:rPr>
        <w:t>ritten submissions and</w:t>
      </w:r>
      <w:r w:rsidRPr="00B16E6B">
        <w:rPr>
          <w:rFonts w:eastAsia="Times New Roman"/>
        </w:rPr>
        <w:t xml:space="preserve"> outcomes from</w:t>
      </w:r>
      <w:r w:rsidR="00FD6E1D" w:rsidRPr="00B16E6B">
        <w:rPr>
          <w:rFonts w:eastAsia="Times New Roman"/>
        </w:rPr>
        <w:t xml:space="preserve"> discussions with industry through consultation to: </w:t>
      </w:r>
    </w:p>
    <w:p w14:paraId="635F974A" w14:textId="77777777" w:rsidR="00FD6E1D" w:rsidRPr="00B16E6B" w:rsidRDefault="006F4F96" w:rsidP="00A11AF5">
      <w:pPr>
        <w:pStyle w:val="ListParagraph"/>
        <w:numPr>
          <w:ilvl w:val="0"/>
          <w:numId w:val="22"/>
        </w:numPr>
        <w:spacing w:after="120" w:line="271" w:lineRule="auto"/>
        <w:ind w:left="714" w:hanging="357"/>
        <w:contextualSpacing w:val="0"/>
        <w:rPr>
          <w:rFonts w:eastAsia="Times New Roman"/>
        </w:rPr>
      </w:pPr>
      <w:r w:rsidRPr="00B16E6B">
        <w:rPr>
          <w:rFonts w:eastAsia="Times New Roman"/>
        </w:rPr>
        <w:t>v</w:t>
      </w:r>
      <w:r w:rsidR="00FD6E1D" w:rsidRPr="00B16E6B">
        <w:rPr>
          <w:rFonts w:eastAsia="Times New Roman"/>
        </w:rPr>
        <w:t xml:space="preserve">alidate the expected overall impacts and </w:t>
      </w:r>
    </w:p>
    <w:p w14:paraId="653BDE01" w14:textId="77777777" w:rsidR="00FD6E1D" w:rsidRPr="00B16E6B" w:rsidRDefault="006F4F96" w:rsidP="00A11AF5">
      <w:pPr>
        <w:pStyle w:val="ListParagraph"/>
        <w:numPr>
          <w:ilvl w:val="0"/>
          <w:numId w:val="22"/>
        </w:numPr>
        <w:spacing w:line="271" w:lineRule="auto"/>
      </w:pPr>
      <w:r w:rsidRPr="00B16E6B">
        <w:t>b</w:t>
      </w:r>
      <w:r w:rsidR="00FD6E1D" w:rsidRPr="00B16E6B">
        <w:t xml:space="preserve">etter understand and quantify (where possible) the regulatory costs and benefits.  </w:t>
      </w:r>
    </w:p>
    <w:p w14:paraId="44C0AA53" w14:textId="18C0B845" w:rsidR="00FD6E1D" w:rsidRPr="00B16E6B" w:rsidRDefault="00FD6E1D" w:rsidP="009613E1">
      <w:pPr>
        <w:spacing w:line="271" w:lineRule="auto"/>
      </w:pPr>
      <w:r w:rsidRPr="00B16E6B">
        <w:t>This IA</w:t>
      </w:r>
      <w:r w:rsidR="00ED53A3" w:rsidRPr="00B16E6B">
        <w:t xml:space="preserve"> considers the quantitative costs and benefits associated with option 4, using a breakeven analysis. Qualitative costs and benefits have been included to supplement this analysis. For option 1 (maintain the status quo)</w:t>
      </w:r>
      <w:r w:rsidR="00471E8A" w:rsidRPr="00B16E6B">
        <w:t>,</w:t>
      </w:r>
      <w:r w:rsidR="00ED53A3" w:rsidRPr="00B16E6B">
        <w:t xml:space="preserve"> </w:t>
      </w:r>
      <w:r w:rsidR="00460973" w:rsidRPr="00B16E6B">
        <w:t>option</w:t>
      </w:r>
      <w:r w:rsidR="00ED53A3" w:rsidRPr="00B16E6B">
        <w:t xml:space="preserve"> 2 (voluntary uptake of all hazards risk management)</w:t>
      </w:r>
      <w:r w:rsidR="00471E8A" w:rsidRPr="00B16E6B">
        <w:t>,</w:t>
      </w:r>
      <w:r w:rsidR="00ED53A3" w:rsidRPr="00B16E6B">
        <w:t xml:space="preserve"> and </w:t>
      </w:r>
      <w:r w:rsidR="00460973" w:rsidRPr="00B16E6B">
        <w:t>option</w:t>
      </w:r>
      <w:r w:rsidR="00ED53A3" w:rsidRPr="00B16E6B">
        <w:t xml:space="preserve"> 3 (switch on CIRMP obligations for critical aviation assets and critical ports) qualitative costs and benefits have been identified and analysed</w:t>
      </w:r>
      <w:r w:rsidR="00185AB6" w:rsidRPr="00B16E6B">
        <w:t xml:space="preserve"> with quantification where possible</w:t>
      </w:r>
      <w:r w:rsidRPr="00B16E6B">
        <w:t xml:space="preserve">. </w:t>
      </w:r>
    </w:p>
    <w:p w14:paraId="2E530373" w14:textId="77777777" w:rsidR="00FD6E1D" w:rsidRPr="00B16E6B" w:rsidRDefault="00FD6E1D" w:rsidP="009613E1">
      <w:pPr>
        <w:pStyle w:val="Heading2"/>
        <w:spacing w:line="271" w:lineRule="auto"/>
      </w:pPr>
      <w:bookmarkStart w:id="8" w:name="_Toc161145169"/>
      <w:r w:rsidRPr="00B16E6B">
        <w:t>4.1 Approach to determining costs and benefits</w:t>
      </w:r>
      <w:bookmarkEnd w:id="8"/>
    </w:p>
    <w:p w14:paraId="41B82FB0" w14:textId="77777777" w:rsidR="00FD6E1D" w:rsidRPr="00B16E6B" w:rsidRDefault="00FD6E1D" w:rsidP="009613E1">
      <w:pPr>
        <w:spacing w:line="271" w:lineRule="auto"/>
        <w:rPr>
          <w:rFonts w:eastAsiaTheme="minorHAnsi"/>
        </w:rPr>
      </w:pPr>
      <w:r w:rsidRPr="00B16E6B">
        <w:t xml:space="preserve">Costs will be identified by estimating the marginal impact on industry arising from the proposed reforms contained in </w:t>
      </w:r>
      <w:r w:rsidR="008E6BC9" w:rsidRPr="00B16E6B">
        <w:t>o</w:t>
      </w:r>
      <w:r w:rsidRPr="00B16E6B">
        <w:t xml:space="preserve">ptions 3 and 4. Analysis will </w:t>
      </w:r>
      <w:r w:rsidR="001F501A" w:rsidRPr="00B16E6B">
        <w:t xml:space="preserve">occur </w:t>
      </w:r>
      <w:r w:rsidRPr="00B16E6B">
        <w:t>through a mixture of cost quantification (where possible) and evaluation of actual or hypothetical case studies (where the cost impact is uncertain or highly variable in magnitude and frequency). The specific marginal costs associated with each option is set out in the sections that follow.</w:t>
      </w:r>
    </w:p>
    <w:p w14:paraId="520A55C4" w14:textId="77777777" w:rsidR="00FD6E1D" w:rsidRPr="00B16E6B" w:rsidRDefault="00FD6E1D" w:rsidP="009613E1">
      <w:pPr>
        <w:spacing w:line="271" w:lineRule="auto"/>
      </w:pPr>
      <w:r w:rsidRPr="00B16E6B">
        <w:t xml:space="preserve">The marginal impact of the proposed options will be borne by entities responsible for </w:t>
      </w:r>
      <w:r w:rsidR="00AF063C" w:rsidRPr="00B16E6B">
        <w:t>aviation and maritime security</w:t>
      </w:r>
      <w:r w:rsidRPr="00B16E6B">
        <w:t xml:space="preserve"> who meet the relevant thresholds. Community organisations and individuals are not likely to be directly affected, noting there may be indirect costs passed onto consumers. These indirect costs (flow-on costs to the economy due to supply chain linkages and other feedback responses by all economic agents such as households and businesses) will be estimated using economic modelling based on the identified direct costs.</w:t>
      </w:r>
    </w:p>
    <w:p w14:paraId="71893071" w14:textId="77777777" w:rsidR="00561CEE" w:rsidRPr="00B16E6B" w:rsidRDefault="00FD6E1D" w:rsidP="009613E1">
      <w:pPr>
        <w:keepNext/>
        <w:keepLines/>
        <w:spacing w:line="271" w:lineRule="auto"/>
      </w:pPr>
      <w:r w:rsidRPr="00B16E6B">
        <w:lastRenderedPageBreak/>
        <w:t>The benefits of each proposed measure will be identified through examination of potential disruptions arising from an all hazards</w:t>
      </w:r>
      <w:r w:rsidR="00EB3FDB" w:rsidRPr="00B16E6B">
        <w:t xml:space="preserve"> security</w:t>
      </w:r>
      <w:r w:rsidRPr="00B16E6B">
        <w:t xml:space="preserve"> threat</w:t>
      </w:r>
      <w:r w:rsidR="00BB2EF5" w:rsidRPr="00B16E6B">
        <w:t xml:space="preserve"> materialising</w:t>
      </w:r>
      <w:r w:rsidRPr="00B16E6B">
        <w:t>. The avoidance of these potential events is the principal benefit expected from the potential reform proposals. Disruption to</w:t>
      </w:r>
      <w:r w:rsidR="00D5039C" w:rsidRPr="00B16E6B">
        <w:t xml:space="preserve"> the</w:t>
      </w:r>
      <w:r w:rsidRPr="00B16E6B">
        <w:t xml:space="preserve"> supply</w:t>
      </w:r>
      <w:r w:rsidR="00D5039C" w:rsidRPr="00B16E6B">
        <w:t xml:space="preserve"> of goods</w:t>
      </w:r>
      <w:r w:rsidRPr="00B16E6B">
        <w:t>, compromise of</w:t>
      </w:r>
      <w:r w:rsidR="00D5039C" w:rsidRPr="00B16E6B">
        <w:t xml:space="preserve"> </w:t>
      </w:r>
      <w:r w:rsidR="00E92E23" w:rsidRPr="00B16E6B">
        <w:t>business</w:t>
      </w:r>
      <w:r w:rsidRPr="00B16E6B">
        <w:t xml:space="preserve"> operation</w:t>
      </w:r>
      <w:r w:rsidR="00E92E23" w:rsidRPr="00B16E6B">
        <w:t>s</w:t>
      </w:r>
      <w:r w:rsidRPr="00B16E6B">
        <w:t xml:space="preserve">, or other impacts can have a significant cost to the economy. </w:t>
      </w:r>
      <w:r w:rsidR="001F501A" w:rsidRPr="00B16E6B">
        <w:t>The interconnectedness between the transport sector and other sectors of critical infrastructure</w:t>
      </w:r>
      <w:r w:rsidR="00E92E23" w:rsidRPr="00B16E6B">
        <w:t>,</w:t>
      </w:r>
      <w:r w:rsidR="001F501A" w:rsidRPr="00B16E6B">
        <w:t xml:space="preserve"> including energy and healthcare and services</w:t>
      </w:r>
      <w:r w:rsidR="00E92E23" w:rsidRPr="00B16E6B">
        <w:t>,</w:t>
      </w:r>
      <w:r w:rsidR="001F501A" w:rsidRPr="00B16E6B">
        <w:t xml:space="preserve"> highlights how a disruption could have cascading implications. </w:t>
      </w:r>
    </w:p>
    <w:p w14:paraId="37146300" w14:textId="77777777" w:rsidR="00FD6E1D" w:rsidRPr="00B16E6B" w:rsidRDefault="00FD6E1D" w:rsidP="009613E1">
      <w:pPr>
        <w:keepNext/>
        <w:keepLines/>
        <w:spacing w:after="120" w:line="271" w:lineRule="auto"/>
      </w:pPr>
      <w:r w:rsidRPr="00B16E6B">
        <w:t>The aim of the proposed reform options is to address the growing threats facing Australia’s transport sector, including the uncertain and dynamic nature of potential incidents which have evolved since the</w:t>
      </w:r>
      <w:r w:rsidR="00E92E23" w:rsidRPr="00B16E6B">
        <w:t xml:space="preserve"> initial introduction of the transport security</w:t>
      </w:r>
      <w:r w:rsidR="000400B1" w:rsidRPr="00B16E6B">
        <w:t xml:space="preserve"> legislative framework</w:t>
      </w:r>
      <w:r w:rsidRPr="00B16E6B">
        <w:t xml:space="preserve">s. </w:t>
      </w:r>
    </w:p>
    <w:p w14:paraId="2426CBE5" w14:textId="2DF15A34" w:rsidR="00FD6E1D" w:rsidRPr="00B16E6B" w:rsidRDefault="00376F2D" w:rsidP="009613E1">
      <w:pPr>
        <w:keepNext/>
        <w:keepLines/>
        <w:spacing w:line="271" w:lineRule="auto"/>
      </w:pPr>
      <w:r>
        <w:t>This</w:t>
      </w:r>
      <w:r w:rsidR="00FD6E1D" w:rsidRPr="00B16E6B">
        <w:t xml:space="preserve"> </w:t>
      </w:r>
      <w:r>
        <w:t xml:space="preserve">IA analyses </w:t>
      </w:r>
      <w:r w:rsidR="00FD6E1D" w:rsidRPr="00B16E6B">
        <w:t>example</w:t>
      </w:r>
      <w:r w:rsidR="00667232" w:rsidRPr="00B16E6B">
        <w:t>s of</w:t>
      </w:r>
      <w:r w:rsidR="00FD6E1D" w:rsidRPr="00B16E6B">
        <w:t xml:space="preserve"> all hazards events to demonstrate the potential direct and indirect (economy-wide) benefits which may arise from the avoidance of an incident. This analysis will reflect a real event with sufficient reliable information to substantiate estimated incident costs. The examples demonstrate the potential disruptions to the operation of </w:t>
      </w:r>
      <w:r w:rsidR="00967A78" w:rsidRPr="00B16E6B">
        <w:t>the transport sector</w:t>
      </w:r>
      <w:r w:rsidR="00FD6E1D" w:rsidRPr="00B16E6B">
        <w:t xml:space="preserve">. They will consider incidents with varying severities because it may be the case that a series of smaller, less significant disruptions occur over the course of a year accumulate to deliver a resulting disruption equivalent to a severe scenario (e.g. the </w:t>
      </w:r>
      <w:r w:rsidR="00D774E6" w:rsidRPr="00B16E6B">
        <w:t>British Airways data breach</w:t>
      </w:r>
      <w:r w:rsidR="00B57B91" w:rsidRPr="00B16E6B">
        <w:t xml:space="preserve"> </w:t>
      </w:r>
      <w:r w:rsidR="00FD6E1D" w:rsidRPr="00B16E6B">
        <w:t xml:space="preserve">which occurred in </w:t>
      </w:r>
      <w:r w:rsidR="00D774E6" w:rsidRPr="00B16E6B">
        <w:t>2018</w:t>
      </w:r>
      <w:r w:rsidR="00FD6E1D" w:rsidRPr="00B16E6B">
        <w:t xml:space="preserve">). Consideration of the broader economic impact of an incident will also allow for identification of direct avoided costs (financial costs directly incurred because of an incident), as well as indirect avoided costs (flow-on costs to the economy). </w:t>
      </w:r>
    </w:p>
    <w:p w14:paraId="248BFE6C" w14:textId="381A66A4" w:rsidR="0058523A" w:rsidRPr="00B16E6B" w:rsidRDefault="00FD6E1D" w:rsidP="009613E1">
      <w:pPr>
        <w:spacing w:line="271" w:lineRule="auto"/>
      </w:pPr>
      <w:r w:rsidRPr="00B16E6B">
        <w:t xml:space="preserve">For this IA, identified categories of costs associated with delay (for example, expenses and loss of income incurred as a result of an application or approval delay) </w:t>
      </w:r>
      <w:r w:rsidR="00200545" w:rsidRPr="00B16E6B">
        <w:t>as in the Australian Government’s Regulatory Burden Measurement Framework</w:t>
      </w:r>
      <w:r w:rsidR="00200545" w:rsidRPr="00B16E6B">
        <w:rPr>
          <w:rStyle w:val="FootnoteReference"/>
        </w:rPr>
        <w:footnoteReference w:id="45"/>
      </w:r>
      <w:r w:rsidR="00200545" w:rsidRPr="00B16E6B">
        <w:t xml:space="preserve"> </w:t>
      </w:r>
      <w:r w:rsidRPr="00B16E6B">
        <w:t>will not be considered. The proposed measures do not include a process which may delay the operations of new regulated entities.</w:t>
      </w:r>
    </w:p>
    <w:p w14:paraId="75BEF3E5" w14:textId="522DE8AE" w:rsidR="00FD6E1D" w:rsidRPr="00B16E6B" w:rsidRDefault="00FD6E1D" w:rsidP="009613E1">
      <w:pPr>
        <w:pStyle w:val="Heading2"/>
        <w:spacing w:line="271" w:lineRule="auto"/>
      </w:pPr>
      <w:bookmarkStart w:id="9" w:name="_Toc161145171"/>
      <w:r w:rsidRPr="00B16E6B">
        <w:t xml:space="preserve">4.2 Likely net benefit assessment: </w:t>
      </w:r>
      <w:r w:rsidR="00460973" w:rsidRPr="00B16E6B">
        <w:t>option</w:t>
      </w:r>
      <w:r w:rsidRPr="00B16E6B">
        <w:t xml:space="preserve"> 1</w:t>
      </w:r>
      <w:bookmarkEnd w:id="9"/>
      <w:r w:rsidR="001A7440" w:rsidRPr="00B16E6B">
        <w:t xml:space="preserve"> </w:t>
      </w:r>
      <w:r w:rsidR="00EB3FDB" w:rsidRPr="00B16E6B">
        <w:t>(status quo)</w:t>
      </w:r>
    </w:p>
    <w:p w14:paraId="399F9A7E" w14:textId="77777777" w:rsidR="00FD6E1D" w:rsidRPr="00B16E6B" w:rsidRDefault="00FD6E1D" w:rsidP="009613E1">
      <w:pPr>
        <w:spacing w:line="271" w:lineRule="auto"/>
      </w:pPr>
      <w:r w:rsidRPr="00B16E6B">
        <w:t>This section summarises the qualitative costs and benefits associated with option 1, before assessing the likely net benefit derived from option 1.</w:t>
      </w:r>
    </w:p>
    <w:p w14:paraId="3AF6A8D1" w14:textId="16B1BC89" w:rsidR="00FD6E1D" w:rsidRPr="00B16E6B" w:rsidRDefault="00FD6E1D" w:rsidP="009613E1">
      <w:pPr>
        <w:pStyle w:val="Heading3"/>
        <w:spacing w:line="271" w:lineRule="auto"/>
      </w:pPr>
      <w:bookmarkStart w:id="10" w:name="_Toc161145172"/>
      <w:r w:rsidRPr="00B16E6B">
        <w:t xml:space="preserve">4.2.1 Costs of </w:t>
      </w:r>
      <w:r w:rsidR="00460973" w:rsidRPr="00B16E6B">
        <w:t>o</w:t>
      </w:r>
      <w:r w:rsidRPr="00B16E6B">
        <w:t>ption 1</w:t>
      </w:r>
      <w:bookmarkEnd w:id="10"/>
    </w:p>
    <w:p w14:paraId="21FEDD9B" w14:textId="733B88DB" w:rsidR="009250C3" w:rsidRPr="00B16E6B" w:rsidRDefault="00FD6E1D" w:rsidP="009613E1">
      <w:pPr>
        <w:spacing w:line="271" w:lineRule="auto"/>
      </w:pPr>
      <w:r w:rsidRPr="00B16E6B">
        <w:t>Option 1 provides a baseline for costs and benefits if the status quo is maintained</w:t>
      </w:r>
      <w:r w:rsidR="000017F3" w:rsidRPr="00B16E6B">
        <w:t xml:space="preserve"> </w:t>
      </w:r>
      <w:r w:rsidRPr="00B16E6B">
        <w:t xml:space="preserve">and can be used as a comparator with the remaining </w:t>
      </w:r>
      <w:r w:rsidR="00DC034B" w:rsidRPr="00B16E6B">
        <w:t xml:space="preserve">three </w:t>
      </w:r>
      <w:r w:rsidRPr="00B16E6B">
        <w:t xml:space="preserve">options. </w:t>
      </w:r>
      <w:r w:rsidR="000017F3" w:rsidRPr="00B16E6B">
        <w:t xml:space="preserve">No additional regulatory measures would be imposed on industry participants. </w:t>
      </w:r>
      <w:r w:rsidRPr="00B16E6B">
        <w:t>The most significant costs associated with option 1 are the transport sector’s ongoing exposure to threats and the potential that an incident occurs and insufficient mitigations are in place</w:t>
      </w:r>
      <w:r w:rsidR="00BD4143" w:rsidRPr="00B16E6B">
        <w:t>.</w:t>
      </w:r>
      <w:r w:rsidR="009250C3" w:rsidRPr="00B16E6B">
        <w:t xml:space="preserve"> Maintaining the current transport security legislative frameworks may expose the government to reputational risk from both industry and the travelling public, as other critical infrastructure sectors are required to mitigate against a broader range of hazards. </w:t>
      </w:r>
    </w:p>
    <w:p w14:paraId="498841CC" w14:textId="51EEA35C" w:rsidR="009250C3" w:rsidRPr="00B16E6B" w:rsidRDefault="009250C3" w:rsidP="009613E1">
      <w:pPr>
        <w:spacing w:line="271" w:lineRule="auto"/>
      </w:pPr>
      <w:r w:rsidRPr="00B16E6B">
        <w:lastRenderedPageBreak/>
        <w:t xml:space="preserve">Furthermore, </w:t>
      </w:r>
      <w:r w:rsidR="0087279A" w:rsidRPr="00B16E6B">
        <w:t>o</w:t>
      </w:r>
      <w:r w:rsidRPr="00B16E6B">
        <w:t xml:space="preserve">ption 1 does not address the international best practice relating to cyber security within the transport sector. For example, it would not consider: </w:t>
      </w:r>
    </w:p>
    <w:p w14:paraId="0B511BAF" w14:textId="3F4949F2" w:rsidR="009250C3" w:rsidRPr="00B16E6B" w:rsidRDefault="009250C3" w:rsidP="00A11AF5">
      <w:pPr>
        <w:pStyle w:val="ListParagraph"/>
        <w:numPr>
          <w:ilvl w:val="0"/>
          <w:numId w:val="21"/>
        </w:numPr>
        <w:spacing w:after="120" w:line="271" w:lineRule="auto"/>
        <w:ind w:left="714" w:hanging="357"/>
        <w:contextualSpacing w:val="0"/>
        <w:rPr>
          <w:bCs/>
          <w:lang w:val="en-US"/>
        </w:rPr>
      </w:pPr>
      <w:r w:rsidRPr="00B16E6B">
        <w:rPr>
          <w:bCs/>
          <w:lang w:val="en-US"/>
        </w:rPr>
        <w:t>ICAO’s Cybersecurity Policy Guidance, or Standard 4.9.1 of Annex 17, requiring cyber security be a regulated component of aviation security</w:t>
      </w:r>
    </w:p>
    <w:p w14:paraId="419FC39E" w14:textId="3DD333B2" w:rsidR="009250C3" w:rsidRPr="00B16E6B" w:rsidRDefault="009250C3"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the IMO’s Guidelines on Maritime Cyber Risk Management and the adoption of Resolution MSC.428(98) at its 98th session, which encourages </w:t>
      </w:r>
      <w:r w:rsidR="00B41F46" w:rsidRPr="00B16E6B">
        <w:rPr>
          <w:bCs/>
          <w:lang w:val="en-US"/>
        </w:rPr>
        <w:t>governments</w:t>
      </w:r>
      <w:r w:rsidRPr="00B16E6B">
        <w:rPr>
          <w:bCs/>
          <w:lang w:val="en-US"/>
        </w:rPr>
        <w:t xml:space="preserve"> to ensure cyber risks are appropriately addressed in existing safety management systems </w:t>
      </w:r>
    </w:p>
    <w:p w14:paraId="5EB41D99" w14:textId="3A876CEF" w:rsidR="009250C3" w:rsidRPr="00B16E6B" w:rsidRDefault="000017F3" w:rsidP="009613E1">
      <w:pPr>
        <w:keepNext/>
        <w:keepLines/>
        <w:spacing w:line="271" w:lineRule="auto"/>
      </w:pPr>
      <w:r w:rsidRPr="00B16E6B">
        <w:t>For the purposes of modelling the potential costs associated with the realisation of all</w:t>
      </w:r>
      <w:r w:rsidR="00865AA6" w:rsidRPr="00B16E6B">
        <w:t xml:space="preserve"> </w:t>
      </w:r>
      <w:r w:rsidRPr="00B16E6B">
        <w:t xml:space="preserve">hazard </w:t>
      </w:r>
      <w:r w:rsidR="00EB7EBC" w:rsidRPr="00B16E6B">
        <w:t xml:space="preserve">security </w:t>
      </w:r>
      <w:r w:rsidRPr="00B16E6B">
        <w:t xml:space="preserve">threats for Australia’s transport sector, </w:t>
      </w:r>
      <w:r w:rsidR="007D2E4F" w:rsidRPr="00B16E6B">
        <w:t xml:space="preserve">the three scenarios </w:t>
      </w:r>
      <w:r w:rsidR="00E24612" w:rsidRPr="00B16E6B">
        <w:t xml:space="preserve">noted in </w:t>
      </w:r>
      <w:r w:rsidRPr="00B16E6B">
        <w:t>table 1</w:t>
      </w:r>
      <w:r w:rsidR="00A027FB" w:rsidRPr="00B16E6B">
        <w:t>1</w:t>
      </w:r>
      <w:r w:rsidRPr="00B16E6B">
        <w:t xml:space="preserve"> below </w:t>
      </w:r>
      <w:r w:rsidR="006D03E1" w:rsidRPr="00B16E6B">
        <w:t xml:space="preserve">were used. </w:t>
      </w:r>
      <w:r w:rsidR="002D4E64" w:rsidRPr="00B16E6B">
        <w:t>These scenarios and associated costs are based on case studies and analysis of real world disruptions arising from the realisation of all</w:t>
      </w:r>
      <w:r w:rsidR="00865AA6" w:rsidRPr="00B16E6B">
        <w:t xml:space="preserve"> </w:t>
      </w:r>
      <w:r w:rsidR="002D4E64" w:rsidRPr="00B16E6B">
        <w:t>hazard threats</w:t>
      </w:r>
      <w:r w:rsidR="000E5370" w:rsidRPr="00B16E6B">
        <w:t xml:space="preserve">. </w:t>
      </w:r>
      <w:r w:rsidR="009170C6" w:rsidRPr="00B16E6B">
        <w:t>To support the analysis, a CGE modelling approach was used to consider the direct and indirect impacts of the proposed changes to the broader economy where quantification of the impact of potential all hazard incidents was possible. The case studies,</w:t>
      </w:r>
      <w:r w:rsidR="000E5370" w:rsidRPr="00B16E6B">
        <w:t xml:space="preserve"> associated costs</w:t>
      </w:r>
      <w:r w:rsidR="009170C6" w:rsidRPr="00B16E6B">
        <w:t xml:space="preserve"> and CGE modelling approach</w:t>
      </w:r>
      <w:r w:rsidR="000E5370" w:rsidRPr="00B16E6B">
        <w:t xml:space="preserve"> are </w:t>
      </w:r>
      <w:r w:rsidR="002D4E64" w:rsidRPr="00B16E6B">
        <w:t xml:space="preserve">discussed in greater detail in the section 4.5.2 below (discussion of </w:t>
      </w:r>
      <w:r w:rsidR="00460973" w:rsidRPr="00B16E6B">
        <w:t>option</w:t>
      </w:r>
      <w:r w:rsidR="002D4E64" w:rsidRPr="00B16E6B">
        <w:t xml:space="preserve"> 4 benefit</w:t>
      </w:r>
      <w:r w:rsidR="000E5370" w:rsidRPr="00B16E6B">
        <w:t>s</w:t>
      </w:r>
      <w:r w:rsidR="002D4E64" w:rsidRPr="00B16E6B">
        <w:t xml:space="preserve">). </w:t>
      </w:r>
    </w:p>
    <w:p w14:paraId="2FE7883E" w14:textId="63ACA9F4" w:rsidR="00F42F89" w:rsidRPr="00B16E6B" w:rsidRDefault="00F42F89" w:rsidP="009613E1">
      <w:pPr>
        <w:spacing w:after="60" w:line="271" w:lineRule="auto"/>
        <w:rPr>
          <w:rFonts w:eastAsia="Times New Roman" w:cs="Arial"/>
          <w:i/>
          <w:iCs/>
          <w:color w:val="44546A"/>
          <w:sz w:val="18"/>
          <w:szCs w:val="18"/>
          <w:lang w:eastAsia="en-AU"/>
        </w:rPr>
      </w:pPr>
      <w:r w:rsidRPr="00B16E6B">
        <w:rPr>
          <w:rFonts w:eastAsia="Times New Roman" w:cs="Arial"/>
          <w:b/>
          <w:bCs/>
          <w:i/>
          <w:iCs/>
          <w:color w:val="44546A"/>
          <w:sz w:val="18"/>
          <w:szCs w:val="18"/>
          <w:lang w:eastAsia="en-AU"/>
        </w:rPr>
        <w:t>Table 1</w:t>
      </w:r>
      <w:r w:rsidR="00E064DD" w:rsidRPr="00B16E6B">
        <w:rPr>
          <w:rFonts w:eastAsia="Times New Roman" w:cs="Arial"/>
          <w:b/>
          <w:bCs/>
          <w:i/>
          <w:iCs/>
          <w:color w:val="44546A"/>
          <w:sz w:val="18"/>
          <w:szCs w:val="18"/>
          <w:lang w:eastAsia="en-AU"/>
        </w:rPr>
        <w:t>1</w:t>
      </w:r>
      <w:r w:rsidRPr="00B16E6B">
        <w:rPr>
          <w:rFonts w:eastAsia="Times New Roman" w:cs="Arial"/>
          <w:b/>
          <w:bCs/>
          <w:i/>
          <w:iCs/>
          <w:color w:val="44546A"/>
          <w:sz w:val="18"/>
          <w:szCs w:val="18"/>
          <w:lang w:eastAsia="en-AU"/>
        </w:rPr>
        <w:t xml:space="preserve">: </w:t>
      </w:r>
      <w:r w:rsidRPr="00B16E6B">
        <w:rPr>
          <w:rFonts w:eastAsia="Times New Roman" w:cs="Arial"/>
          <w:bCs/>
          <w:i/>
          <w:iCs/>
          <w:color w:val="44546A"/>
          <w:sz w:val="18"/>
          <w:szCs w:val="18"/>
          <w:lang w:eastAsia="en-AU"/>
        </w:rPr>
        <w:t xml:space="preserve">Summary of </w:t>
      </w:r>
      <w:r w:rsidR="006667F9" w:rsidRPr="00B16E6B">
        <w:rPr>
          <w:rFonts w:eastAsia="Times New Roman" w:cs="Arial"/>
          <w:bCs/>
          <w:i/>
          <w:iCs/>
          <w:color w:val="44546A"/>
          <w:sz w:val="18"/>
          <w:szCs w:val="18"/>
          <w:lang w:eastAsia="en-AU"/>
        </w:rPr>
        <w:t xml:space="preserve">costs </w:t>
      </w:r>
      <w:r w:rsidRPr="00B16E6B">
        <w:rPr>
          <w:rFonts w:eastAsia="Times New Roman" w:cs="Arial"/>
          <w:bCs/>
          <w:i/>
          <w:iCs/>
          <w:color w:val="44546A"/>
          <w:sz w:val="18"/>
          <w:szCs w:val="18"/>
          <w:lang w:eastAsia="en-AU"/>
        </w:rPr>
        <w:t>for each scenario</w:t>
      </w:r>
    </w:p>
    <w:tbl>
      <w:tblPr>
        <w:tblStyle w:val="TableGrid"/>
        <w:tblW w:w="9498" w:type="dxa"/>
        <w:tblInd w:w="71"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7"/>
        <w:gridCol w:w="2457"/>
        <w:gridCol w:w="2457"/>
        <w:gridCol w:w="2457"/>
      </w:tblGrid>
      <w:tr w:rsidR="00F42F89" w:rsidRPr="00B16E6B" w14:paraId="01D5AB1D" w14:textId="77777777" w:rsidTr="003E3010">
        <w:trPr>
          <w:trHeight w:val="676"/>
        </w:trPr>
        <w:tc>
          <w:tcPr>
            <w:tcW w:w="2127" w:type="dxa"/>
            <w:shd w:val="clear" w:color="auto" w:fill="1C2B39" w:themeFill="accent1"/>
            <w:vAlign w:val="center"/>
            <w:hideMark/>
          </w:tcPr>
          <w:p w14:paraId="60628E16" w14:textId="77777777" w:rsidR="00F42F89" w:rsidRPr="00B16E6B" w:rsidRDefault="00F42F89" w:rsidP="009613E1">
            <w:pPr>
              <w:spacing w:before="20" w:after="20" w:line="271" w:lineRule="auto"/>
              <w:jc w:val="center"/>
              <w:rPr>
                <w:rFonts w:ascii="Arial" w:hAnsi="Arial" w:cs="Arial"/>
                <w:b/>
                <w:bCs/>
                <w:sz w:val="20"/>
                <w:szCs w:val="20"/>
              </w:rPr>
            </w:pPr>
          </w:p>
        </w:tc>
        <w:tc>
          <w:tcPr>
            <w:tcW w:w="2457" w:type="dxa"/>
            <w:shd w:val="clear" w:color="auto" w:fill="1C2B39" w:themeFill="accent1"/>
            <w:vAlign w:val="center"/>
          </w:tcPr>
          <w:p w14:paraId="3FF1BA7C" w14:textId="7450EF61" w:rsidR="00F42F89" w:rsidRPr="00B16E6B" w:rsidRDefault="00F42F89" w:rsidP="009613E1">
            <w:pPr>
              <w:spacing w:before="60" w:after="60" w:line="271" w:lineRule="auto"/>
              <w:jc w:val="center"/>
              <w:rPr>
                <w:rFonts w:ascii="Arial" w:hAnsi="Arial" w:cs="Arial"/>
                <w:b/>
                <w:bCs/>
                <w:sz w:val="20"/>
                <w:szCs w:val="20"/>
              </w:rPr>
            </w:pPr>
            <w:r w:rsidRPr="00B16E6B">
              <w:rPr>
                <w:rFonts w:ascii="Arial" w:hAnsi="Arial" w:cs="Arial"/>
                <w:b/>
                <w:bCs/>
                <w:sz w:val="20"/>
                <w:szCs w:val="20"/>
              </w:rPr>
              <w:t xml:space="preserve">Scenario 1 </w:t>
            </w:r>
            <w:r w:rsidR="000E5370" w:rsidRPr="00B16E6B">
              <w:rPr>
                <w:rFonts w:ascii="Arial" w:hAnsi="Arial" w:cs="Arial"/>
                <w:b/>
                <w:bCs/>
                <w:sz w:val="20"/>
                <w:szCs w:val="20"/>
              </w:rPr>
              <w:t>Port closure for 22.2 days</w:t>
            </w:r>
            <w:r w:rsidR="000E5370" w:rsidRPr="00B16E6B">
              <w:rPr>
                <w:rFonts w:ascii="Arial" w:hAnsi="Arial" w:cs="Arial"/>
                <w:b/>
                <w:bCs/>
                <w:sz w:val="20"/>
                <w:szCs w:val="20"/>
              </w:rPr>
              <w:br/>
            </w:r>
            <w:r w:rsidRPr="00B16E6B">
              <w:rPr>
                <w:rFonts w:ascii="Arial" w:hAnsi="Arial" w:cs="Arial"/>
                <w:b/>
                <w:bCs/>
                <w:sz w:val="20"/>
                <w:szCs w:val="20"/>
              </w:rPr>
              <w:t>(Severe)</w:t>
            </w:r>
          </w:p>
        </w:tc>
        <w:tc>
          <w:tcPr>
            <w:tcW w:w="2457" w:type="dxa"/>
            <w:shd w:val="clear" w:color="auto" w:fill="1C2B39" w:themeFill="accent1"/>
            <w:vAlign w:val="center"/>
          </w:tcPr>
          <w:p w14:paraId="378BEE61" w14:textId="1A112B63" w:rsidR="00F42F89" w:rsidRPr="00B16E6B" w:rsidRDefault="00F42F89" w:rsidP="009613E1">
            <w:pPr>
              <w:spacing w:before="60" w:after="60" w:line="271" w:lineRule="auto"/>
              <w:jc w:val="center"/>
              <w:rPr>
                <w:rFonts w:ascii="Arial" w:hAnsi="Arial" w:cs="Arial"/>
                <w:b/>
                <w:bCs/>
                <w:sz w:val="20"/>
                <w:szCs w:val="20"/>
              </w:rPr>
            </w:pPr>
            <w:r w:rsidRPr="00B16E6B">
              <w:rPr>
                <w:rFonts w:ascii="Arial" w:hAnsi="Arial" w:cs="Arial"/>
                <w:b/>
                <w:bCs/>
                <w:sz w:val="20"/>
                <w:szCs w:val="20"/>
              </w:rPr>
              <w:t xml:space="preserve">Scenario 2 </w:t>
            </w:r>
            <w:r w:rsidR="000E5370" w:rsidRPr="00B16E6B">
              <w:rPr>
                <w:rFonts w:ascii="Arial" w:hAnsi="Arial" w:cs="Arial"/>
                <w:b/>
                <w:bCs/>
                <w:sz w:val="20"/>
                <w:szCs w:val="20"/>
              </w:rPr>
              <w:t>British Airways data breach</w:t>
            </w:r>
            <w:r w:rsidR="000E5370" w:rsidRPr="00B16E6B">
              <w:rPr>
                <w:rFonts w:ascii="Arial" w:hAnsi="Arial" w:cs="Arial"/>
                <w:b/>
                <w:bCs/>
                <w:sz w:val="20"/>
                <w:szCs w:val="20"/>
              </w:rPr>
              <w:br/>
            </w:r>
            <w:r w:rsidRPr="00B16E6B">
              <w:rPr>
                <w:rFonts w:ascii="Arial" w:hAnsi="Arial" w:cs="Arial"/>
                <w:b/>
                <w:bCs/>
                <w:sz w:val="20"/>
                <w:szCs w:val="20"/>
              </w:rPr>
              <w:t>(Moderate)</w:t>
            </w:r>
          </w:p>
        </w:tc>
        <w:tc>
          <w:tcPr>
            <w:tcW w:w="2457" w:type="dxa"/>
            <w:shd w:val="clear" w:color="auto" w:fill="1C2B39" w:themeFill="accent1"/>
            <w:vAlign w:val="center"/>
          </w:tcPr>
          <w:p w14:paraId="0E44D615" w14:textId="6B00F918" w:rsidR="00F42F89" w:rsidRPr="00B16E6B" w:rsidRDefault="00F42F89" w:rsidP="009613E1">
            <w:pPr>
              <w:spacing w:before="60" w:after="60" w:line="271" w:lineRule="auto"/>
              <w:jc w:val="center"/>
              <w:rPr>
                <w:rFonts w:ascii="Arial" w:hAnsi="Arial" w:cs="Arial"/>
                <w:b/>
                <w:bCs/>
                <w:sz w:val="20"/>
                <w:szCs w:val="20"/>
              </w:rPr>
            </w:pPr>
            <w:r w:rsidRPr="00B16E6B">
              <w:rPr>
                <w:rFonts w:ascii="Arial" w:hAnsi="Arial" w:cs="Arial"/>
                <w:b/>
                <w:bCs/>
                <w:sz w:val="20"/>
                <w:szCs w:val="20"/>
              </w:rPr>
              <w:t xml:space="preserve">Scenario 3 </w:t>
            </w:r>
            <w:r w:rsidR="000E5370" w:rsidRPr="00B16E6B">
              <w:rPr>
                <w:rFonts w:ascii="Arial" w:hAnsi="Arial" w:cs="Arial"/>
                <w:b/>
                <w:bCs/>
                <w:sz w:val="20"/>
                <w:szCs w:val="20"/>
              </w:rPr>
              <w:t>50% of Moderate scenario</w:t>
            </w:r>
            <w:r w:rsidR="000E5370" w:rsidRPr="00B16E6B">
              <w:rPr>
                <w:rFonts w:ascii="Arial" w:hAnsi="Arial" w:cs="Arial"/>
                <w:b/>
                <w:bCs/>
                <w:sz w:val="20"/>
                <w:szCs w:val="20"/>
              </w:rPr>
              <w:br/>
            </w:r>
            <w:r w:rsidRPr="00B16E6B">
              <w:rPr>
                <w:rFonts w:ascii="Arial" w:hAnsi="Arial" w:cs="Arial"/>
                <w:b/>
                <w:bCs/>
                <w:sz w:val="20"/>
                <w:szCs w:val="20"/>
              </w:rPr>
              <w:t>(Low)</w:t>
            </w:r>
          </w:p>
        </w:tc>
      </w:tr>
      <w:tr w:rsidR="00F42F89" w:rsidRPr="00B16E6B" w14:paraId="29C9DB7F" w14:textId="77777777" w:rsidTr="003E3010">
        <w:trPr>
          <w:trHeight w:val="503"/>
        </w:trPr>
        <w:tc>
          <w:tcPr>
            <w:tcW w:w="2127" w:type="dxa"/>
            <w:shd w:val="clear" w:color="auto" w:fill="F2F2F2"/>
            <w:vAlign w:val="center"/>
          </w:tcPr>
          <w:p w14:paraId="7D1235F2" w14:textId="6219C993" w:rsidR="00F42F89" w:rsidRPr="00B16E6B" w:rsidRDefault="00F42F89" w:rsidP="009613E1">
            <w:pPr>
              <w:spacing w:before="20" w:after="20" w:line="271" w:lineRule="auto"/>
              <w:jc w:val="center"/>
              <w:rPr>
                <w:rFonts w:ascii="Arial" w:hAnsi="Arial" w:cs="Arial"/>
                <w:sz w:val="20"/>
                <w:szCs w:val="20"/>
              </w:rPr>
            </w:pPr>
            <w:r w:rsidRPr="00B16E6B">
              <w:rPr>
                <w:rFonts w:ascii="Arial" w:hAnsi="Arial" w:cs="Arial"/>
                <w:sz w:val="20"/>
                <w:szCs w:val="20"/>
              </w:rPr>
              <w:t>Direct cost ($ million)</w:t>
            </w:r>
          </w:p>
        </w:tc>
        <w:tc>
          <w:tcPr>
            <w:tcW w:w="2457" w:type="dxa"/>
            <w:shd w:val="clear" w:color="auto" w:fill="FFFFFF" w:themeFill="background1"/>
            <w:vAlign w:val="center"/>
          </w:tcPr>
          <w:p w14:paraId="3EAC90E2" w14:textId="77777777" w:rsidR="00F42F89" w:rsidRPr="00B16E6B" w:rsidRDefault="00F42F89" w:rsidP="009613E1">
            <w:pPr>
              <w:spacing w:before="20" w:after="20" w:line="271" w:lineRule="auto"/>
              <w:jc w:val="center"/>
              <w:rPr>
                <w:rFonts w:ascii="Arial" w:hAnsi="Arial" w:cs="Arial"/>
                <w:sz w:val="20"/>
                <w:szCs w:val="20"/>
              </w:rPr>
            </w:pPr>
            <w:r w:rsidRPr="00B16E6B">
              <w:rPr>
                <w:rFonts w:ascii="Arial" w:hAnsi="Arial" w:cs="Arial"/>
                <w:sz w:val="20"/>
                <w:szCs w:val="20"/>
              </w:rPr>
              <w:t>$291.5 million</w:t>
            </w:r>
          </w:p>
        </w:tc>
        <w:tc>
          <w:tcPr>
            <w:tcW w:w="2457" w:type="dxa"/>
            <w:shd w:val="clear" w:color="auto" w:fill="FFFFFF" w:themeFill="background1"/>
            <w:vAlign w:val="center"/>
          </w:tcPr>
          <w:p w14:paraId="7D3F0457" w14:textId="77777777" w:rsidR="00F42F89" w:rsidRPr="00B16E6B" w:rsidRDefault="00F42F89" w:rsidP="009613E1">
            <w:pPr>
              <w:spacing w:before="20" w:after="20" w:line="271" w:lineRule="auto"/>
              <w:jc w:val="center"/>
              <w:rPr>
                <w:rFonts w:ascii="Arial" w:hAnsi="Arial" w:cs="Arial"/>
                <w:sz w:val="20"/>
                <w:szCs w:val="20"/>
              </w:rPr>
            </w:pPr>
            <w:r w:rsidRPr="00B16E6B">
              <w:rPr>
                <w:rFonts w:ascii="Arial" w:hAnsi="Arial" w:cs="Arial"/>
                <w:sz w:val="20"/>
                <w:szCs w:val="20"/>
              </w:rPr>
              <w:t>$129.0 million</w:t>
            </w:r>
          </w:p>
        </w:tc>
        <w:tc>
          <w:tcPr>
            <w:tcW w:w="2457" w:type="dxa"/>
            <w:shd w:val="clear" w:color="auto" w:fill="FFFFFF" w:themeFill="background1"/>
            <w:vAlign w:val="center"/>
          </w:tcPr>
          <w:p w14:paraId="7596806D" w14:textId="787A41ED" w:rsidR="00F42F89" w:rsidRPr="00B16E6B" w:rsidRDefault="006667F9" w:rsidP="009613E1">
            <w:pPr>
              <w:spacing w:before="20" w:after="20" w:line="271" w:lineRule="auto"/>
              <w:jc w:val="center"/>
              <w:rPr>
                <w:rFonts w:ascii="Arial" w:hAnsi="Arial" w:cs="Arial"/>
                <w:color w:val="1C2B39" w:themeColor="text1"/>
                <w:sz w:val="20"/>
                <w:szCs w:val="20"/>
              </w:rPr>
            </w:pPr>
            <w:r w:rsidRPr="00B16E6B">
              <w:rPr>
                <w:rFonts w:ascii="Arial" w:hAnsi="Arial" w:cs="Arial"/>
                <w:color w:val="1C2B39" w:themeColor="text1"/>
                <w:sz w:val="20"/>
                <w:szCs w:val="20"/>
              </w:rPr>
              <w:t>N/A</w:t>
            </w:r>
          </w:p>
        </w:tc>
      </w:tr>
      <w:tr w:rsidR="00F42F89" w:rsidRPr="00B16E6B" w14:paraId="298C240D" w14:textId="77777777" w:rsidTr="003E3010">
        <w:trPr>
          <w:trHeight w:val="427"/>
        </w:trPr>
        <w:tc>
          <w:tcPr>
            <w:tcW w:w="2127" w:type="dxa"/>
            <w:shd w:val="clear" w:color="auto" w:fill="F2F2F2"/>
            <w:vAlign w:val="center"/>
          </w:tcPr>
          <w:p w14:paraId="3FF66164" w14:textId="494C69B7" w:rsidR="00F42F89" w:rsidRPr="00B16E6B" w:rsidRDefault="00F42F89" w:rsidP="009613E1">
            <w:pPr>
              <w:spacing w:before="20" w:after="20" w:line="271" w:lineRule="auto"/>
              <w:jc w:val="center"/>
              <w:rPr>
                <w:rFonts w:ascii="Arial" w:hAnsi="Arial" w:cs="Arial"/>
                <w:sz w:val="20"/>
                <w:szCs w:val="20"/>
              </w:rPr>
            </w:pPr>
            <w:r w:rsidRPr="00B16E6B">
              <w:rPr>
                <w:rFonts w:ascii="Arial" w:hAnsi="Arial" w:cs="Arial"/>
                <w:sz w:val="20"/>
                <w:szCs w:val="20"/>
              </w:rPr>
              <w:t>Indirect cost ($ million)</w:t>
            </w:r>
          </w:p>
        </w:tc>
        <w:tc>
          <w:tcPr>
            <w:tcW w:w="2457" w:type="dxa"/>
            <w:shd w:val="clear" w:color="auto" w:fill="FFFFFF" w:themeFill="background1"/>
            <w:vAlign w:val="center"/>
          </w:tcPr>
          <w:p w14:paraId="6A031364" w14:textId="77777777" w:rsidR="00F42F89" w:rsidRPr="00B16E6B" w:rsidRDefault="00F42F89" w:rsidP="009613E1">
            <w:pPr>
              <w:spacing w:before="20" w:after="20" w:line="271" w:lineRule="auto"/>
              <w:jc w:val="center"/>
              <w:rPr>
                <w:rFonts w:ascii="Arial" w:hAnsi="Arial" w:cs="Arial"/>
                <w:sz w:val="20"/>
                <w:szCs w:val="20"/>
              </w:rPr>
            </w:pPr>
            <w:r w:rsidRPr="00B16E6B">
              <w:rPr>
                <w:rFonts w:ascii="Arial" w:hAnsi="Arial" w:cs="Arial"/>
                <w:sz w:val="20"/>
                <w:szCs w:val="20"/>
              </w:rPr>
              <w:t>$214.7 million</w:t>
            </w:r>
          </w:p>
        </w:tc>
        <w:tc>
          <w:tcPr>
            <w:tcW w:w="2457" w:type="dxa"/>
            <w:shd w:val="clear" w:color="auto" w:fill="FFFFFF" w:themeFill="background1"/>
            <w:vAlign w:val="center"/>
          </w:tcPr>
          <w:p w14:paraId="130BC9E8" w14:textId="77777777" w:rsidR="00F42F89" w:rsidRPr="00B16E6B" w:rsidRDefault="00F42F89" w:rsidP="009613E1">
            <w:pPr>
              <w:spacing w:before="20" w:after="20" w:line="271" w:lineRule="auto"/>
              <w:jc w:val="center"/>
              <w:rPr>
                <w:rFonts w:ascii="Arial" w:hAnsi="Arial" w:cs="Arial"/>
                <w:sz w:val="20"/>
                <w:szCs w:val="20"/>
              </w:rPr>
            </w:pPr>
            <w:r w:rsidRPr="00B16E6B">
              <w:rPr>
                <w:rFonts w:ascii="Arial" w:hAnsi="Arial" w:cs="Arial"/>
                <w:sz w:val="20"/>
                <w:szCs w:val="20"/>
              </w:rPr>
              <w:t>Nil *</w:t>
            </w:r>
          </w:p>
        </w:tc>
        <w:tc>
          <w:tcPr>
            <w:tcW w:w="2457" w:type="dxa"/>
            <w:shd w:val="clear" w:color="auto" w:fill="FFFFFF" w:themeFill="background1"/>
            <w:vAlign w:val="center"/>
          </w:tcPr>
          <w:p w14:paraId="464D964F" w14:textId="5B18AD8A" w:rsidR="00F42F89" w:rsidRPr="00B16E6B" w:rsidRDefault="006667F9" w:rsidP="009613E1">
            <w:pPr>
              <w:spacing w:before="20" w:after="20" w:line="271" w:lineRule="auto"/>
              <w:jc w:val="center"/>
              <w:rPr>
                <w:rFonts w:ascii="Arial" w:hAnsi="Arial" w:cs="Arial"/>
                <w:color w:val="1C2B39" w:themeColor="text1"/>
                <w:sz w:val="20"/>
                <w:szCs w:val="20"/>
              </w:rPr>
            </w:pPr>
            <w:r w:rsidRPr="00B16E6B">
              <w:rPr>
                <w:rFonts w:ascii="Arial" w:hAnsi="Arial" w:cs="Arial"/>
                <w:color w:val="1C2B39" w:themeColor="text1"/>
                <w:sz w:val="20"/>
                <w:szCs w:val="20"/>
              </w:rPr>
              <w:t>N/A</w:t>
            </w:r>
          </w:p>
        </w:tc>
      </w:tr>
      <w:tr w:rsidR="00F42F89" w:rsidRPr="00B16E6B" w14:paraId="5C56FB14" w14:textId="77777777" w:rsidTr="003E3010">
        <w:trPr>
          <w:trHeight w:val="419"/>
        </w:trPr>
        <w:tc>
          <w:tcPr>
            <w:tcW w:w="2127" w:type="dxa"/>
            <w:shd w:val="clear" w:color="auto" w:fill="F2F2F2"/>
            <w:vAlign w:val="center"/>
          </w:tcPr>
          <w:p w14:paraId="004FC7EA" w14:textId="59015B38" w:rsidR="00F42F89" w:rsidRPr="00B16E6B" w:rsidRDefault="00F42F89" w:rsidP="009613E1">
            <w:pPr>
              <w:spacing w:before="20" w:after="20" w:line="271" w:lineRule="auto"/>
              <w:jc w:val="center"/>
              <w:rPr>
                <w:rFonts w:ascii="Arial" w:hAnsi="Arial" w:cs="Arial"/>
                <w:sz w:val="20"/>
                <w:szCs w:val="20"/>
              </w:rPr>
            </w:pPr>
            <w:r w:rsidRPr="00B16E6B">
              <w:rPr>
                <w:rFonts w:ascii="Arial" w:hAnsi="Arial" w:cs="Arial"/>
                <w:sz w:val="20"/>
                <w:szCs w:val="20"/>
              </w:rPr>
              <w:t>Total cost to the economy of the incident ($ million)</w:t>
            </w:r>
          </w:p>
        </w:tc>
        <w:tc>
          <w:tcPr>
            <w:tcW w:w="2457" w:type="dxa"/>
            <w:shd w:val="clear" w:color="auto" w:fill="FFFFFF" w:themeFill="background1"/>
            <w:vAlign w:val="center"/>
          </w:tcPr>
          <w:p w14:paraId="0FB51089" w14:textId="77777777" w:rsidR="00F42F89" w:rsidRPr="00B16E6B" w:rsidRDefault="00F42F89" w:rsidP="009613E1">
            <w:pPr>
              <w:spacing w:before="20" w:after="20" w:line="271" w:lineRule="auto"/>
              <w:jc w:val="center"/>
              <w:rPr>
                <w:rFonts w:ascii="Arial" w:hAnsi="Arial" w:cs="Arial"/>
                <w:sz w:val="20"/>
                <w:szCs w:val="20"/>
              </w:rPr>
            </w:pPr>
            <w:r w:rsidRPr="00B16E6B">
              <w:rPr>
                <w:rFonts w:ascii="Arial" w:hAnsi="Arial" w:cs="Arial"/>
                <w:sz w:val="20"/>
                <w:szCs w:val="20"/>
              </w:rPr>
              <w:t>$506.2 million</w:t>
            </w:r>
          </w:p>
        </w:tc>
        <w:tc>
          <w:tcPr>
            <w:tcW w:w="2457" w:type="dxa"/>
            <w:shd w:val="clear" w:color="auto" w:fill="FFFFFF" w:themeFill="background1"/>
            <w:vAlign w:val="center"/>
          </w:tcPr>
          <w:p w14:paraId="304817E9" w14:textId="77777777" w:rsidR="00F42F89" w:rsidRPr="00B16E6B" w:rsidRDefault="00F42F89" w:rsidP="009613E1">
            <w:pPr>
              <w:spacing w:before="20" w:after="20" w:line="271" w:lineRule="auto"/>
              <w:jc w:val="center"/>
              <w:rPr>
                <w:rFonts w:ascii="Arial" w:hAnsi="Arial" w:cs="Arial"/>
                <w:sz w:val="20"/>
                <w:szCs w:val="20"/>
              </w:rPr>
            </w:pPr>
            <w:r w:rsidRPr="00B16E6B">
              <w:rPr>
                <w:rFonts w:ascii="Arial" w:hAnsi="Arial" w:cs="Arial"/>
                <w:sz w:val="20"/>
                <w:szCs w:val="20"/>
              </w:rPr>
              <w:t>$129.0 million</w:t>
            </w:r>
          </w:p>
        </w:tc>
        <w:tc>
          <w:tcPr>
            <w:tcW w:w="2457" w:type="dxa"/>
            <w:shd w:val="clear" w:color="auto" w:fill="FFFFFF" w:themeFill="background1"/>
            <w:vAlign w:val="center"/>
          </w:tcPr>
          <w:p w14:paraId="58CA1A12" w14:textId="0FE5AA66" w:rsidR="00F42F89" w:rsidRPr="00B16E6B" w:rsidRDefault="00F42F89" w:rsidP="009613E1">
            <w:pPr>
              <w:spacing w:before="20" w:after="20" w:line="271" w:lineRule="auto"/>
              <w:jc w:val="center"/>
              <w:rPr>
                <w:rFonts w:ascii="Arial" w:hAnsi="Arial" w:cs="Arial"/>
                <w:color w:val="1C2B39" w:themeColor="text1"/>
                <w:sz w:val="20"/>
                <w:szCs w:val="20"/>
              </w:rPr>
            </w:pPr>
            <w:r w:rsidRPr="00B16E6B">
              <w:rPr>
                <w:rFonts w:ascii="Arial" w:hAnsi="Arial" w:cs="Arial"/>
                <w:color w:val="1C2B39" w:themeColor="text1"/>
                <w:sz w:val="20"/>
                <w:szCs w:val="20"/>
              </w:rPr>
              <w:t>$6</w:t>
            </w:r>
            <w:r w:rsidR="006667F9" w:rsidRPr="00B16E6B">
              <w:rPr>
                <w:rFonts w:ascii="Arial" w:hAnsi="Arial" w:cs="Arial"/>
                <w:color w:val="1C2B39" w:themeColor="text1"/>
                <w:sz w:val="20"/>
                <w:szCs w:val="20"/>
              </w:rPr>
              <w:t>4</w:t>
            </w:r>
            <w:r w:rsidRPr="00B16E6B">
              <w:rPr>
                <w:rFonts w:ascii="Arial" w:hAnsi="Arial" w:cs="Arial"/>
                <w:color w:val="1C2B39" w:themeColor="text1"/>
                <w:sz w:val="20"/>
                <w:szCs w:val="20"/>
              </w:rPr>
              <w:t>.</w:t>
            </w:r>
            <w:r w:rsidR="006667F9" w:rsidRPr="00B16E6B">
              <w:rPr>
                <w:rFonts w:ascii="Arial" w:hAnsi="Arial" w:cs="Arial"/>
                <w:color w:val="1C2B39" w:themeColor="text1"/>
                <w:sz w:val="20"/>
                <w:szCs w:val="20"/>
              </w:rPr>
              <w:t>5</w:t>
            </w:r>
            <w:r w:rsidRPr="00B16E6B">
              <w:rPr>
                <w:rFonts w:ascii="Arial" w:hAnsi="Arial" w:cs="Arial"/>
                <w:color w:val="1C2B39" w:themeColor="text1"/>
                <w:sz w:val="20"/>
                <w:szCs w:val="20"/>
              </w:rPr>
              <w:t xml:space="preserve"> million</w:t>
            </w:r>
          </w:p>
        </w:tc>
      </w:tr>
    </w:tbl>
    <w:p w14:paraId="10B16E65" w14:textId="58622A1F" w:rsidR="00F42F89" w:rsidRPr="00B16E6B" w:rsidRDefault="00F42F89" w:rsidP="009613E1">
      <w:pPr>
        <w:spacing w:after="0" w:line="271" w:lineRule="auto"/>
        <w:textAlignment w:val="baseline"/>
      </w:pPr>
    </w:p>
    <w:p w14:paraId="23B739FC" w14:textId="2BDB5820" w:rsidR="00FD6E1D" w:rsidRPr="00B16E6B" w:rsidRDefault="00F42F89" w:rsidP="009613E1">
      <w:pPr>
        <w:spacing w:after="0" w:line="271" w:lineRule="auto"/>
        <w:textAlignment w:val="baseline"/>
      </w:pPr>
      <w:r w:rsidRPr="00B16E6B">
        <w:t>Without adequate protections, industry and the Australian economy as a whole may incur costs in line with th</w:t>
      </w:r>
      <w:r w:rsidR="000E5370" w:rsidRPr="00B16E6B">
        <w:t>ese scenarios</w:t>
      </w:r>
      <w:r w:rsidRPr="00B16E6B">
        <w:t xml:space="preserve"> dependent on the severity and frequency of the disruption.</w:t>
      </w:r>
    </w:p>
    <w:p w14:paraId="47384D24" w14:textId="7AA3D847" w:rsidR="00FD6E1D" w:rsidRPr="00B16E6B" w:rsidRDefault="005F7FBE" w:rsidP="009613E1">
      <w:pPr>
        <w:pStyle w:val="Heading3"/>
        <w:spacing w:line="271" w:lineRule="auto"/>
      </w:pPr>
      <w:bookmarkStart w:id="11" w:name="_Toc161145173"/>
      <w:r w:rsidRPr="00B16E6B">
        <w:t>4.</w:t>
      </w:r>
      <w:r w:rsidR="00FD6E1D" w:rsidRPr="00B16E6B">
        <w:t xml:space="preserve">2.2 Benefits of </w:t>
      </w:r>
      <w:r w:rsidR="00460973" w:rsidRPr="00B16E6B">
        <w:t>option</w:t>
      </w:r>
      <w:r w:rsidR="00FD6E1D" w:rsidRPr="00B16E6B">
        <w:t xml:space="preserve"> 1</w:t>
      </w:r>
      <w:bookmarkEnd w:id="11"/>
    </w:p>
    <w:p w14:paraId="55F43AB0" w14:textId="24A3EE44" w:rsidR="00FD6E1D" w:rsidRPr="00B16E6B" w:rsidRDefault="00FD6E1D" w:rsidP="009613E1">
      <w:pPr>
        <w:spacing w:line="271" w:lineRule="auto"/>
      </w:pPr>
      <w:r w:rsidRPr="00B16E6B">
        <w:t xml:space="preserve">Under option 1, individuals and industry may benefit from ongoing operation in a familiar, consistent regulatory environment, with no additional regulatory costs. Industry will also be afforded the flexibility to address all hazard </w:t>
      </w:r>
      <w:r w:rsidR="00EB3FDB" w:rsidRPr="00B16E6B">
        <w:t xml:space="preserve">security </w:t>
      </w:r>
      <w:r w:rsidRPr="00B16E6B">
        <w:t xml:space="preserve">threats in a manner they see fit. </w:t>
      </w:r>
    </w:p>
    <w:p w14:paraId="157C5F43" w14:textId="5D5B6E0B" w:rsidR="00FD6E1D" w:rsidRPr="00B16E6B" w:rsidRDefault="00FD6E1D" w:rsidP="009613E1">
      <w:pPr>
        <w:pStyle w:val="Heading3"/>
        <w:spacing w:line="271" w:lineRule="auto"/>
      </w:pPr>
      <w:bookmarkStart w:id="12" w:name="_Toc161145174"/>
      <w:r w:rsidRPr="00B16E6B">
        <w:lastRenderedPageBreak/>
        <w:t xml:space="preserve">4.2.3 Likely net benefit of </w:t>
      </w:r>
      <w:r w:rsidR="00460973" w:rsidRPr="00B16E6B">
        <w:t>option</w:t>
      </w:r>
      <w:r w:rsidRPr="00B16E6B">
        <w:t xml:space="preserve"> 1</w:t>
      </w:r>
      <w:bookmarkEnd w:id="12"/>
    </w:p>
    <w:p w14:paraId="401D67EB" w14:textId="35D8C88D" w:rsidR="00AD7BAD" w:rsidRPr="00B16E6B" w:rsidRDefault="00FD6E1D" w:rsidP="009613E1">
      <w:pPr>
        <w:keepNext/>
        <w:keepLines/>
        <w:spacing w:line="271" w:lineRule="auto"/>
        <w:rPr>
          <w:rFonts w:asciiTheme="majorHAnsi" w:eastAsiaTheme="majorEastAsia" w:hAnsiTheme="majorHAnsi" w:cstheme="majorBidi"/>
          <w:color w:val="1C2B39" w:themeColor="accent1"/>
          <w:sz w:val="36"/>
          <w:szCs w:val="28"/>
        </w:rPr>
      </w:pPr>
      <w:r w:rsidRPr="00B16E6B">
        <w:t xml:space="preserve">It is anticipated that arguments put forward throughout this IA will demonstrate that option 1 is not capable of addressing the gaps which exist </w:t>
      </w:r>
      <w:r w:rsidR="00030550" w:rsidRPr="00B16E6B">
        <w:t>in Australia’s transport sector</w:t>
      </w:r>
      <w:r w:rsidRPr="00B16E6B">
        <w:t>. While, under the status quo, industry will face no increase in regulatory costs, stakeholders will suffer the forgone benefit of consistent and clear regulation</w:t>
      </w:r>
      <w:r w:rsidR="000E5370" w:rsidRPr="00B16E6B">
        <w:t xml:space="preserve"> and </w:t>
      </w:r>
      <w:r w:rsidRPr="00B16E6B">
        <w:t xml:space="preserve">agile industry-led responses in the aftermath of an incident. </w:t>
      </w:r>
      <w:r w:rsidR="00A3400D" w:rsidRPr="00B16E6B">
        <w:t>W</w:t>
      </w:r>
      <w:r w:rsidRPr="00B16E6B">
        <w:t xml:space="preserve">ithout addressing these gaps, the transport sector is left more vulnerable to a growing threat of </w:t>
      </w:r>
      <w:r w:rsidR="000E5370" w:rsidRPr="00B16E6B">
        <w:t>all</w:t>
      </w:r>
      <w:r w:rsidR="00865AA6" w:rsidRPr="00B16E6B">
        <w:t xml:space="preserve"> </w:t>
      </w:r>
      <w:r w:rsidR="000E5370" w:rsidRPr="00B16E6B">
        <w:t xml:space="preserve">hazard </w:t>
      </w:r>
      <w:r w:rsidRPr="00B16E6B">
        <w:t>incidents</w:t>
      </w:r>
      <w:r w:rsidR="000E5370" w:rsidRPr="00B16E6B">
        <w:t xml:space="preserve"> and the Australian economy is more exposed to the </w:t>
      </w:r>
      <w:r w:rsidR="00203A64" w:rsidRPr="00B16E6B">
        <w:t xml:space="preserve">potential </w:t>
      </w:r>
      <w:r w:rsidR="000E5370" w:rsidRPr="00B16E6B">
        <w:t>costs</w:t>
      </w:r>
      <w:r w:rsidRPr="00B16E6B">
        <w:t>.</w:t>
      </w:r>
      <w:r w:rsidR="00C7193F" w:rsidRPr="00B16E6B">
        <w:t xml:space="preserve"> </w:t>
      </w:r>
      <w:r w:rsidR="00203A64" w:rsidRPr="00B16E6B">
        <w:t>The examples of potential all</w:t>
      </w:r>
      <w:r w:rsidR="00865AA6" w:rsidRPr="00B16E6B">
        <w:t xml:space="preserve"> </w:t>
      </w:r>
      <w:r w:rsidR="00203A64" w:rsidRPr="00B16E6B">
        <w:t>hazard incidents identified in section 1.1.2 and the potential costs of these incidents noted above, demonstrates</w:t>
      </w:r>
      <w:r w:rsidR="000E5370" w:rsidRPr="00B16E6B">
        <w:t xml:space="preserve"> </w:t>
      </w:r>
      <w:r w:rsidR="00203A64" w:rsidRPr="00B16E6B">
        <w:t xml:space="preserve">the significant flow-on costs which can come from the disruption to the supply of goods, compromise of business operations, and other impacts. </w:t>
      </w:r>
      <w:r w:rsidR="00A3400D" w:rsidRPr="00B16E6B">
        <w:t xml:space="preserve">Consequently, over time the costs of </w:t>
      </w:r>
      <w:r w:rsidR="00460973" w:rsidRPr="00B16E6B">
        <w:t>option</w:t>
      </w:r>
      <w:r w:rsidR="00A3400D" w:rsidRPr="00B16E6B">
        <w:t xml:space="preserve"> 1 are expected to far exceed the benefit of operation in a familiar, consistent regulatory environment.</w:t>
      </w:r>
      <w:bookmarkStart w:id="13" w:name="_Toc161145175"/>
    </w:p>
    <w:p w14:paraId="645A82B1" w14:textId="5D8EA806" w:rsidR="00FD6E1D" w:rsidRPr="00B16E6B" w:rsidRDefault="00FD6E1D" w:rsidP="009613E1">
      <w:pPr>
        <w:pStyle w:val="Heading2"/>
        <w:spacing w:line="271" w:lineRule="auto"/>
      </w:pPr>
      <w:r w:rsidRPr="00B16E6B">
        <w:t xml:space="preserve">4.3 Likely net benefit assessment: </w:t>
      </w:r>
      <w:r w:rsidR="00460973" w:rsidRPr="00B16E6B">
        <w:t>option</w:t>
      </w:r>
      <w:r w:rsidRPr="00B16E6B">
        <w:t xml:space="preserve"> 2</w:t>
      </w:r>
      <w:bookmarkEnd w:id="13"/>
    </w:p>
    <w:p w14:paraId="7052F0BB" w14:textId="0A07A913" w:rsidR="009250C3" w:rsidRPr="00B16E6B" w:rsidRDefault="00FD6E1D" w:rsidP="009613E1">
      <w:pPr>
        <w:spacing w:line="271" w:lineRule="auto"/>
      </w:pPr>
      <w:r w:rsidRPr="00B16E6B">
        <w:t>The following section details the costs and bene</w:t>
      </w:r>
      <w:r w:rsidR="008E6BC9" w:rsidRPr="00B16E6B">
        <w:t>fits associated with o</w:t>
      </w:r>
      <w:r w:rsidRPr="00B16E6B">
        <w:t xml:space="preserve">ption 2 before assessing the overall likely net benefit presented by this option. </w:t>
      </w:r>
    </w:p>
    <w:p w14:paraId="6D05F919" w14:textId="6D5D4962" w:rsidR="00FD6E1D" w:rsidRPr="00B16E6B" w:rsidRDefault="00FD6E1D" w:rsidP="009613E1">
      <w:pPr>
        <w:pStyle w:val="Heading3"/>
        <w:spacing w:line="271" w:lineRule="auto"/>
      </w:pPr>
      <w:bookmarkStart w:id="14" w:name="_Toc161145176"/>
      <w:r w:rsidRPr="00B16E6B">
        <w:t xml:space="preserve">4.3.1 Costs of </w:t>
      </w:r>
      <w:r w:rsidR="00460973" w:rsidRPr="00B16E6B">
        <w:t>option</w:t>
      </w:r>
      <w:r w:rsidRPr="00B16E6B">
        <w:t xml:space="preserve"> 2</w:t>
      </w:r>
      <w:bookmarkEnd w:id="14"/>
    </w:p>
    <w:p w14:paraId="193233FD" w14:textId="77777777" w:rsidR="00FD6E1D" w:rsidRPr="00B16E6B" w:rsidRDefault="00985D9F" w:rsidP="009613E1">
      <w:pPr>
        <w:spacing w:line="271" w:lineRule="auto"/>
      </w:pPr>
      <w:r w:rsidRPr="00B16E6B">
        <w:t>Industry participants</w:t>
      </w:r>
      <w:r w:rsidR="00FD6E1D" w:rsidRPr="00B16E6B">
        <w:t xml:space="preserve"> who choose to consider the guidance and information distributed through various engagement forums, and implement recommended activities to address all hazards threats, will incur costs anywhere between option 1 (status quo) and option 4 (regulation)</w:t>
      </w:r>
      <w:r w:rsidR="00967A78" w:rsidRPr="00B16E6B">
        <w:t>. The incurred costs will</w:t>
      </w:r>
      <w:r w:rsidR="00FD6E1D" w:rsidRPr="00B16E6B">
        <w:t xml:space="preserve"> depend</w:t>
      </w:r>
      <w:r w:rsidR="00967A78" w:rsidRPr="00B16E6B">
        <w:t xml:space="preserve"> </w:t>
      </w:r>
      <w:r w:rsidR="00FD6E1D" w:rsidRPr="00B16E6B">
        <w:t xml:space="preserve">on the degree to which entities choose to enhance their practices in line with their improved understanding of the requirements and the changing threat environment. </w:t>
      </w:r>
    </w:p>
    <w:p w14:paraId="360126C9" w14:textId="3E5CFA38" w:rsidR="00FD6E1D" w:rsidRPr="00B16E6B" w:rsidRDefault="00FD6E1D" w:rsidP="009613E1">
      <w:pPr>
        <w:spacing w:line="271" w:lineRule="auto"/>
      </w:pPr>
      <w:r w:rsidRPr="00B16E6B">
        <w:t xml:space="preserve">For </w:t>
      </w:r>
      <w:r w:rsidR="00985D9F" w:rsidRPr="00B16E6B">
        <w:t>industry participants</w:t>
      </w:r>
      <w:r w:rsidRPr="00B16E6B">
        <w:t xml:space="preserve"> who choose not to consider the guidance </w:t>
      </w:r>
      <w:r w:rsidR="00E058C4" w:rsidRPr="00B16E6B">
        <w:t xml:space="preserve">and recommendations </w:t>
      </w:r>
      <w:r w:rsidRPr="00B16E6B">
        <w:t>and information distributed through various engagement forums and do not implement recommended activities to address all hazards threats, the costs incurred will be the same as those costs associated with option 1. This is because such entities would continue to operate under the status quo regulatory environment with an unchanged exposure to the risks identified in question 1 of this IA. Given these risks are growing, there are potential additional costs associated with the reali</w:t>
      </w:r>
      <w:r w:rsidR="00D9298B" w:rsidRPr="00B16E6B">
        <w:t xml:space="preserve">sation of, for example, a </w:t>
      </w:r>
      <w:r w:rsidR="000017F3" w:rsidRPr="00B16E6B">
        <w:t>cyber-incident</w:t>
      </w:r>
      <w:r w:rsidRPr="00B16E6B">
        <w:t xml:space="preserve"> for</w:t>
      </w:r>
      <w:r w:rsidR="002D6993" w:rsidRPr="00B16E6B">
        <w:t xml:space="preserve"> an</w:t>
      </w:r>
      <w:r w:rsidR="00BB08D9" w:rsidRPr="00B16E6B">
        <w:t xml:space="preserve"> aviation or</w:t>
      </w:r>
      <w:r w:rsidRPr="00B16E6B">
        <w:t xml:space="preserve"> maritime entity. </w:t>
      </w:r>
    </w:p>
    <w:p w14:paraId="3409DD81" w14:textId="3FE58BDA" w:rsidR="007B0D41" w:rsidRPr="00B16E6B" w:rsidRDefault="007B0D41" w:rsidP="009613E1">
      <w:pPr>
        <w:spacing w:line="271" w:lineRule="auto"/>
      </w:pPr>
      <w:r w:rsidRPr="00B16E6B">
        <w:t>For industry participants that do choose to voluntarily implement an all hazards</w:t>
      </w:r>
      <w:r w:rsidR="00030550" w:rsidRPr="00B16E6B">
        <w:t xml:space="preserve"> security approach</w:t>
      </w:r>
      <w:r w:rsidRPr="00B16E6B">
        <w:t>, the costs of this activity will be closer to that incurred under option 4 (refer to section 4.5.1 below for a description of these costs and the basis for the estimate included in this IA). Consequently, the overall cost of option 2 will be dependent on the proportion of entities which take-up an all hazards</w:t>
      </w:r>
      <w:r w:rsidR="00030550" w:rsidRPr="00B16E6B">
        <w:t xml:space="preserve"> security</w:t>
      </w:r>
      <w:r w:rsidRPr="00B16E6B">
        <w:t xml:space="preserve"> approach and the extent to which entities fully or only partially implement the requirements of all hazards security. For the purposes of this analysis, it is assumed that the cost of option 2 could be between 20% and 40% of the cost of option 4. This would result in a one-off cost to industry of between $38 million and $135 million and an on-going cost of between $23 million and $81 million per annum. Given the voluntary nature of this option, it </w:t>
      </w:r>
      <w:r w:rsidR="004B7CBC" w:rsidRPr="00B16E6B">
        <w:t>reasonable to assume</w:t>
      </w:r>
      <w:r w:rsidRPr="00B16E6B">
        <w:t xml:space="preserve"> that the total cost </w:t>
      </w:r>
      <w:r w:rsidR="004B7CBC" w:rsidRPr="00B16E6B">
        <w:t>of this option is more likely to be at the lower end of this range.</w:t>
      </w:r>
    </w:p>
    <w:p w14:paraId="6539B77F" w14:textId="6C8146CA" w:rsidR="00FD6E1D" w:rsidRPr="00B16E6B" w:rsidRDefault="00FD6E1D" w:rsidP="009613E1">
      <w:pPr>
        <w:keepNext/>
        <w:keepLines/>
        <w:spacing w:line="271" w:lineRule="auto"/>
      </w:pPr>
      <w:r w:rsidRPr="00B16E6B">
        <w:lastRenderedPageBreak/>
        <w:t xml:space="preserve">Where the gaps identified in the existing framework regulating Australia’s transport sector are not </w:t>
      </w:r>
      <w:r w:rsidR="001010D1" w:rsidRPr="00B16E6B">
        <w:t>voluntarily</w:t>
      </w:r>
      <w:r w:rsidR="00180D31" w:rsidRPr="00B16E6B">
        <w:t xml:space="preserve"> </w:t>
      </w:r>
      <w:r w:rsidRPr="00B16E6B">
        <w:t xml:space="preserve">addressed, industry and the Australian economy (including individuals, communities, and the environment) may incur additional costs, dependent on the severity and frequency of the disruption. As described previously in this IA, the current regulatory environment means </w:t>
      </w:r>
      <w:r w:rsidR="00487C6A" w:rsidRPr="00B16E6B">
        <w:t>government</w:t>
      </w:r>
      <w:r w:rsidRPr="00B16E6B">
        <w:t xml:space="preserve"> has limited visibility over industry’s existing risk management practices. This limited ability to ensure risks are appropriately managed, compounds the potential additional costs for those entities who continue with the status quo, and enlivens a reputational risk for </w:t>
      </w:r>
      <w:r w:rsidR="00487C6A" w:rsidRPr="00B16E6B">
        <w:t>government</w:t>
      </w:r>
      <w:r w:rsidRPr="00B16E6B">
        <w:t xml:space="preserve"> where future incidents can be linked to gaps in the regulatory regime (as is the case in option 1). </w:t>
      </w:r>
    </w:p>
    <w:p w14:paraId="32708DD4" w14:textId="031333D2" w:rsidR="009250C3" w:rsidRPr="00B16E6B" w:rsidRDefault="009250C3" w:rsidP="009613E1">
      <w:pPr>
        <w:spacing w:line="271" w:lineRule="auto"/>
        <w:rPr>
          <w:szCs w:val="22"/>
        </w:rPr>
      </w:pPr>
      <w:r w:rsidRPr="00B16E6B">
        <w:rPr>
          <w:szCs w:val="22"/>
        </w:rPr>
        <w:t xml:space="preserve">Furthermore, Option 2 does not address the international </w:t>
      </w:r>
      <w:r w:rsidR="00E044D2" w:rsidRPr="00B16E6B">
        <w:rPr>
          <w:szCs w:val="22"/>
        </w:rPr>
        <w:t xml:space="preserve">standards or </w:t>
      </w:r>
      <w:r w:rsidRPr="00B16E6B">
        <w:rPr>
          <w:szCs w:val="22"/>
        </w:rPr>
        <w:t>best practice</w:t>
      </w:r>
      <w:r w:rsidR="00E044D2" w:rsidRPr="00B16E6B">
        <w:rPr>
          <w:szCs w:val="22"/>
        </w:rPr>
        <w:t xml:space="preserve"> </w:t>
      </w:r>
      <w:r w:rsidRPr="00B16E6B">
        <w:rPr>
          <w:szCs w:val="22"/>
        </w:rPr>
        <w:t xml:space="preserve">relating to cyber security within the transport sector. For example, it would not consider: </w:t>
      </w:r>
    </w:p>
    <w:p w14:paraId="22FDD409" w14:textId="20B8E58D" w:rsidR="009250C3" w:rsidRPr="00B16E6B" w:rsidRDefault="009250C3" w:rsidP="00A11AF5">
      <w:pPr>
        <w:pStyle w:val="ListParagraph"/>
        <w:numPr>
          <w:ilvl w:val="0"/>
          <w:numId w:val="21"/>
        </w:numPr>
        <w:spacing w:line="271" w:lineRule="auto"/>
        <w:ind w:left="714" w:hanging="357"/>
        <w:contextualSpacing w:val="0"/>
        <w:rPr>
          <w:bCs/>
          <w:lang w:val="en-US"/>
        </w:rPr>
      </w:pPr>
      <w:r w:rsidRPr="00B16E6B">
        <w:rPr>
          <w:bCs/>
          <w:lang w:val="en-US"/>
        </w:rPr>
        <w:t>ICAO’s Cybersecurity Policy Guidance, or Standard 4.9.1 of Annex 17, requiring cyber security be a regulated component of aviation security</w:t>
      </w:r>
    </w:p>
    <w:p w14:paraId="7EBC24D3" w14:textId="0F098E40" w:rsidR="009250C3" w:rsidRPr="00B16E6B" w:rsidRDefault="009250C3" w:rsidP="00A11AF5">
      <w:pPr>
        <w:pStyle w:val="ListParagraph"/>
        <w:numPr>
          <w:ilvl w:val="0"/>
          <w:numId w:val="21"/>
        </w:numPr>
        <w:spacing w:line="271" w:lineRule="auto"/>
        <w:ind w:left="714" w:hanging="357"/>
        <w:contextualSpacing w:val="0"/>
        <w:rPr>
          <w:bCs/>
          <w:lang w:val="en-US"/>
        </w:rPr>
      </w:pPr>
      <w:r w:rsidRPr="00B16E6B">
        <w:rPr>
          <w:bCs/>
          <w:lang w:val="en-US"/>
        </w:rPr>
        <w:t xml:space="preserve">the IMO’s Guidelines on Maritime Cyber Risk Management and the adoption of Resolution MSC.428(98) at its 98th session, which encourages </w:t>
      </w:r>
      <w:r w:rsidR="00B41F46" w:rsidRPr="00B16E6B">
        <w:rPr>
          <w:bCs/>
          <w:lang w:val="en-US"/>
        </w:rPr>
        <w:t>governments</w:t>
      </w:r>
      <w:r w:rsidRPr="00B16E6B">
        <w:rPr>
          <w:bCs/>
          <w:lang w:val="en-US"/>
        </w:rPr>
        <w:t xml:space="preserve"> to ensure cyber risks are appropriately addressed in existing safety management systems </w:t>
      </w:r>
    </w:p>
    <w:p w14:paraId="7241721A" w14:textId="78336A04" w:rsidR="00FD6E1D" w:rsidRPr="00B16E6B" w:rsidRDefault="00FD6E1D" w:rsidP="009613E1">
      <w:pPr>
        <w:pStyle w:val="Heading3"/>
        <w:spacing w:line="271" w:lineRule="auto"/>
      </w:pPr>
      <w:bookmarkStart w:id="15" w:name="_Toc161145177"/>
      <w:r w:rsidRPr="00B16E6B">
        <w:t xml:space="preserve">4.3.2 Benefits of </w:t>
      </w:r>
      <w:r w:rsidR="00460973" w:rsidRPr="00B16E6B">
        <w:t>option</w:t>
      </w:r>
      <w:r w:rsidRPr="00B16E6B">
        <w:t xml:space="preserve"> 2</w:t>
      </w:r>
      <w:bookmarkEnd w:id="15"/>
    </w:p>
    <w:p w14:paraId="53C35005" w14:textId="77777777" w:rsidR="002D6993" w:rsidRPr="00B16E6B" w:rsidRDefault="00FD6E1D" w:rsidP="009613E1">
      <w:pPr>
        <w:keepNext/>
        <w:keepLines/>
        <w:spacing w:line="271" w:lineRule="auto"/>
      </w:pPr>
      <w:r w:rsidRPr="00B16E6B">
        <w:t xml:space="preserve">Under option 2, industry will experience some of the benefits depending on the extent that industry participants voluntarily choose to </w:t>
      </w:r>
      <w:r w:rsidRPr="00B16E6B">
        <w:rPr>
          <w:lang w:val="en-US"/>
        </w:rPr>
        <w:t>address all hazard threats and consider mitigation strategies for the risks facing their business operations</w:t>
      </w:r>
      <w:r w:rsidRPr="00B16E6B">
        <w:t xml:space="preserve">. The realisation of benefits is, however, inherently limited because participation is voluntary under option 2. Therefore, compliance with enhanced risk management standards and practices cannot be assured or enforced. Sector-wide compliance is crucial for supporting coordinated </w:t>
      </w:r>
      <w:r w:rsidR="00AF1FBF" w:rsidRPr="00B16E6B">
        <w:t>increase</w:t>
      </w:r>
      <w:r w:rsidRPr="00B16E6B">
        <w:t xml:space="preserve"> in risk management standards, </w:t>
      </w:r>
      <w:r w:rsidR="00EB3FDB" w:rsidRPr="00B16E6B">
        <w:t xml:space="preserve">strengthening industry resilience, </w:t>
      </w:r>
      <w:r w:rsidRPr="00B16E6B">
        <w:t>and consistency in responding i</w:t>
      </w:r>
      <w:r w:rsidR="00CB7098" w:rsidRPr="00B16E6B">
        <w:t>n the aftermath of an incident.</w:t>
      </w:r>
    </w:p>
    <w:p w14:paraId="06E1C455" w14:textId="77777777" w:rsidR="00FD6E1D" w:rsidRPr="00B16E6B" w:rsidRDefault="00FD6E1D" w:rsidP="009613E1">
      <w:pPr>
        <w:spacing w:line="271" w:lineRule="auto"/>
      </w:pPr>
      <w:r w:rsidRPr="00B16E6B">
        <w:t xml:space="preserve">As such, only some benefits may be realised where industry chooses to engage with the voluntary requirements, including: </w:t>
      </w:r>
    </w:p>
    <w:p w14:paraId="1E35B5AA" w14:textId="77777777" w:rsidR="00FD6E1D" w:rsidRPr="00B16E6B" w:rsidRDefault="00967A78" w:rsidP="00A11AF5">
      <w:pPr>
        <w:pStyle w:val="ListParagraph"/>
        <w:numPr>
          <w:ilvl w:val="0"/>
          <w:numId w:val="23"/>
        </w:numPr>
        <w:spacing w:after="120" w:line="271" w:lineRule="auto"/>
        <w:ind w:left="714" w:hanging="357"/>
        <w:contextualSpacing w:val="0"/>
      </w:pPr>
      <w:r w:rsidRPr="00B16E6B">
        <w:t>e</w:t>
      </w:r>
      <w:r w:rsidR="00FD6E1D" w:rsidRPr="00B16E6B">
        <w:t>nhanced understanding of the nature of growing security threats which are facing Australia’s transport sector and an improved understanding of how risk management practice may be added to or changed to prevent and respond to such risks</w:t>
      </w:r>
    </w:p>
    <w:p w14:paraId="0D870ADC" w14:textId="216FE51D" w:rsidR="00FD6E1D" w:rsidRPr="00B16E6B" w:rsidRDefault="00967A78" w:rsidP="00A11AF5">
      <w:pPr>
        <w:pStyle w:val="ListParagraph"/>
        <w:numPr>
          <w:ilvl w:val="0"/>
          <w:numId w:val="23"/>
        </w:numPr>
        <w:spacing w:after="120" w:line="271" w:lineRule="auto"/>
        <w:ind w:left="714" w:hanging="357"/>
        <w:contextualSpacing w:val="0"/>
      </w:pPr>
      <w:r w:rsidRPr="00B16E6B">
        <w:t>k</w:t>
      </w:r>
      <w:r w:rsidR="00FD6E1D" w:rsidRPr="00B16E6B">
        <w:t xml:space="preserve">nowledge of the mechanisms available to support with incident planning, post-incident responses, and information sharing across entities through the forums described above (such as </w:t>
      </w:r>
      <w:r w:rsidR="000A3E5B" w:rsidRPr="00B16E6B">
        <w:t xml:space="preserve">ASAF, RASAF, ACSIAF, </w:t>
      </w:r>
      <w:r w:rsidR="001F501A" w:rsidRPr="00B16E6B">
        <w:t>MISCF</w:t>
      </w:r>
      <w:r w:rsidR="000A3E5B" w:rsidRPr="00B16E6B">
        <w:t>, SASM and TISN</w:t>
      </w:r>
      <w:r w:rsidR="00FD6E1D" w:rsidRPr="00B16E6B">
        <w:t xml:space="preserve">) </w:t>
      </w:r>
    </w:p>
    <w:p w14:paraId="10B85412" w14:textId="77777777" w:rsidR="00FD6E1D" w:rsidRPr="00B16E6B" w:rsidRDefault="00967A78" w:rsidP="00A11AF5">
      <w:pPr>
        <w:pStyle w:val="ListParagraph"/>
        <w:numPr>
          <w:ilvl w:val="0"/>
          <w:numId w:val="23"/>
        </w:numPr>
        <w:spacing w:line="271" w:lineRule="auto"/>
      </w:pPr>
      <w:r w:rsidRPr="00B16E6B">
        <w:t>o</w:t>
      </w:r>
      <w:r w:rsidR="00FD6E1D" w:rsidRPr="00B16E6B">
        <w:t xml:space="preserve">ngoing discussions between </w:t>
      </w:r>
      <w:r w:rsidR="00487C6A" w:rsidRPr="00B16E6B">
        <w:t>government</w:t>
      </w:r>
      <w:r w:rsidR="00FD6E1D" w:rsidRPr="00B16E6B">
        <w:t xml:space="preserve"> and industry surrounding the need for enhanced risk management practices</w:t>
      </w:r>
      <w:r w:rsidR="00C94312" w:rsidRPr="00B16E6B">
        <w:t>.</w:t>
      </w:r>
    </w:p>
    <w:p w14:paraId="0A7DE838" w14:textId="0D2CFF58" w:rsidR="00FD6E1D" w:rsidRPr="00B16E6B" w:rsidRDefault="00FD6E1D" w:rsidP="009613E1">
      <w:pPr>
        <w:spacing w:line="271" w:lineRule="auto"/>
      </w:pPr>
      <w:r w:rsidRPr="00B16E6B">
        <w:t xml:space="preserve">The voluntary approach may also offer industry some flexibility in choosing an approach to risk management which reflects the different risk appetites of </w:t>
      </w:r>
      <w:r w:rsidR="00985D9F" w:rsidRPr="00B16E6B">
        <w:t>industry participants</w:t>
      </w:r>
      <w:r w:rsidRPr="00B16E6B">
        <w:t>’ and</w:t>
      </w:r>
      <w:r w:rsidR="00774FBA" w:rsidRPr="00B16E6B">
        <w:t xml:space="preserve"> </w:t>
      </w:r>
      <w:r w:rsidR="00487C6A" w:rsidRPr="00B16E6B">
        <w:t>government</w:t>
      </w:r>
      <w:r w:rsidRPr="00B16E6B">
        <w:t>.</w:t>
      </w:r>
    </w:p>
    <w:p w14:paraId="2BBF27BC" w14:textId="77777777" w:rsidR="000A3E5B" w:rsidRPr="00B16E6B" w:rsidRDefault="000A3E5B">
      <w:pPr>
        <w:spacing w:after="200" w:line="288" w:lineRule="auto"/>
        <w:rPr>
          <w:rFonts w:asciiTheme="majorHAnsi" w:eastAsiaTheme="majorEastAsia" w:hAnsiTheme="majorHAnsi" w:cstheme="minorHAnsi"/>
          <w:color w:val="1C2B39" w:themeColor="accent1"/>
          <w:sz w:val="24"/>
          <w:szCs w:val="24"/>
        </w:rPr>
      </w:pPr>
      <w:bookmarkStart w:id="16" w:name="_Toc161145178"/>
      <w:r w:rsidRPr="00B16E6B">
        <w:br w:type="page"/>
      </w:r>
    </w:p>
    <w:p w14:paraId="1B42703B" w14:textId="33930F4F" w:rsidR="00FD6E1D" w:rsidRPr="00B16E6B" w:rsidRDefault="00FD6E1D" w:rsidP="009613E1">
      <w:pPr>
        <w:pStyle w:val="Heading3"/>
        <w:keepNext w:val="0"/>
        <w:keepLines w:val="0"/>
        <w:spacing w:line="271" w:lineRule="auto"/>
      </w:pPr>
      <w:r w:rsidRPr="00B16E6B">
        <w:lastRenderedPageBreak/>
        <w:t xml:space="preserve">4.3.3 Likely net benefit of </w:t>
      </w:r>
      <w:r w:rsidR="00460973" w:rsidRPr="00B16E6B">
        <w:t>option</w:t>
      </w:r>
      <w:r w:rsidRPr="00B16E6B">
        <w:t xml:space="preserve"> 2</w:t>
      </w:r>
      <w:bookmarkEnd w:id="16"/>
    </w:p>
    <w:p w14:paraId="5ED850A3" w14:textId="376C1709" w:rsidR="00FD6E1D" w:rsidRPr="00B16E6B" w:rsidRDefault="00FD6E1D" w:rsidP="009613E1">
      <w:pPr>
        <w:spacing w:line="271" w:lineRule="auto"/>
        <w:rPr>
          <w:rFonts w:eastAsia="Calibri"/>
        </w:rPr>
      </w:pPr>
      <w:r w:rsidRPr="00B16E6B">
        <w:rPr>
          <w:rFonts w:eastAsia="Calibri"/>
        </w:rPr>
        <w:t xml:space="preserve">The costs and benefits set out above demonstrate that </w:t>
      </w:r>
      <w:r w:rsidR="00985D9F" w:rsidRPr="00B16E6B">
        <w:rPr>
          <w:rFonts w:eastAsia="Calibri"/>
        </w:rPr>
        <w:t>industry participants</w:t>
      </w:r>
      <w:r w:rsidRPr="00B16E6B">
        <w:rPr>
          <w:rFonts w:eastAsia="Calibri"/>
        </w:rPr>
        <w:t xml:space="preserve"> who choose not to </w:t>
      </w:r>
      <w:r w:rsidRPr="00B16E6B">
        <w:t>consider the guidance and information distributed through various engagement forums</w:t>
      </w:r>
      <w:r w:rsidRPr="00B16E6B">
        <w:rPr>
          <w:rFonts w:eastAsia="Calibri"/>
        </w:rPr>
        <w:t xml:space="preserve"> will not contribute to achieving a coordinated </w:t>
      </w:r>
      <w:r w:rsidR="00AF1FBF" w:rsidRPr="00B16E6B">
        <w:rPr>
          <w:rFonts w:eastAsia="Calibri"/>
        </w:rPr>
        <w:t>increase</w:t>
      </w:r>
      <w:r w:rsidRPr="00B16E6B">
        <w:rPr>
          <w:rFonts w:eastAsia="Calibri"/>
        </w:rPr>
        <w:t xml:space="preserve"> in all hazards </w:t>
      </w:r>
      <w:r w:rsidR="00EB3FDB" w:rsidRPr="00B16E6B">
        <w:rPr>
          <w:rFonts w:eastAsia="Calibri"/>
        </w:rPr>
        <w:t xml:space="preserve">security </w:t>
      </w:r>
      <w:r w:rsidRPr="00B16E6B">
        <w:rPr>
          <w:rFonts w:eastAsia="Calibri"/>
        </w:rPr>
        <w:t xml:space="preserve">risk management across Australia’s transport sector. </w:t>
      </w:r>
    </w:p>
    <w:p w14:paraId="58DD8733" w14:textId="308BCDD1" w:rsidR="00E044D2" w:rsidRPr="00B16E6B" w:rsidRDefault="00201F23" w:rsidP="009613E1">
      <w:pPr>
        <w:spacing w:line="271" w:lineRule="auto"/>
        <w:rPr>
          <w:rFonts w:asciiTheme="majorHAnsi" w:eastAsiaTheme="majorEastAsia" w:hAnsiTheme="majorHAnsi" w:cstheme="majorBidi"/>
          <w:color w:val="1C2B39" w:themeColor="accent1"/>
          <w:sz w:val="36"/>
          <w:szCs w:val="28"/>
        </w:rPr>
      </w:pPr>
      <w:r w:rsidRPr="00B16E6B">
        <w:rPr>
          <w:rFonts w:eastAsia="Calibri"/>
        </w:rPr>
        <w:t>Due to the size of the sector</w:t>
      </w:r>
      <w:r w:rsidR="005F5DF5" w:rsidRPr="00B16E6B">
        <w:rPr>
          <w:rFonts w:eastAsia="Calibri"/>
        </w:rPr>
        <w:t xml:space="preserve"> and large number of industry participants</w:t>
      </w:r>
      <w:r w:rsidRPr="00B16E6B">
        <w:rPr>
          <w:rFonts w:eastAsia="Calibri"/>
        </w:rPr>
        <w:t xml:space="preserve">, it is difficult to estimate industry’s engagement with the requirements of this option, however, </w:t>
      </w:r>
      <w:r w:rsidR="00FD6E1D" w:rsidRPr="00B16E6B">
        <w:rPr>
          <w:rFonts w:eastAsia="Calibri"/>
        </w:rPr>
        <w:t>considering the costs and benefits described above</w:t>
      </w:r>
      <w:r w:rsidR="009170C6" w:rsidRPr="00B16E6B">
        <w:rPr>
          <w:rFonts w:eastAsia="Calibri"/>
        </w:rPr>
        <w:t>,</w:t>
      </w:r>
      <w:r w:rsidR="005F5DF5" w:rsidRPr="00B16E6B">
        <w:rPr>
          <w:rFonts w:eastAsia="Calibri"/>
        </w:rPr>
        <w:t xml:space="preserve"> </w:t>
      </w:r>
      <w:r w:rsidR="00FD6E1D" w:rsidRPr="00B16E6B">
        <w:rPr>
          <w:rFonts w:eastAsia="Calibri"/>
        </w:rPr>
        <w:t xml:space="preserve">the likely net benefit of option 2 </w:t>
      </w:r>
      <w:r w:rsidR="005F5DF5" w:rsidRPr="00B16E6B">
        <w:rPr>
          <w:rFonts w:eastAsia="Calibri"/>
        </w:rPr>
        <w:t xml:space="preserve">would be </w:t>
      </w:r>
      <w:r w:rsidR="00FD6E1D" w:rsidRPr="00B16E6B">
        <w:rPr>
          <w:rFonts w:eastAsia="Calibri"/>
        </w:rPr>
        <w:t xml:space="preserve">higher than pursuing option 1, but lower than the likely net benefit offered by options 3 and 4. This is because the voluntary approach of option 2 means that it is unlikely to comprehensively address the problem areas outlined in this IA. Despite the benefits received by those </w:t>
      </w:r>
      <w:r w:rsidR="00985D9F" w:rsidRPr="00B16E6B">
        <w:rPr>
          <w:rFonts w:eastAsia="Calibri"/>
        </w:rPr>
        <w:t>industry participants</w:t>
      </w:r>
      <w:r w:rsidR="00FD6E1D" w:rsidRPr="00B16E6B">
        <w:rPr>
          <w:rFonts w:eastAsia="Calibri"/>
        </w:rPr>
        <w:t xml:space="preserve"> who choose to voluntarily enhance their risk management practices, it is unlikely that a </w:t>
      </w:r>
      <w:r w:rsidR="00AF1FBF" w:rsidRPr="00B16E6B">
        <w:rPr>
          <w:rFonts w:eastAsia="Calibri"/>
        </w:rPr>
        <w:t>sector-wide increase</w:t>
      </w:r>
      <w:r w:rsidR="00FD6E1D" w:rsidRPr="00B16E6B">
        <w:rPr>
          <w:rFonts w:eastAsia="Calibri"/>
        </w:rPr>
        <w:t xml:space="preserve"> will be achieved. </w:t>
      </w:r>
      <w:r w:rsidR="009170C6" w:rsidRPr="00B16E6B">
        <w:rPr>
          <w:rFonts w:eastAsia="Calibri"/>
        </w:rPr>
        <w:t>Consequently, option 2 l</w:t>
      </w:r>
      <w:r w:rsidR="00FD6E1D" w:rsidRPr="00B16E6B">
        <w:rPr>
          <w:rFonts w:eastAsia="Calibri"/>
        </w:rPr>
        <w:t>eav</w:t>
      </w:r>
      <w:r w:rsidR="009170C6" w:rsidRPr="00B16E6B">
        <w:rPr>
          <w:rFonts w:eastAsia="Calibri"/>
        </w:rPr>
        <w:t>es</w:t>
      </w:r>
      <w:r w:rsidR="00FD6E1D" w:rsidRPr="00B16E6B">
        <w:rPr>
          <w:rFonts w:eastAsia="Calibri"/>
        </w:rPr>
        <w:t xml:space="preserve"> Australia’s transport sector vulnerable to the consequences of all hazard</w:t>
      </w:r>
      <w:r w:rsidR="00EB3FDB" w:rsidRPr="00B16E6B">
        <w:rPr>
          <w:rFonts w:eastAsia="Calibri"/>
        </w:rPr>
        <w:t xml:space="preserve"> security</w:t>
      </w:r>
      <w:r w:rsidR="00FD6E1D" w:rsidRPr="00B16E6B">
        <w:rPr>
          <w:rFonts w:eastAsia="Calibri"/>
        </w:rPr>
        <w:t xml:space="preserve"> threats, </w:t>
      </w:r>
      <w:r w:rsidR="009170C6" w:rsidRPr="00B16E6B">
        <w:rPr>
          <w:rFonts w:eastAsia="Calibri"/>
        </w:rPr>
        <w:t xml:space="preserve">and will </w:t>
      </w:r>
      <w:r w:rsidR="00FD6E1D" w:rsidRPr="00B16E6B">
        <w:rPr>
          <w:rFonts w:eastAsia="Calibri"/>
        </w:rPr>
        <w:t xml:space="preserve">presents </w:t>
      </w:r>
      <w:bookmarkStart w:id="17" w:name="_Toc161145179"/>
      <w:r w:rsidR="00D9298B" w:rsidRPr="00B16E6B">
        <w:rPr>
          <w:rFonts w:eastAsia="Calibri"/>
        </w:rPr>
        <w:t>less economy-wide benefit</w:t>
      </w:r>
      <w:r w:rsidR="009170C6" w:rsidRPr="00B16E6B">
        <w:rPr>
          <w:rFonts w:eastAsia="Calibri"/>
        </w:rPr>
        <w:t>s as the likelihood and severity of all hazard incidents will remain without consistent sector-wide uplift in risk management practices</w:t>
      </w:r>
      <w:r w:rsidR="00D9298B" w:rsidRPr="00B16E6B">
        <w:rPr>
          <w:rFonts w:eastAsia="Calibri"/>
        </w:rPr>
        <w:t xml:space="preserve">. </w:t>
      </w:r>
    </w:p>
    <w:p w14:paraId="5DB3C71B" w14:textId="5FABC318" w:rsidR="00FD6E1D" w:rsidRPr="00B16E6B" w:rsidRDefault="00FD6E1D" w:rsidP="009613E1">
      <w:pPr>
        <w:pStyle w:val="Heading2"/>
        <w:spacing w:line="271" w:lineRule="auto"/>
      </w:pPr>
      <w:r w:rsidRPr="00B16E6B">
        <w:t xml:space="preserve">4.4 Likely net benefit assessment: </w:t>
      </w:r>
      <w:r w:rsidR="00460973" w:rsidRPr="00B16E6B">
        <w:t>option</w:t>
      </w:r>
      <w:r w:rsidRPr="00B16E6B">
        <w:t xml:space="preserve"> 3</w:t>
      </w:r>
      <w:bookmarkEnd w:id="17"/>
    </w:p>
    <w:p w14:paraId="54EA44F4" w14:textId="77777777" w:rsidR="00FD6E1D" w:rsidRPr="00B16E6B" w:rsidRDefault="00FD6E1D" w:rsidP="009613E1">
      <w:pPr>
        <w:spacing w:line="271" w:lineRule="auto"/>
      </w:pPr>
      <w:r w:rsidRPr="00B16E6B">
        <w:t xml:space="preserve">The following section details the cost and benefits associated with option 3, followed by an assessment of the likely net benefit presented by this option. </w:t>
      </w:r>
    </w:p>
    <w:p w14:paraId="3A641EEE" w14:textId="1730ED2A" w:rsidR="00FD6E1D" w:rsidRPr="00B16E6B" w:rsidRDefault="00FD6E1D" w:rsidP="009613E1">
      <w:pPr>
        <w:pStyle w:val="Heading3"/>
        <w:spacing w:line="271" w:lineRule="auto"/>
      </w:pPr>
      <w:bookmarkStart w:id="18" w:name="_Toc161145180"/>
      <w:r w:rsidRPr="00B16E6B">
        <w:t xml:space="preserve">4.4.1 Costs of </w:t>
      </w:r>
      <w:r w:rsidR="00460973" w:rsidRPr="00B16E6B">
        <w:t>option</w:t>
      </w:r>
      <w:r w:rsidRPr="00B16E6B">
        <w:t xml:space="preserve"> 3</w:t>
      </w:r>
      <w:bookmarkEnd w:id="18"/>
    </w:p>
    <w:p w14:paraId="2E036595" w14:textId="77777777" w:rsidR="00FD6E1D" w:rsidRPr="00B16E6B" w:rsidRDefault="00FD6E1D" w:rsidP="009613E1">
      <w:pPr>
        <w:spacing w:line="271" w:lineRule="auto"/>
      </w:pPr>
      <w:r w:rsidRPr="00B16E6B">
        <w:t xml:space="preserve">In 2021-22, consultation was conducted on the introduction of CIRMP obligations across several critical infrastructure sectors. This consultation exercise identified a range of costs arising for industry to comply with the CIRMP. Compliance with a CIRMP involves identifying and mitigating all hazards </w:t>
      </w:r>
      <w:r w:rsidR="00EB3FDB" w:rsidRPr="00B16E6B">
        <w:t xml:space="preserve">security </w:t>
      </w:r>
      <w:r w:rsidRPr="00B16E6B">
        <w:t>risks. A summary of this data has been included below.</w:t>
      </w:r>
    </w:p>
    <w:p w14:paraId="535CC5CB" w14:textId="48CDAAD3" w:rsidR="00FD6E1D" w:rsidRPr="00B16E6B" w:rsidRDefault="00FD6E1D" w:rsidP="009613E1">
      <w:pPr>
        <w:spacing w:after="60" w:line="271" w:lineRule="auto"/>
        <w:rPr>
          <w:rFonts w:eastAsia="Times New Roman" w:cs="Arial"/>
          <w:bCs/>
          <w:i/>
          <w:iCs/>
          <w:color w:val="44546A"/>
          <w:sz w:val="18"/>
          <w:szCs w:val="18"/>
          <w:lang w:eastAsia="en-AU"/>
        </w:rPr>
      </w:pPr>
      <w:r w:rsidRPr="00B16E6B">
        <w:rPr>
          <w:rFonts w:eastAsia="Times New Roman" w:cs="Arial"/>
          <w:b/>
          <w:bCs/>
          <w:i/>
          <w:iCs/>
          <w:color w:val="44546A"/>
          <w:sz w:val="18"/>
          <w:szCs w:val="18"/>
          <w:lang w:eastAsia="en-AU"/>
        </w:rPr>
        <w:t xml:space="preserve">Table </w:t>
      </w:r>
      <w:r w:rsidR="00A027FB" w:rsidRPr="00B16E6B">
        <w:rPr>
          <w:rFonts w:eastAsia="Times New Roman" w:cs="Arial"/>
          <w:b/>
          <w:bCs/>
          <w:i/>
          <w:iCs/>
          <w:color w:val="44546A"/>
          <w:sz w:val="18"/>
          <w:szCs w:val="18"/>
          <w:lang w:eastAsia="en-AU"/>
        </w:rPr>
        <w:t>12</w:t>
      </w:r>
      <w:r w:rsidRPr="00B16E6B">
        <w:rPr>
          <w:rFonts w:eastAsia="Times New Roman" w:cs="Arial"/>
          <w:b/>
          <w:bCs/>
          <w:i/>
          <w:iCs/>
          <w:color w:val="44546A"/>
          <w:sz w:val="18"/>
          <w:szCs w:val="18"/>
          <w:lang w:eastAsia="en-AU"/>
        </w:rPr>
        <w:t xml:space="preserve">: </w:t>
      </w:r>
      <w:r w:rsidRPr="00B16E6B">
        <w:rPr>
          <w:rFonts w:eastAsia="Times New Roman" w:cs="Arial"/>
          <w:bCs/>
          <w:i/>
          <w:iCs/>
          <w:color w:val="44546A"/>
          <w:sz w:val="18"/>
          <w:szCs w:val="18"/>
          <w:lang w:eastAsia="en-AU"/>
        </w:rPr>
        <w:t>Regulatory cost per entity from 2021-22 consultation</w:t>
      </w:r>
      <w:r w:rsidR="00D73051" w:rsidRPr="00B16E6B">
        <w:rPr>
          <w:rFonts w:eastAsia="Times New Roman" w:cs="Arial"/>
          <w:bCs/>
          <w:i/>
          <w:iCs/>
          <w:color w:val="44546A"/>
          <w:sz w:val="18"/>
          <w:szCs w:val="18"/>
          <w:lang w:eastAsia="en-AU"/>
        </w:rPr>
        <w:t xml:space="preserve">, indexed based on CPI to </w:t>
      </w:r>
      <w:r w:rsidR="00B57B91" w:rsidRPr="00B16E6B">
        <w:rPr>
          <w:rFonts w:eastAsia="Times New Roman" w:cs="Arial"/>
          <w:bCs/>
          <w:i/>
          <w:iCs/>
          <w:color w:val="44546A"/>
          <w:sz w:val="18"/>
          <w:szCs w:val="18"/>
          <w:lang w:eastAsia="en-AU"/>
        </w:rPr>
        <w:t>June</w:t>
      </w:r>
      <w:r w:rsidR="00D73051" w:rsidRPr="00B16E6B">
        <w:rPr>
          <w:rFonts w:eastAsia="Times New Roman" w:cs="Arial"/>
          <w:bCs/>
          <w:i/>
          <w:iCs/>
          <w:color w:val="44546A"/>
          <w:sz w:val="18"/>
          <w:szCs w:val="18"/>
          <w:lang w:eastAsia="en-AU"/>
        </w:rPr>
        <w:t xml:space="preserve"> 202</w:t>
      </w:r>
      <w:r w:rsidR="00B57B91" w:rsidRPr="00B16E6B">
        <w:rPr>
          <w:rFonts w:eastAsia="Times New Roman" w:cs="Arial"/>
          <w:bCs/>
          <w:i/>
          <w:iCs/>
          <w:color w:val="44546A"/>
          <w:sz w:val="18"/>
          <w:szCs w:val="18"/>
          <w:lang w:eastAsia="en-AU"/>
        </w:rPr>
        <w:t>4</w:t>
      </w:r>
      <w:r w:rsidR="00D73051" w:rsidRPr="00B16E6B">
        <w:rPr>
          <w:rFonts w:eastAsia="Times New Roman" w:cs="Arial"/>
          <w:bCs/>
          <w:i/>
          <w:iCs/>
          <w:color w:val="44546A"/>
          <w:sz w:val="18"/>
          <w:szCs w:val="18"/>
          <w:lang w:eastAsia="en-AU"/>
        </w:rPr>
        <w:t>.</w:t>
      </w:r>
    </w:p>
    <w:tbl>
      <w:tblPr>
        <w:tblStyle w:val="TableGrid111"/>
        <w:tblW w:w="4920" w:type="pct"/>
        <w:tblInd w:w="0"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74"/>
        <w:gridCol w:w="3456"/>
        <w:gridCol w:w="3454"/>
      </w:tblGrid>
      <w:tr w:rsidR="00C05877" w:rsidRPr="00B16E6B" w14:paraId="176E1251" w14:textId="77777777" w:rsidTr="00C05877">
        <w:trPr>
          <w:cantSplit/>
          <w:trHeight w:val="435"/>
          <w:tblHeader/>
        </w:trPr>
        <w:tc>
          <w:tcPr>
            <w:tcW w:w="1357" w:type="pct"/>
            <w:tcBorders>
              <w:top w:val="single" w:sz="4" w:space="0" w:color="BFBFBF" w:themeColor="background2" w:themeShade="BF"/>
              <w:left w:val="nil"/>
              <w:bottom w:val="single" w:sz="4" w:space="0" w:color="BFBFBF" w:themeColor="background1" w:themeShade="BF"/>
              <w:right w:val="nil"/>
            </w:tcBorders>
            <w:shd w:val="clear" w:color="auto" w:fill="1C2B39" w:themeFill="accent1"/>
            <w:vAlign w:val="center"/>
            <w:hideMark/>
          </w:tcPr>
          <w:p w14:paraId="291CCD39" w14:textId="3CFDDFE7" w:rsidR="00C05877" w:rsidRPr="00B16E6B" w:rsidRDefault="00C05877" w:rsidP="009613E1">
            <w:pPr>
              <w:pStyle w:val="TableHeading"/>
              <w:spacing w:line="271" w:lineRule="auto"/>
              <w:jc w:val="center"/>
              <w:rPr>
                <w:rFonts w:asciiTheme="minorHAnsi" w:hAnsiTheme="minorHAnsi" w:cs="Arial"/>
                <w:szCs w:val="20"/>
              </w:rPr>
            </w:pPr>
          </w:p>
        </w:tc>
        <w:tc>
          <w:tcPr>
            <w:tcW w:w="1821" w:type="pct"/>
            <w:tcBorders>
              <w:top w:val="single" w:sz="4" w:space="0" w:color="BFBFBF" w:themeColor="background2" w:themeShade="BF"/>
              <w:left w:val="nil"/>
              <w:bottom w:val="single" w:sz="4" w:space="0" w:color="BFBFBF" w:themeColor="background1" w:themeShade="BF"/>
              <w:right w:val="nil"/>
            </w:tcBorders>
            <w:shd w:val="clear" w:color="auto" w:fill="1C2B39" w:themeFill="accent1"/>
            <w:vAlign w:val="center"/>
            <w:hideMark/>
          </w:tcPr>
          <w:p w14:paraId="6C09237A" w14:textId="2241F28D" w:rsidR="00C05877" w:rsidRPr="00B16E6B" w:rsidRDefault="00837980" w:rsidP="009613E1">
            <w:pPr>
              <w:pStyle w:val="TableHeading"/>
              <w:spacing w:line="271" w:lineRule="auto"/>
              <w:jc w:val="center"/>
              <w:rPr>
                <w:rFonts w:cs="Arial"/>
                <w:szCs w:val="20"/>
              </w:rPr>
            </w:pPr>
            <w:r>
              <w:rPr>
                <w:rFonts w:asciiTheme="minorHAnsi" w:hAnsiTheme="minorHAnsi" w:cs="Arial"/>
                <w:szCs w:val="20"/>
              </w:rPr>
              <w:t xml:space="preserve">One-off </w:t>
            </w:r>
            <w:r w:rsidR="00C05877" w:rsidRPr="00B16E6B">
              <w:rPr>
                <w:rFonts w:asciiTheme="minorHAnsi" w:hAnsiTheme="minorHAnsi" w:cs="Arial"/>
                <w:szCs w:val="20"/>
              </w:rPr>
              <w:t>Costs ($ million)</w:t>
            </w:r>
          </w:p>
        </w:tc>
        <w:tc>
          <w:tcPr>
            <w:tcW w:w="1821" w:type="pct"/>
            <w:tcBorders>
              <w:top w:val="single" w:sz="4" w:space="0" w:color="BFBFBF" w:themeColor="background2" w:themeShade="BF"/>
              <w:left w:val="nil"/>
              <w:bottom w:val="single" w:sz="4" w:space="0" w:color="BFBFBF" w:themeColor="background1" w:themeShade="BF"/>
              <w:right w:val="nil"/>
            </w:tcBorders>
            <w:shd w:val="clear" w:color="auto" w:fill="1C2B39" w:themeFill="accent1"/>
            <w:vAlign w:val="center"/>
          </w:tcPr>
          <w:p w14:paraId="50F9BA54" w14:textId="48C7D718" w:rsidR="00C05877" w:rsidRPr="00B16E6B" w:rsidRDefault="00837980" w:rsidP="009613E1">
            <w:pPr>
              <w:pStyle w:val="TableHeading"/>
              <w:spacing w:line="271" w:lineRule="auto"/>
              <w:jc w:val="center"/>
              <w:rPr>
                <w:rFonts w:asciiTheme="minorHAnsi" w:hAnsiTheme="minorHAnsi" w:cs="Arial"/>
                <w:szCs w:val="20"/>
              </w:rPr>
            </w:pPr>
            <w:r>
              <w:rPr>
                <w:rFonts w:asciiTheme="minorHAnsi" w:hAnsiTheme="minorHAnsi" w:cs="Arial"/>
                <w:szCs w:val="20"/>
              </w:rPr>
              <w:t xml:space="preserve">Ongoing </w:t>
            </w:r>
            <w:r w:rsidRPr="00B16E6B">
              <w:rPr>
                <w:rFonts w:asciiTheme="minorHAnsi" w:hAnsiTheme="minorHAnsi" w:cs="Arial"/>
                <w:szCs w:val="20"/>
              </w:rPr>
              <w:t>Costs ($ million)</w:t>
            </w:r>
          </w:p>
        </w:tc>
      </w:tr>
      <w:tr w:rsidR="00FD6E1D" w:rsidRPr="00B16E6B" w14:paraId="08CFC955" w14:textId="77777777" w:rsidTr="00C05877">
        <w:trPr>
          <w:cantSplit/>
          <w:trHeight w:val="756"/>
          <w:tblHeader/>
        </w:trPr>
        <w:tc>
          <w:tcPr>
            <w:tcW w:w="0" w:type="auto"/>
            <w:tcBorders>
              <w:top w:val="nil"/>
              <w:left w:val="nil"/>
              <w:bottom w:val="single" w:sz="4" w:space="0" w:color="BFBFBF" w:themeColor="background1" w:themeShade="BF"/>
              <w:right w:val="nil"/>
            </w:tcBorders>
            <w:shd w:val="clear" w:color="auto" w:fill="1C2B39" w:themeFill="accent1"/>
            <w:vAlign w:val="center"/>
            <w:hideMark/>
          </w:tcPr>
          <w:p w14:paraId="74C1732E" w14:textId="7283864B" w:rsidR="00FD6E1D" w:rsidRPr="00B16E6B" w:rsidRDefault="00C05877" w:rsidP="00C05877">
            <w:pPr>
              <w:spacing w:after="0" w:line="271" w:lineRule="auto"/>
              <w:jc w:val="center"/>
              <w:rPr>
                <w:rFonts w:asciiTheme="minorHAnsi" w:hAnsiTheme="minorHAnsi" w:cs="Arial"/>
                <w:sz w:val="20"/>
                <w:szCs w:val="20"/>
              </w:rPr>
            </w:pPr>
            <w:r w:rsidRPr="00B16E6B">
              <w:rPr>
                <w:rFonts w:asciiTheme="minorHAnsi" w:hAnsiTheme="minorHAnsi" w:cs="Arial"/>
                <w:szCs w:val="20"/>
              </w:rPr>
              <w:t>Critical infrastructure asset</w:t>
            </w:r>
          </w:p>
        </w:tc>
        <w:tc>
          <w:tcPr>
            <w:tcW w:w="1822" w:type="pct"/>
            <w:tcBorders>
              <w:top w:val="single" w:sz="4" w:space="0" w:color="BFBFBF" w:themeColor="background1" w:themeShade="BF"/>
              <w:left w:val="nil"/>
              <w:bottom w:val="single" w:sz="4" w:space="0" w:color="BFBFBF" w:themeColor="background1" w:themeShade="BF"/>
              <w:right w:val="nil"/>
            </w:tcBorders>
            <w:shd w:val="clear" w:color="auto" w:fill="E1E9F0" w:themeFill="accent1" w:themeFillTint="1A"/>
            <w:vAlign w:val="center"/>
            <w:hideMark/>
          </w:tcPr>
          <w:p w14:paraId="3C6CB009" w14:textId="77777777" w:rsidR="00FD6E1D" w:rsidRPr="00B16E6B" w:rsidRDefault="00FD6E1D" w:rsidP="009613E1">
            <w:pPr>
              <w:pStyle w:val="TableBody"/>
              <w:spacing w:line="271" w:lineRule="auto"/>
              <w:jc w:val="center"/>
              <w:rPr>
                <w:rFonts w:asciiTheme="minorHAnsi" w:hAnsiTheme="minorHAnsi" w:cs="Arial"/>
                <w:color w:val="auto"/>
              </w:rPr>
            </w:pPr>
            <w:r w:rsidRPr="00B16E6B">
              <w:rPr>
                <w:rFonts w:asciiTheme="minorHAnsi" w:hAnsiTheme="minorHAnsi" w:cs="Arial"/>
                <w:color w:val="auto"/>
              </w:rPr>
              <w:t>Average one-off cost per entity (submissions)</w:t>
            </w:r>
          </w:p>
        </w:tc>
        <w:tc>
          <w:tcPr>
            <w:tcW w:w="1821" w:type="pct"/>
            <w:tcBorders>
              <w:top w:val="single" w:sz="4" w:space="0" w:color="BFBFBF" w:themeColor="background1" w:themeShade="BF"/>
              <w:left w:val="nil"/>
              <w:bottom w:val="single" w:sz="4" w:space="0" w:color="BFBFBF" w:themeColor="background1" w:themeShade="BF"/>
              <w:right w:val="nil"/>
            </w:tcBorders>
            <w:shd w:val="clear" w:color="auto" w:fill="E1E9F0" w:themeFill="accent1" w:themeFillTint="1A"/>
            <w:vAlign w:val="center"/>
            <w:hideMark/>
          </w:tcPr>
          <w:p w14:paraId="30AA1AB8" w14:textId="77777777" w:rsidR="00FD6E1D" w:rsidRPr="00B16E6B" w:rsidRDefault="00FD6E1D" w:rsidP="009613E1">
            <w:pPr>
              <w:pStyle w:val="TableBody"/>
              <w:spacing w:line="271" w:lineRule="auto"/>
              <w:jc w:val="center"/>
              <w:rPr>
                <w:rFonts w:asciiTheme="minorHAnsi" w:hAnsiTheme="minorHAnsi" w:cs="Arial"/>
                <w:color w:val="auto"/>
              </w:rPr>
            </w:pPr>
            <w:r w:rsidRPr="00B16E6B">
              <w:rPr>
                <w:rFonts w:asciiTheme="minorHAnsi" w:hAnsiTheme="minorHAnsi" w:cs="Arial"/>
                <w:color w:val="auto"/>
              </w:rPr>
              <w:t>Average annual ongoing cost per entity (submissions)</w:t>
            </w:r>
          </w:p>
        </w:tc>
      </w:tr>
      <w:tr w:rsidR="00FD6E1D" w:rsidRPr="00B16E6B" w14:paraId="28F1C068" w14:textId="77777777" w:rsidTr="00FD6E1D">
        <w:trPr>
          <w:cantSplit/>
          <w:trHeight w:val="361"/>
        </w:trPr>
        <w:tc>
          <w:tcPr>
            <w:tcW w:w="135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hideMark/>
          </w:tcPr>
          <w:p w14:paraId="266B761B" w14:textId="77777777" w:rsidR="00FD6E1D" w:rsidRPr="00B16E6B" w:rsidRDefault="00FD6E1D" w:rsidP="009613E1">
            <w:pPr>
              <w:pStyle w:val="TableBody"/>
              <w:spacing w:line="271" w:lineRule="auto"/>
              <w:rPr>
                <w:rFonts w:asciiTheme="minorHAnsi" w:hAnsiTheme="minorHAnsi" w:cs="Arial"/>
                <w:sz w:val="16"/>
              </w:rPr>
            </w:pPr>
            <w:r w:rsidRPr="00B16E6B">
              <w:rPr>
                <w:rFonts w:cs="Arial"/>
                <w:sz w:val="16"/>
              </w:rPr>
              <w:t>Critical electricity assets</w:t>
            </w:r>
          </w:p>
        </w:tc>
        <w:tc>
          <w:tcPr>
            <w:tcW w:w="1822" w:type="pct"/>
            <w:tcBorders>
              <w:top w:val="single" w:sz="4" w:space="0" w:color="BFBFBF" w:themeColor="background1" w:themeShade="BF"/>
              <w:left w:val="nil"/>
              <w:bottom w:val="single" w:sz="4" w:space="0" w:color="BFBFBF" w:themeColor="background1" w:themeShade="BF"/>
              <w:right w:val="nil"/>
            </w:tcBorders>
            <w:vAlign w:val="center"/>
            <w:hideMark/>
          </w:tcPr>
          <w:p w14:paraId="039EB471" w14:textId="77777777" w:rsidR="00FD6E1D" w:rsidRPr="00B16E6B" w:rsidRDefault="00C063FA" w:rsidP="009613E1">
            <w:pPr>
              <w:pStyle w:val="TableBody"/>
              <w:spacing w:line="271" w:lineRule="auto"/>
              <w:jc w:val="center"/>
              <w:rPr>
                <w:rFonts w:asciiTheme="minorHAnsi" w:hAnsiTheme="minorHAnsi" w:cs="Arial"/>
              </w:rPr>
            </w:pPr>
            <w:r w:rsidRPr="00B16E6B">
              <w:rPr>
                <w:rFonts w:asciiTheme="minorHAnsi" w:hAnsiTheme="minorHAnsi" w:cs="Arial"/>
              </w:rPr>
              <w:t>9.2</w:t>
            </w:r>
          </w:p>
        </w:tc>
        <w:tc>
          <w:tcPr>
            <w:tcW w:w="1821" w:type="pct"/>
            <w:tcBorders>
              <w:top w:val="single" w:sz="4" w:space="0" w:color="BFBFBF" w:themeColor="background1" w:themeShade="BF"/>
              <w:left w:val="nil"/>
              <w:bottom w:val="single" w:sz="4" w:space="0" w:color="BFBFBF" w:themeColor="background1" w:themeShade="BF"/>
              <w:right w:val="nil"/>
            </w:tcBorders>
            <w:vAlign w:val="center"/>
            <w:hideMark/>
          </w:tcPr>
          <w:p w14:paraId="7A7D033A" w14:textId="77777777" w:rsidR="00FD6E1D" w:rsidRPr="00B16E6B" w:rsidRDefault="00D73051" w:rsidP="009613E1">
            <w:pPr>
              <w:pStyle w:val="TableBody"/>
              <w:spacing w:line="271" w:lineRule="auto"/>
              <w:jc w:val="center"/>
              <w:rPr>
                <w:rFonts w:asciiTheme="minorHAnsi" w:hAnsiTheme="minorHAnsi" w:cs="Arial"/>
              </w:rPr>
            </w:pPr>
            <w:r w:rsidRPr="00B16E6B">
              <w:rPr>
                <w:rFonts w:asciiTheme="minorHAnsi" w:hAnsiTheme="minorHAnsi" w:cs="Arial"/>
              </w:rPr>
              <w:t>4.3</w:t>
            </w:r>
          </w:p>
        </w:tc>
      </w:tr>
      <w:tr w:rsidR="00FD6E1D" w:rsidRPr="00B16E6B" w14:paraId="5FAD4481" w14:textId="77777777" w:rsidTr="00FD6E1D">
        <w:trPr>
          <w:cantSplit/>
          <w:trHeight w:val="361"/>
        </w:trPr>
        <w:tc>
          <w:tcPr>
            <w:tcW w:w="135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hideMark/>
          </w:tcPr>
          <w:p w14:paraId="5D6F24D4" w14:textId="77777777" w:rsidR="00FD6E1D" w:rsidRPr="00B16E6B" w:rsidRDefault="00FD6E1D" w:rsidP="009613E1">
            <w:pPr>
              <w:pStyle w:val="TableBody"/>
              <w:spacing w:line="271" w:lineRule="auto"/>
              <w:rPr>
                <w:rFonts w:asciiTheme="minorHAnsi" w:hAnsiTheme="minorHAnsi" w:cs="Arial"/>
                <w:sz w:val="16"/>
              </w:rPr>
            </w:pPr>
            <w:r w:rsidRPr="00B16E6B">
              <w:rPr>
                <w:rFonts w:cs="Arial"/>
                <w:sz w:val="16"/>
              </w:rPr>
              <w:t>Critical gas assets</w:t>
            </w:r>
          </w:p>
        </w:tc>
        <w:tc>
          <w:tcPr>
            <w:tcW w:w="1822" w:type="pct"/>
            <w:tcBorders>
              <w:top w:val="nil"/>
              <w:left w:val="nil"/>
              <w:bottom w:val="single" w:sz="8" w:space="0" w:color="BFBFBF"/>
              <w:right w:val="nil"/>
            </w:tcBorders>
            <w:vAlign w:val="center"/>
            <w:hideMark/>
          </w:tcPr>
          <w:p w14:paraId="0BE4CB0F" w14:textId="77777777" w:rsidR="00FD6E1D" w:rsidRPr="00B16E6B" w:rsidRDefault="00B57B91" w:rsidP="009613E1">
            <w:pPr>
              <w:pStyle w:val="TableBody"/>
              <w:spacing w:line="271" w:lineRule="auto"/>
              <w:jc w:val="center"/>
              <w:rPr>
                <w:rFonts w:asciiTheme="minorHAnsi" w:hAnsiTheme="minorHAnsi" w:cs="Arial"/>
              </w:rPr>
            </w:pPr>
            <w:r w:rsidRPr="00B16E6B">
              <w:rPr>
                <w:rFonts w:asciiTheme="minorHAnsi" w:hAnsiTheme="minorHAnsi" w:cs="Arial"/>
                <w:color w:val="000000"/>
              </w:rPr>
              <w:t>12.0</w:t>
            </w:r>
          </w:p>
        </w:tc>
        <w:tc>
          <w:tcPr>
            <w:tcW w:w="1821" w:type="pct"/>
            <w:tcBorders>
              <w:top w:val="nil"/>
              <w:left w:val="nil"/>
              <w:bottom w:val="single" w:sz="8" w:space="0" w:color="BFBFBF"/>
              <w:right w:val="nil"/>
            </w:tcBorders>
            <w:vAlign w:val="center"/>
            <w:hideMark/>
          </w:tcPr>
          <w:p w14:paraId="634EC375" w14:textId="77777777" w:rsidR="00FD6E1D" w:rsidRPr="00B16E6B" w:rsidRDefault="00D73051" w:rsidP="009613E1">
            <w:pPr>
              <w:pStyle w:val="TableBody"/>
              <w:spacing w:line="271" w:lineRule="auto"/>
              <w:jc w:val="center"/>
              <w:rPr>
                <w:rFonts w:asciiTheme="minorHAnsi" w:hAnsiTheme="minorHAnsi" w:cs="Arial"/>
              </w:rPr>
            </w:pPr>
            <w:r w:rsidRPr="00B16E6B">
              <w:rPr>
                <w:rFonts w:asciiTheme="minorHAnsi" w:hAnsiTheme="minorHAnsi" w:cs="Arial"/>
                <w:color w:val="000000"/>
              </w:rPr>
              <w:t>2.4</w:t>
            </w:r>
          </w:p>
        </w:tc>
      </w:tr>
      <w:tr w:rsidR="00FD6E1D" w:rsidRPr="00B16E6B" w14:paraId="616FE185" w14:textId="77777777" w:rsidTr="00FD6E1D">
        <w:trPr>
          <w:cantSplit/>
          <w:trHeight w:val="361"/>
        </w:trPr>
        <w:tc>
          <w:tcPr>
            <w:tcW w:w="135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hideMark/>
          </w:tcPr>
          <w:p w14:paraId="152A0360" w14:textId="77777777" w:rsidR="00FD6E1D" w:rsidRPr="00B16E6B" w:rsidRDefault="00FD6E1D" w:rsidP="009613E1">
            <w:pPr>
              <w:pStyle w:val="TableBody"/>
              <w:spacing w:line="271" w:lineRule="auto"/>
              <w:rPr>
                <w:rFonts w:asciiTheme="minorHAnsi" w:hAnsiTheme="minorHAnsi" w:cs="Arial"/>
                <w:sz w:val="16"/>
              </w:rPr>
            </w:pPr>
            <w:r w:rsidRPr="00B16E6B">
              <w:rPr>
                <w:rFonts w:cs="Arial"/>
                <w:sz w:val="16"/>
              </w:rPr>
              <w:t>Critical water assets</w:t>
            </w:r>
          </w:p>
        </w:tc>
        <w:tc>
          <w:tcPr>
            <w:tcW w:w="1822" w:type="pct"/>
            <w:tcBorders>
              <w:top w:val="nil"/>
              <w:left w:val="nil"/>
              <w:bottom w:val="single" w:sz="8" w:space="0" w:color="BFBFBF"/>
              <w:right w:val="nil"/>
            </w:tcBorders>
            <w:vAlign w:val="center"/>
            <w:hideMark/>
          </w:tcPr>
          <w:p w14:paraId="07D02CAE" w14:textId="77777777" w:rsidR="00FD6E1D" w:rsidRPr="00B16E6B" w:rsidRDefault="00C063FA" w:rsidP="009613E1">
            <w:pPr>
              <w:pStyle w:val="TableBody"/>
              <w:spacing w:line="271" w:lineRule="auto"/>
              <w:jc w:val="center"/>
              <w:rPr>
                <w:rFonts w:asciiTheme="minorHAnsi" w:hAnsiTheme="minorHAnsi" w:cs="Arial"/>
              </w:rPr>
            </w:pPr>
            <w:r w:rsidRPr="00B16E6B">
              <w:rPr>
                <w:rFonts w:asciiTheme="minorHAnsi" w:hAnsiTheme="minorHAnsi" w:cs="Arial"/>
                <w:color w:val="000000"/>
              </w:rPr>
              <w:t>16.1</w:t>
            </w:r>
          </w:p>
        </w:tc>
        <w:tc>
          <w:tcPr>
            <w:tcW w:w="1821" w:type="pct"/>
            <w:tcBorders>
              <w:top w:val="nil"/>
              <w:left w:val="nil"/>
              <w:bottom w:val="single" w:sz="8" w:space="0" w:color="BFBFBF"/>
              <w:right w:val="nil"/>
            </w:tcBorders>
            <w:vAlign w:val="center"/>
            <w:hideMark/>
          </w:tcPr>
          <w:p w14:paraId="584EC888" w14:textId="77777777" w:rsidR="00FD6E1D" w:rsidRPr="00B16E6B" w:rsidRDefault="00B57B91" w:rsidP="009613E1">
            <w:pPr>
              <w:pStyle w:val="TableBody"/>
              <w:spacing w:line="271" w:lineRule="auto"/>
              <w:jc w:val="center"/>
              <w:rPr>
                <w:rFonts w:asciiTheme="minorHAnsi" w:hAnsiTheme="minorHAnsi" w:cs="Arial"/>
              </w:rPr>
            </w:pPr>
            <w:r w:rsidRPr="00B16E6B">
              <w:rPr>
                <w:rFonts w:asciiTheme="minorHAnsi" w:hAnsiTheme="minorHAnsi" w:cs="Arial"/>
                <w:color w:val="000000"/>
              </w:rPr>
              <w:t>7.0</w:t>
            </w:r>
          </w:p>
        </w:tc>
      </w:tr>
      <w:tr w:rsidR="00FD6E1D" w:rsidRPr="00B16E6B" w14:paraId="0807D4A6" w14:textId="77777777" w:rsidTr="00FD6E1D">
        <w:trPr>
          <w:cantSplit/>
          <w:trHeight w:val="372"/>
        </w:trPr>
        <w:tc>
          <w:tcPr>
            <w:tcW w:w="135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hideMark/>
          </w:tcPr>
          <w:p w14:paraId="1C2B9C89" w14:textId="77777777" w:rsidR="00FD6E1D" w:rsidRPr="00B16E6B" w:rsidRDefault="00FD6E1D" w:rsidP="009613E1">
            <w:pPr>
              <w:pStyle w:val="TableBody"/>
              <w:spacing w:line="271" w:lineRule="auto"/>
              <w:rPr>
                <w:rFonts w:asciiTheme="minorHAnsi" w:hAnsiTheme="minorHAnsi" w:cs="Arial"/>
                <w:sz w:val="16"/>
              </w:rPr>
            </w:pPr>
            <w:r w:rsidRPr="00B16E6B">
              <w:rPr>
                <w:rFonts w:cs="Arial"/>
                <w:sz w:val="16"/>
              </w:rPr>
              <w:t>Critical data processing or storage assets</w:t>
            </w:r>
          </w:p>
        </w:tc>
        <w:tc>
          <w:tcPr>
            <w:tcW w:w="1822" w:type="pct"/>
            <w:tcBorders>
              <w:top w:val="nil"/>
              <w:left w:val="nil"/>
              <w:bottom w:val="single" w:sz="8" w:space="0" w:color="BFBFBF"/>
              <w:right w:val="nil"/>
            </w:tcBorders>
            <w:vAlign w:val="center"/>
            <w:hideMark/>
          </w:tcPr>
          <w:p w14:paraId="5020F8DA" w14:textId="77777777" w:rsidR="00FD6E1D" w:rsidRPr="00B16E6B" w:rsidRDefault="00D73051" w:rsidP="009613E1">
            <w:pPr>
              <w:pStyle w:val="TableBody"/>
              <w:spacing w:line="271" w:lineRule="auto"/>
              <w:jc w:val="center"/>
              <w:rPr>
                <w:rFonts w:asciiTheme="minorHAnsi" w:hAnsiTheme="minorHAnsi" w:cs="Arial"/>
              </w:rPr>
            </w:pPr>
            <w:r w:rsidRPr="00B16E6B">
              <w:rPr>
                <w:rFonts w:asciiTheme="minorHAnsi" w:hAnsiTheme="minorHAnsi" w:cs="Arial"/>
                <w:color w:val="000000"/>
              </w:rPr>
              <w:t>1.9</w:t>
            </w:r>
          </w:p>
        </w:tc>
        <w:tc>
          <w:tcPr>
            <w:tcW w:w="1821" w:type="pct"/>
            <w:tcBorders>
              <w:top w:val="nil"/>
              <w:left w:val="nil"/>
              <w:bottom w:val="single" w:sz="8" w:space="0" w:color="BFBFBF"/>
              <w:right w:val="nil"/>
            </w:tcBorders>
            <w:vAlign w:val="center"/>
            <w:hideMark/>
          </w:tcPr>
          <w:p w14:paraId="1BF7AF2B" w14:textId="77777777" w:rsidR="00FD6E1D" w:rsidRPr="00B16E6B" w:rsidRDefault="00B57B91" w:rsidP="009613E1">
            <w:pPr>
              <w:pStyle w:val="TableBody"/>
              <w:spacing w:line="271" w:lineRule="auto"/>
              <w:jc w:val="center"/>
              <w:rPr>
                <w:rFonts w:asciiTheme="minorHAnsi" w:hAnsiTheme="minorHAnsi" w:cs="Arial"/>
              </w:rPr>
            </w:pPr>
            <w:r w:rsidRPr="00B16E6B">
              <w:rPr>
                <w:rFonts w:asciiTheme="minorHAnsi" w:hAnsiTheme="minorHAnsi" w:cs="Arial"/>
                <w:color w:val="000000"/>
              </w:rPr>
              <w:t>2.2</w:t>
            </w:r>
          </w:p>
        </w:tc>
      </w:tr>
      <w:tr w:rsidR="00FD6E1D" w:rsidRPr="00B16E6B" w14:paraId="0EB431B3" w14:textId="77777777" w:rsidTr="00FD6E1D">
        <w:trPr>
          <w:cantSplit/>
          <w:trHeight w:val="361"/>
        </w:trPr>
        <w:tc>
          <w:tcPr>
            <w:tcW w:w="135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hideMark/>
          </w:tcPr>
          <w:p w14:paraId="2F75977B" w14:textId="77777777" w:rsidR="00FD6E1D" w:rsidRPr="00B16E6B" w:rsidRDefault="00FD6E1D" w:rsidP="009613E1">
            <w:pPr>
              <w:pStyle w:val="TableBody"/>
              <w:spacing w:line="271" w:lineRule="auto"/>
              <w:rPr>
                <w:rFonts w:asciiTheme="minorHAnsi" w:hAnsiTheme="minorHAnsi" w:cs="Arial"/>
                <w:sz w:val="16"/>
              </w:rPr>
            </w:pPr>
            <w:r w:rsidRPr="00B16E6B">
              <w:rPr>
                <w:rFonts w:cs="Arial"/>
                <w:sz w:val="16"/>
              </w:rPr>
              <w:t>Critical broadcasting and domain name system assets</w:t>
            </w:r>
          </w:p>
        </w:tc>
        <w:tc>
          <w:tcPr>
            <w:tcW w:w="1822" w:type="pct"/>
            <w:tcBorders>
              <w:top w:val="single" w:sz="4" w:space="0" w:color="BFBFBF" w:themeColor="background1" w:themeShade="BF"/>
              <w:left w:val="nil"/>
              <w:bottom w:val="single" w:sz="4" w:space="0" w:color="BFBFBF" w:themeColor="background1" w:themeShade="BF"/>
              <w:right w:val="nil"/>
            </w:tcBorders>
            <w:vAlign w:val="center"/>
            <w:hideMark/>
          </w:tcPr>
          <w:p w14:paraId="4D4125D8" w14:textId="77777777" w:rsidR="00FD6E1D" w:rsidRPr="00B16E6B" w:rsidRDefault="00D73051" w:rsidP="009613E1">
            <w:pPr>
              <w:pStyle w:val="TableBody"/>
              <w:spacing w:line="271" w:lineRule="auto"/>
              <w:jc w:val="center"/>
              <w:rPr>
                <w:rFonts w:asciiTheme="minorHAnsi" w:hAnsiTheme="minorHAnsi" w:cs="Arial"/>
              </w:rPr>
            </w:pPr>
            <w:r w:rsidRPr="00B16E6B">
              <w:rPr>
                <w:rFonts w:asciiTheme="minorHAnsi" w:hAnsiTheme="minorHAnsi" w:cs="Arial"/>
              </w:rPr>
              <w:t>0.8</w:t>
            </w:r>
          </w:p>
        </w:tc>
        <w:tc>
          <w:tcPr>
            <w:tcW w:w="1821" w:type="pct"/>
            <w:tcBorders>
              <w:top w:val="single" w:sz="4" w:space="0" w:color="BFBFBF" w:themeColor="background1" w:themeShade="BF"/>
              <w:left w:val="nil"/>
              <w:bottom w:val="single" w:sz="4" w:space="0" w:color="BFBFBF" w:themeColor="background1" w:themeShade="BF"/>
              <w:right w:val="nil"/>
            </w:tcBorders>
            <w:vAlign w:val="center"/>
            <w:hideMark/>
          </w:tcPr>
          <w:p w14:paraId="5755B957" w14:textId="77777777" w:rsidR="00FD6E1D" w:rsidRPr="00B16E6B" w:rsidRDefault="00D73051" w:rsidP="009613E1">
            <w:pPr>
              <w:pStyle w:val="TableBody"/>
              <w:spacing w:line="271" w:lineRule="auto"/>
              <w:jc w:val="center"/>
              <w:rPr>
                <w:rFonts w:asciiTheme="minorHAnsi" w:hAnsiTheme="minorHAnsi" w:cs="Arial"/>
              </w:rPr>
            </w:pPr>
            <w:r w:rsidRPr="00B16E6B">
              <w:rPr>
                <w:rFonts w:asciiTheme="minorHAnsi" w:hAnsiTheme="minorHAnsi" w:cs="Arial"/>
              </w:rPr>
              <w:t>0.6</w:t>
            </w:r>
          </w:p>
        </w:tc>
      </w:tr>
      <w:tr w:rsidR="00FD6E1D" w:rsidRPr="00B16E6B" w14:paraId="482DA532" w14:textId="77777777" w:rsidTr="00FD6E1D">
        <w:trPr>
          <w:cantSplit/>
          <w:trHeight w:val="361"/>
        </w:trPr>
        <w:tc>
          <w:tcPr>
            <w:tcW w:w="135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hideMark/>
          </w:tcPr>
          <w:p w14:paraId="31E35381" w14:textId="77777777" w:rsidR="00FD6E1D" w:rsidRPr="00B16E6B" w:rsidRDefault="00FD6E1D" w:rsidP="009613E1">
            <w:pPr>
              <w:pStyle w:val="TableBody"/>
              <w:spacing w:line="271" w:lineRule="auto"/>
              <w:rPr>
                <w:rFonts w:asciiTheme="minorHAnsi" w:hAnsiTheme="minorHAnsi" w:cs="Arial"/>
                <w:sz w:val="16"/>
              </w:rPr>
            </w:pPr>
            <w:r w:rsidRPr="00B16E6B">
              <w:rPr>
                <w:rFonts w:cs="Arial"/>
                <w:sz w:val="16"/>
              </w:rPr>
              <w:lastRenderedPageBreak/>
              <w:t>Critical financial market infrastructure assets (payment systems)</w:t>
            </w:r>
          </w:p>
        </w:tc>
        <w:tc>
          <w:tcPr>
            <w:tcW w:w="1822" w:type="pct"/>
            <w:tcBorders>
              <w:top w:val="single" w:sz="4" w:space="0" w:color="BFBFBF" w:themeColor="background1" w:themeShade="BF"/>
              <w:left w:val="nil"/>
              <w:bottom w:val="single" w:sz="4" w:space="0" w:color="BFBFBF" w:themeColor="background1" w:themeShade="BF"/>
              <w:right w:val="nil"/>
            </w:tcBorders>
            <w:vAlign w:val="center"/>
            <w:hideMark/>
          </w:tcPr>
          <w:p w14:paraId="79074D88" w14:textId="77777777" w:rsidR="00FD6E1D" w:rsidRPr="00B16E6B" w:rsidRDefault="00FD6E1D" w:rsidP="009613E1">
            <w:pPr>
              <w:pStyle w:val="TableBody"/>
              <w:spacing w:line="271" w:lineRule="auto"/>
              <w:jc w:val="center"/>
              <w:rPr>
                <w:rFonts w:asciiTheme="minorHAnsi" w:hAnsiTheme="minorHAnsi" w:cs="Arial"/>
              </w:rPr>
            </w:pPr>
            <w:r w:rsidRPr="00B16E6B">
              <w:rPr>
                <w:rFonts w:asciiTheme="minorHAnsi" w:hAnsiTheme="minorHAnsi" w:cs="Arial"/>
              </w:rPr>
              <w:t>0.1</w:t>
            </w:r>
          </w:p>
        </w:tc>
        <w:tc>
          <w:tcPr>
            <w:tcW w:w="1821" w:type="pct"/>
            <w:tcBorders>
              <w:top w:val="single" w:sz="4" w:space="0" w:color="BFBFBF" w:themeColor="background1" w:themeShade="BF"/>
              <w:left w:val="nil"/>
              <w:bottom w:val="single" w:sz="4" w:space="0" w:color="BFBFBF" w:themeColor="background1" w:themeShade="BF"/>
              <w:right w:val="nil"/>
            </w:tcBorders>
            <w:vAlign w:val="center"/>
            <w:hideMark/>
          </w:tcPr>
          <w:p w14:paraId="28365A29" w14:textId="77777777" w:rsidR="00FD6E1D" w:rsidRPr="00B16E6B" w:rsidRDefault="00D73051" w:rsidP="009613E1">
            <w:pPr>
              <w:pStyle w:val="TableBody"/>
              <w:spacing w:line="271" w:lineRule="auto"/>
              <w:jc w:val="center"/>
              <w:rPr>
                <w:rFonts w:asciiTheme="minorHAnsi" w:hAnsiTheme="minorHAnsi" w:cs="Arial"/>
              </w:rPr>
            </w:pPr>
            <w:r w:rsidRPr="00B16E6B">
              <w:rPr>
                <w:rFonts w:asciiTheme="minorHAnsi" w:hAnsiTheme="minorHAnsi" w:cs="Arial"/>
              </w:rPr>
              <w:t>1.6</w:t>
            </w:r>
          </w:p>
        </w:tc>
      </w:tr>
      <w:tr w:rsidR="00FD6E1D" w:rsidRPr="00B16E6B" w14:paraId="087BAD83" w14:textId="77777777" w:rsidTr="00FD6E1D">
        <w:trPr>
          <w:cantSplit/>
          <w:trHeight w:val="361"/>
        </w:trPr>
        <w:tc>
          <w:tcPr>
            <w:tcW w:w="135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hideMark/>
          </w:tcPr>
          <w:p w14:paraId="1A2741E3" w14:textId="77777777" w:rsidR="00FD6E1D" w:rsidRPr="00B16E6B" w:rsidRDefault="00FD6E1D" w:rsidP="009613E1">
            <w:pPr>
              <w:pStyle w:val="TableBody"/>
              <w:spacing w:line="271" w:lineRule="auto"/>
              <w:rPr>
                <w:rFonts w:asciiTheme="minorHAnsi" w:hAnsiTheme="minorHAnsi" w:cs="Arial"/>
                <w:sz w:val="16"/>
              </w:rPr>
            </w:pPr>
            <w:r w:rsidRPr="00B16E6B">
              <w:rPr>
                <w:rFonts w:cs="Arial"/>
                <w:sz w:val="16"/>
                <w:lang w:eastAsia="en-AU"/>
              </w:rPr>
              <w:t>Critical liquid fuels assets</w:t>
            </w:r>
          </w:p>
        </w:tc>
        <w:tc>
          <w:tcPr>
            <w:tcW w:w="1822" w:type="pct"/>
            <w:tcBorders>
              <w:top w:val="single" w:sz="4" w:space="0" w:color="BFBFBF" w:themeColor="background1" w:themeShade="BF"/>
              <w:left w:val="nil"/>
              <w:bottom w:val="single" w:sz="4" w:space="0" w:color="BFBFBF" w:themeColor="background1" w:themeShade="BF"/>
              <w:right w:val="nil"/>
            </w:tcBorders>
            <w:vAlign w:val="center"/>
            <w:hideMark/>
          </w:tcPr>
          <w:p w14:paraId="6F176952" w14:textId="77777777" w:rsidR="00FD6E1D" w:rsidRPr="00B16E6B" w:rsidRDefault="00C063FA" w:rsidP="009613E1">
            <w:pPr>
              <w:pStyle w:val="TableBody"/>
              <w:spacing w:line="271" w:lineRule="auto"/>
              <w:jc w:val="center"/>
              <w:rPr>
                <w:rFonts w:asciiTheme="minorHAnsi" w:hAnsiTheme="minorHAnsi" w:cs="Arial"/>
              </w:rPr>
            </w:pPr>
            <w:r w:rsidRPr="00B16E6B">
              <w:rPr>
                <w:rFonts w:asciiTheme="minorHAnsi" w:hAnsiTheme="minorHAnsi" w:cs="Arial"/>
              </w:rPr>
              <w:t>10.1</w:t>
            </w:r>
          </w:p>
        </w:tc>
        <w:tc>
          <w:tcPr>
            <w:tcW w:w="1821" w:type="pct"/>
            <w:tcBorders>
              <w:top w:val="single" w:sz="4" w:space="0" w:color="BFBFBF" w:themeColor="background1" w:themeShade="BF"/>
              <w:left w:val="nil"/>
              <w:bottom w:val="single" w:sz="4" w:space="0" w:color="BFBFBF" w:themeColor="background1" w:themeShade="BF"/>
              <w:right w:val="nil"/>
            </w:tcBorders>
            <w:vAlign w:val="center"/>
            <w:hideMark/>
          </w:tcPr>
          <w:p w14:paraId="7030500B" w14:textId="77777777" w:rsidR="00FD6E1D" w:rsidRPr="00B16E6B" w:rsidRDefault="00B57B91" w:rsidP="009613E1">
            <w:pPr>
              <w:pStyle w:val="TableBody"/>
              <w:spacing w:line="271" w:lineRule="auto"/>
              <w:jc w:val="center"/>
              <w:rPr>
                <w:rFonts w:asciiTheme="minorHAnsi" w:hAnsiTheme="minorHAnsi" w:cs="Arial"/>
              </w:rPr>
            </w:pPr>
            <w:r w:rsidRPr="00B16E6B">
              <w:rPr>
                <w:rFonts w:asciiTheme="minorHAnsi" w:hAnsiTheme="minorHAnsi" w:cs="Arial"/>
              </w:rPr>
              <w:t>3.0</w:t>
            </w:r>
          </w:p>
        </w:tc>
      </w:tr>
      <w:tr w:rsidR="00FD6E1D" w:rsidRPr="00B16E6B" w14:paraId="7DED4CBB" w14:textId="77777777" w:rsidTr="00FD6E1D">
        <w:trPr>
          <w:cantSplit/>
          <w:trHeight w:val="372"/>
        </w:trPr>
        <w:tc>
          <w:tcPr>
            <w:tcW w:w="135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hideMark/>
          </w:tcPr>
          <w:p w14:paraId="0BBC2348" w14:textId="77777777" w:rsidR="00FD6E1D" w:rsidRPr="00B16E6B" w:rsidRDefault="00FD6E1D" w:rsidP="009613E1">
            <w:pPr>
              <w:pStyle w:val="TableBody"/>
              <w:spacing w:line="271" w:lineRule="auto"/>
              <w:rPr>
                <w:rFonts w:asciiTheme="minorHAnsi" w:hAnsiTheme="minorHAnsi" w:cs="Arial"/>
                <w:sz w:val="16"/>
              </w:rPr>
            </w:pPr>
            <w:r w:rsidRPr="00B16E6B">
              <w:rPr>
                <w:rFonts w:cs="Arial"/>
                <w:sz w:val="16"/>
                <w:lang w:eastAsia="en-AU"/>
              </w:rPr>
              <w:t>Critical hospitals</w:t>
            </w:r>
          </w:p>
        </w:tc>
        <w:tc>
          <w:tcPr>
            <w:tcW w:w="1822" w:type="pct"/>
            <w:tcBorders>
              <w:top w:val="single" w:sz="4" w:space="0" w:color="BFBFBF" w:themeColor="background1" w:themeShade="BF"/>
              <w:left w:val="nil"/>
              <w:bottom w:val="single" w:sz="4" w:space="0" w:color="BFBFBF" w:themeColor="background1" w:themeShade="BF"/>
              <w:right w:val="nil"/>
            </w:tcBorders>
            <w:vAlign w:val="center"/>
            <w:hideMark/>
          </w:tcPr>
          <w:p w14:paraId="4BA22678" w14:textId="77777777" w:rsidR="00FD6E1D" w:rsidRPr="00B16E6B" w:rsidRDefault="00C063FA" w:rsidP="009613E1">
            <w:pPr>
              <w:pStyle w:val="TableBody"/>
              <w:spacing w:line="271" w:lineRule="auto"/>
              <w:jc w:val="center"/>
              <w:rPr>
                <w:rFonts w:asciiTheme="minorHAnsi" w:hAnsiTheme="minorHAnsi" w:cs="Arial"/>
              </w:rPr>
            </w:pPr>
            <w:r w:rsidRPr="00B16E6B">
              <w:rPr>
                <w:rFonts w:asciiTheme="minorHAnsi" w:hAnsiTheme="minorHAnsi" w:cs="Arial"/>
              </w:rPr>
              <w:t>14.8</w:t>
            </w:r>
          </w:p>
        </w:tc>
        <w:tc>
          <w:tcPr>
            <w:tcW w:w="1821" w:type="pct"/>
            <w:tcBorders>
              <w:top w:val="single" w:sz="4" w:space="0" w:color="BFBFBF" w:themeColor="background1" w:themeShade="BF"/>
              <w:left w:val="nil"/>
              <w:bottom w:val="single" w:sz="4" w:space="0" w:color="BFBFBF" w:themeColor="background1" w:themeShade="BF"/>
              <w:right w:val="nil"/>
            </w:tcBorders>
            <w:vAlign w:val="center"/>
            <w:hideMark/>
          </w:tcPr>
          <w:p w14:paraId="26AAB4F8" w14:textId="77777777" w:rsidR="00FD6E1D" w:rsidRPr="00B16E6B" w:rsidRDefault="00B57B91" w:rsidP="009613E1">
            <w:pPr>
              <w:pStyle w:val="TableBody"/>
              <w:spacing w:line="271" w:lineRule="auto"/>
              <w:jc w:val="center"/>
              <w:rPr>
                <w:rFonts w:asciiTheme="minorHAnsi" w:hAnsiTheme="minorHAnsi" w:cs="Arial"/>
              </w:rPr>
            </w:pPr>
            <w:r w:rsidRPr="00B16E6B">
              <w:rPr>
                <w:rFonts w:asciiTheme="minorHAnsi" w:hAnsiTheme="minorHAnsi" w:cs="Arial"/>
              </w:rPr>
              <w:t>11.5</w:t>
            </w:r>
          </w:p>
        </w:tc>
      </w:tr>
      <w:tr w:rsidR="00FD6E1D" w:rsidRPr="00B16E6B" w14:paraId="598C58C3" w14:textId="77777777" w:rsidTr="00FD6E1D">
        <w:trPr>
          <w:cantSplit/>
          <w:trHeight w:val="361"/>
        </w:trPr>
        <w:tc>
          <w:tcPr>
            <w:tcW w:w="135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hideMark/>
          </w:tcPr>
          <w:p w14:paraId="13A59C72" w14:textId="77777777" w:rsidR="00FD6E1D" w:rsidRPr="00B16E6B" w:rsidRDefault="00FD6E1D" w:rsidP="009613E1">
            <w:pPr>
              <w:pStyle w:val="TableBody"/>
              <w:spacing w:line="271" w:lineRule="auto"/>
              <w:rPr>
                <w:rFonts w:asciiTheme="minorHAnsi" w:hAnsiTheme="minorHAnsi" w:cs="Arial"/>
                <w:sz w:val="16"/>
              </w:rPr>
            </w:pPr>
            <w:r w:rsidRPr="00B16E6B">
              <w:rPr>
                <w:rFonts w:cs="Arial"/>
                <w:sz w:val="16"/>
                <w:lang w:eastAsia="en-AU"/>
              </w:rPr>
              <w:t>Critical energy market operator assets</w:t>
            </w:r>
          </w:p>
        </w:tc>
        <w:tc>
          <w:tcPr>
            <w:tcW w:w="1822" w:type="pct"/>
            <w:tcBorders>
              <w:top w:val="single" w:sz="4" w:space="0" w:color="BFBFBF" w:themeColor="background1" w:themeShade="BF"/>
              <w:left w:val="nil"/>
              <w:bottom w:val="single" w:sz="4" w:space="0" w:color="BFBFBF" w:themeColor="background1" w:themeShade="BF"/>
              <w:right w:val="nil"/>
            </w:tcBorders>
            <w:vAlign w:val="center"/>
            <w:hideMark/>
          </w:tcPr>
          <w:p w14:paraId="536F744A" w14:textId="77777777" w:rsidR="00FD6E1D" w:rsidRPr="00B16E6B" w:rsidRDefault="00B57B91" w:rsidP="009613E1">
            <w:pPr>
              <w:pStyle w:val="TableBody"/>
              <w:spacing w:line="271" w:lineRule="auto"/>
              <w:jc w:val="center"/>
              <w:rPr>
                <w:rFonts w:asciiTheme="minorHAnsi" w:hAnsiTheme="minorHAnsi" w:cs="Arial"/>
              </w:rPr>
            </w:pPr>
            <w:r w:rsidRPr="00B16E6B">
              <w:rPr>
                <w:rFonts w:asciiTheme="minorHAnsi" w:hAnsiTheme="minorHAnsi" w:cs="Arial"/>
              </w:rPr>
              <w:t>25.2</w:t>
            </w:r>
          </w:p>
        </w:tc>
        <w:tc>
          <w:tcPr>
            <w:tcW w:w="1821" w:type="pct"/>
            <w:tcBorders>
              <w:top w:val="single" w:sz="4" w:space="0" w:color="BFBFBF" w:themeColor="background1" w:themeShade="BF"/>
              <w:left w:val="nil"/>
              <w:bottom w:val="single" w:sz="4" w:space="0" w:color="BFBFBF" w:themeColor="background1" w:themeShade="BF"/>
              <w:right w:val="nil"/>
            </w:tcBorders>
            <w:vAlign w:val="center"/>
            <w:hideMark/>
          </w:tcPr>
          <w:p w14:paraId="75CD2188" w14:textId="77777777" w:rsidR="00FD6E1D" w:rsidRPr="00B16E6B" w:rsidRDefault="00C063FA" w:rsidP="009613E1">
            <w:pPr>
              <w:pStyle w:val="TableBody"/>
              <w:spacing w:line="271" w:lineRule="auto"/>
              <w:jc w:val="center"/>
              <w:rPr>
                <w:rFonts w:asciiTheme="minorHAnsi" w:hAnsiTheme="minorHAnsi" w:cs="Arial"/>
              </w:rPr>
            </w:pPr>
            <w:r w:rsidRPr="00B16E6B">
              <w:rPr>
                <w:rFonts w:asciiTheme="minorHAnsi" w:hAnsiTheme="minorHAnsi" w:cs="Arial"/>
              </w:rPr>
              <w:t>7.6</w:t>
            </w:r>
          </w:p>
        </w:tc>
      </w:tr>
      <w:tr w:rsidR="00FD6E1D" w:rsidRPr="00B16E6B" w14:paraId="75C9017A" w14:textId="77777777" w:rsidTr="00FD6E1D">
        <w:trPr>
          <w:cantSplit/>
          <w:trHeight w:val="361"/>
        </w:trPr>
        <w:tc>
          <w:tcPr>
            <w:tcW w:w="135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hideMark/>
          </w:tcPr>
          <w:p w14:paraId="78362281" w14:textId="77777777" w:rsidR="00FD6E1D" w:rsidRPr="00B16E6B" w:rsidRDefault="00FD6E1D" w:rsidP="009613E1">
            <w:pPr>
              <w:pStyle w:val="TableBody"/>
              <w:spacing w:line="271" w:lineRule="auto"/>
              <w:rPr>
                <w:rFonts w:asciiTheme="minorHAnsi" w:hAnsiTheme="minorHAnsi" w:cs="Arial"/>
                <w:sz w:val="16"/>
                <w:lang w:eastAsia="en-AU"/>
              </w:rPr>
            </w:pPr>
            <w:r w:rsidRPr="00B16E6B">
              <w:rPr>
                <w:rFonts w:cs="Arial"/>
                <w:sz w:val="16"/>
                <w:lang w:eastAsia="en-AU"/>
              </w:rPr>
              <w:t xml:space="preserve">Critical freight infrastructure </w:t>
            </w:r>
            <w:r w:rsidRPr="00B16E6B">
              <w:rPr>
                <w:rFonts w:cs="Arial"/>
                <w:i/>
                <w:sz w:val="16"/>
                <w:lang w:eastAsia="en-AU"/>
              </w:rPr>
              <w:t>and</w:t>
            </w:r>
            <w:r w:rsidRPr="00B16E6B">
              <w:rPr>
                <w:rFonts w:cs="Arial"/>
                <w:sz w:val="16"/>
                <w:lang w:eastAsia="en-AU"/>
              </w:rPr>
              <w:t xml:space="preserve"> critical freight services assets</w:t>
            </w:r>
          </w:p>
        </w:tc>
        <w:tc>
          <w:tcPr>
            <w:tcW w:w="1822" w:type="pct"/>
            <w:tcBorders>
              <w:top w:val="single" w:sz="4" w:space="0" w:color="BFBFBF" w:themeColor="background1" w:themeShade="BF"/>
              <w:left w:val="nil"/>
              <w:bottom w:val="single" w:sz="4" w:space="0" w:color="BFBFBF" w:themeColor="background1" w:themeShade="BF"/>
              <w:right w:val="nil"/>
            </w:tcBorders>
            <w:vAlign w:val="center"/>
            <w:hideMark/>
          </w:tcPr>
          <w:p w14:paraId="4FD69DC2" w14:textId="77777777" w:rsidR="00FD6E1D" w:rsidRPr="00B16E6B" w:rsidRDefault="00C063FA" w:rsidP="009613E1">
            <w:pPr>
              <w:pStyle w:val="TableBody"/>
              <w:spacing w:line="271" w:lineRule="auto"/>
              <w:jc w:val="center"/>
              <w:rPr>
                <w:rFonts w:asciiTheme="minorHAnsi" w:hAnsiTheme="minorHAnsi" w:cs="Arial"/>
              </w:rPr>
            </w:pPr>
            <w:r w:rsidRPr="00B16E6B">
              <w:rPr>
                <w:rFonts w:asciiTheme="minorHAnsi" w:hAnsiTheme="minorHAnsi" w:cs="Arial"/>
              </w:rPr>
              <w:t>4.4</w:t>
            </w:r>
          </w:p>
        </w:tc>
        <w:tc>
          <w:tcPr>
            <w:tcW w:w="1821" w:type="pct"/>
            <w:tcBorders>
              <w:top w:val="single" w:sz="4" w:space="0" w:color="BFBFBF" w:themeColor="background1" w:themeShade="BF"/>
              <w:left w:val="nil"/>
              <w:bottom w:val="single" w:sz="4" w:space="0" w:color="BFBFBF" w:themeColor="background1" w:themeShade="BF"/>
              <w:right w:val="nil"/>
            </w:tcBorders>
            <w:vAlign w:val="center"/>
            <w:hideMark/>
          </w:tcPr>
          <w:p w14:paraId="776EEEB8" w14:textId="77777777" w:rsidR="00FD6E1D" w:rsidRPr="00B16E6B" w:rsidRDefault="00B57B91" w:rsidP="009613E1">
            <w:pPr>
              <w:pStyle w:val="TableBody"/>
              <w:spacing w:line="271" w:lineRule="auto"/>
              <w:jc w:val="center"/>
              <w:rPr>
                <w:rFonts w:asciiTheme="minorHAnsi" w:hAnsiTheme="minorHAnsi" w:cs="Arial"/>
              </w:rPr>
            </w:pPr>
            <w:r w:rsidRPr="00B16E6B">
              <w:rPr>
                <w:rFonts w:asciiTheme="minorHAnsi" w:hAnsiTheme="minorHAnsi" w:cs="Arial"/>
              </w:rPr>
              <w:t>2.6</w:t>
            </w:r>
          </w:p>
        </w:tc>
      </w:tr>
      <w:tr w:rsidR="00FD6E1D" w:rsidRPr="00B16E6B" w14:paraId="4B029786" w14:textId="77777777" w:rsidTr="00FD6E1D">
        <w:trPr>
          <w:cantSplit/>
          <w:trHeight w:val="361"/>
        </w:trPr>
        <w:tc>
          <w:tcPr>
            <w:tcW w:w="1357" w:type="pct"/>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vAlign w:val="center"/>
            <w:hideMark/>
          </w:tcPr>
          <w:p w14:paraId="3B4A903E" w14:textId="77777777" w:rsidR="00FD6E1D" w:rsidRPr="00B16E6B" w:rsidRDefault="00FD6E1D" w:rsidP="009613E1">
            <w:pPr>
              <w:pStyle w:val="TableBody"/>
              <w:spacing w:line="271" w:lineRule="auto"/>
              <w:rPr>
                <w:rFonts w:asciiTheme="minorHAnsi" w:hAnsiTheme="minorHAnsi" w:cs="Arial"/>
                <w:sz w:val="16"/>
                <w:lang w:eastAsia="en-AU"/>
              </w:rPr>
            </w:pPr>
            <w:r w:rsidRPr="00B16E6B">
              <w:rPr>
                <w:rFonts w:cs="Arial"/>
                <w:sz w:val="16"/>
                <w:lang w:eastAsia="en-AU"/>
              </w:rPr>
              <w:t>Critical food and grocery assets</w:t>
            </w:r>
          </w:p>
        </w:tc>
        <w:tc>
          <w:tcPr>
            <w:tcW w:w="1822" w:type="pct"/>
            <w:tcBorders>
              <w:top w:val="single" w:sz="4" w:space="0" w:color="BFBFBF" w:themeColor="background1" w:themeShade="BF"/>
              <w:left w:val="nil"/>
              <w:bottom w:val="single" w:sz="4" w:space="0" w:color="BFBFBF" w:themeColor="background1" w:themeShade="BF"/>
              <w:right w:val="nil"/>
            </w:tcBorders>
            <w:vAlign w:val="center"/>
            <w:hideMark/>
          </w:tcPr>
          <w:p w14:paraId="368C7C28" w14:textId="77777777" w:rsidR="00FD6E1D" w:rsidRPr="00B16E6B" w:rsidRDefault="00D73051" w:rsidP="009613E1">
            <w:pPr>
              <w:pStyle w:val="TableBody"/>
              <w:spacing w:line="271" w:lineRule="auto"/>
              <w:jc w:val="center"/>
              <w:rPr>
                <w:rFonts w:asciiTheme="minorHAnsi" w:hAnsiTheme="minorHAnsi" w:cs="Arial"/>
              </w:rPr>
            </w:pPr>
            <w:r w:rsidRPr="00B16E6B">
              <w:rPr>
                <w:rFonts w:asciiTheme="minorHAnsi" w:hAnsiTheme="minorHAnsi" w:cs="Arial"/>
              </w:rPr>
              <w:t>3.5</w:t>
            </w:r>
          </w:p>
        </w:tc>
        <w:tc>
          <w:tcPr>
            <w:tcW w:w="1821" w:type="pct"/>
            <w:tcBorders>
              <w:top w:val="single" w:sz="4" w:space="0" w:color="BFBFBF" w:themeColor="background1" w:themeShade="BF"/>
              <w:left w:val="nil"/>
              <w:bottom w:val="single" w:sz="4" w:space="0" w:color="BFBFBF" w:themeColor="background1" w:themeShade="BF"/>
              <w:right w:val="nil"/>
            </w:tcBorders>
            <w:vAlign w:val="center"/>
            <w:hideMark/>
          </w:tcPr>
          <w:p w14:paraId="4683D802" w14:textId="77777777" w:rsidR="00FD6E1D" w:rsidRPr="00B16E6B" w:rsidRDefault="00D73051" w:rsidP="009613E1">
            <w:pPr>
              <w:pStyle w:val="TableBody"/>
              <w:spacing w:line="271" w:lineRule="auto"/>
              <w:jc w:val="center"/>
              <w:rPr>
                <w:rFonts w:asciiTheme="minorHAnsi" w:hAnsiTheme="minorHAnsi" w:cs="Arial"/>
              </w:rPr>
            </w:pPr>
            <w:r w:rsidRPr="00B16E6B">
              <w:rPr>
                <w:rFonts w:asciiTheme="minorHAnsi" w:hAnsiTheme="minorHAnsi" w:cs="Arial"/>
              </w:rPr>
              <w:t>1.9</w:t>
            </w:r>
          </w:p>
        </w:tc>
      </w:tr>
      <w:tr w:rsidR="00FD6E1D" w:rsidRPr="00B16E6B" w14:paraId="2ED50564" w14:textId="77777777" w:rsidTr="00636E0E">
        <w:trPr>
          <w:cantSplit/>
          <w:trHeight w:val="361"/>
        </w:trPr>
        <w:tc>
          <w:tcPr>
            <w:tcW w:w="1357" w:type="pct"/>
            <w:tcBorders>
              <w:top w:val="single" w:sz="4" w:space="0" w:color="BFBFBF" w:themeColor="background1" w:themeShade="BF"/>
              <w:left w:val="nil"/>
              <w:bottom w:val="single" w:sz="4" w:space="0" w:color="BFBFBF" w:themeColor="background1" w:themeShade="BF"/>
              <w:right w:val="nil"/>
            </w:tcBorders>
            <w:shd w:val="clear" w:color="auto" w:fill="1C2B39" w:themeFill="accent1"/>
            <w:vAlign w:val="center"/>
            <w:hideMark/>
          </w:tcPr>
          <w:p w14:paraId="3D7BBE81" w14:textId="77777777" w:rsidR="00FD6E1D" w:rsidRPr="00B16E6B" w:rsidRDefault="00FD6E1D" w:rsidP="009613E1">
            <w:pPr>
              <w:pStyle w:val="TableHeading"/>
              <w:spacing w:line="271" w:lineRule="auto"/>
              <w:rPr>
                <w:rFonts w:asciiTheme="minorHAnsi" w:eastAsia="Calibri" w:hAnsiTheme="minorHAnsi" w:cs="Arial"/>
                <w:b/>
                <w:color w:val="FFFFFF" w:themeColor="background1"/>
                <w:szCs w:val="20"/>
                <w:lang w:eastAsia="en-AU"/>
              </w:rPr>
            </w:pPr>
            <w:r w:rsidRPr="00B16E6B">
              <w:rPr>
                <w:rFonts w:cs="Arial"/>
                <w:b/>
                <w:szCs w:val="20"/>
                <w:lang w:eastAsia="en-AU"/>
              </w:rPr>
              <w:t>Total average cost per entity</w:t>
            </w:r>
          </w:p>
        </w:tc>
        <w:tc>
          <w:tcPr>
            <w:tcW w:w="1822" w:type="pct"/>
            <w:tcBorders>
              <w:top w:val="single" w:sz="4" w:space="0" w:color="BFBFBF" w:themeColor="background1" w:themeShade="BF"/>
              <w:left w:val="nil"/>
              <w:bottom w:val="single" w:sz="4" w:space="0" w:color="BFBFBF" w:themeColor="background1" w:themeShade="BF"/>
              <w:right w:val="nil"/>
            </w:tcBorders>
            <w:vAlign w:val="center"/>
            <w:hideMark/>
          </w:tcPr>
          <w:p w14:paraId="4F483800" w14:textId="77777777" w:rsidR="00FD6E1D" w:rsidRPr="00B16E6B" w:rsidRDefault="00B57B91" w:rsidP="009613E1">
            <w:pPr>
              <w:pStyle w:val="TableHeading"/>
              <w:spacing w:line="271" w:lineRule="auto"/>
              <w:jc w:val="center"/>
              <w:rPr>
                <w:rFonts w:asciiTheme="minorHAnsi" w:hAnsiTheme="minorHAnsi" w:cs="Arial"/>
                <w:b/>
                <w:szCs w:val="20"/>
                <w:lang w:eastAsia="en-AU"/>
              </w:rPr>
            </w:pPr>
            <w:r w:rsidRPr="00B16E6B">
              <w:rPr>
                <w:rFonts w:cs="Arial"/>
                <w:b/>
                <w:szCs w:val="20"/>
                <w:lang w:eastAsia="en-AU"/>
              </w:rPr>
              <w:t>9.0</w:t>
            </w:r>
          </w:p>
        </w:tc>
        <w:tc>
          <w:tcPr>
            <w:tcW w:w="1821" w:type="pct"/>
            <w:tcBorders>
              <w:top w:val="single" w:sz="4" w:space="0" w:color="BFBFBF" w:themeColor="background1" w:themeShade="BF"/>
              <w:left w:val="nil"/>
              <w:bottom w:val="single" w:sz="4" w:space="0" w:color="BFBFBF" w:themeColor="background1" w:themeShade="BF"/>
              <w:right w:val="nil"/>
            </w:tcBorders>
            <w:vAlign w:val="center"/>
            <w:hideMark/>
          </w:tcPr>
          <w:p w14:paraId="20992960" w14:textId="77777777" w:rsidR="00FD6E1D" w:rsidRPr="00B16E6B" w:rsidRDefault="00B57B91" w:rsidP="009613E1">
            <w:pPr>
              <w:pStyle w:val="TableHeading"/>
              <w:spacing w:line="271" w:lineRule="auto"/>
              <w:jc w:val="center"/>
              <w:rPr>
                <w:rFonts w:asciiTheme="minorHAnsi" w:hAnsiTheme="minorHAnsi" w:cs="Arial"/>
                <w:b/>
                <w:szCs w:val="20"/>
                <w:lang w:eastAsia="en-AU"/>
              </w:rPr>
            </w:pPr>
            <w:r w:rsidRPr="00B16E6B">
              <w:rPr>
                <w:rFonts w:cs="Arial"/>
                <w:b/>
                <w:szCs w:val="20"/>
                <w:lang w:eastAsia="en-AU"/>
              </w:rPr>
              <w:t>4.1</w:t>
            </w:r>
          </w:p>
        </w:tc>
      </w:tr>
    </w:tbl>
    <w:p w14:paraId="67C3E19B" w14:textId="159E033D" w:rsidR="00052F94" w:rsidRPr="00B16E6B" w:rsidRDefault="00FD6E1D" w:rsidP="009613E1">
      <w:pPr>
        <w:spacing w:before="120" w:after="240" w:line="271" w:lineRule="auto"/>
      </w:pPr>
      <w:r w:rsidRPr="00B16E6B">
        <w:t xml:space="preserve">These average costs per entity were the basis of a total range for expected compliance with the CIRMP rules, outlined in the table below. </w:t>
      </w:r>
      <w:r w:rsidR="00BE1E7A" w:rsidRPr="00B16E6B">
        <w:t xml:space="preserve">While the average costs per entity do not directly consider the potential costs of compliance for Australia’s transport sector, it is expected that costs would fall within the range indicated in </w:t>
      </w:r>
      <w:r w:rsidR="00E2411D" w:rsidRPr="00B16E6B">
        <w:t>t</w:t>
      </w:r>
      <w:r w:rsidR="00BE1E7A" w:rsidRPr="00B16E6B">
        <w:t xml:space="preserve">able </w:t>
      </w:r>
      <w:r w:rsidR="00A027FB" w:rsidRPr="00B16E6B">
        <w:t xml:space="preserve">12 </w:t>
      </w:r>
      <w:r w:rsidR="00BE1E7A" w:rsidRPr="00B16E6B">
        <w:t xml:space="preserve">above. </w:t>
      </w:r>
    </w:p>
    <w:p w14:paraId="41D46F87" w14:textId="20B03C71" w:rsidR="00FD6E1D" w:rsidRPr="00B16E6B" w:rsidRDefault="00FD6E1D" w:rsidP="009613E1">
      <w:pPr>
        <w:pStyle w:val="Caption"/>
        <w:spacing w:after="60" w:line="271" w:lineRule="auto"/>
        <w:rPr>
          <w:rFonts w:eastAsia="Times New Roman" w:cs="Arial"/>
          <w:b w:val="0"/>
          <w:i/>
          <w:iCs/>
          <w:smallCaps w:val="0"/>
          <w:color w:val="44546A"/>
          <w:sz w:val="18"/>
          <w:szCs w:val="18"/>
          <w:lang w:eastAsia="en-AU"/>
        </w:rPr>
      </w:pPr>
      <w:r w:rsidRPr="00B16E6B">
        <w:rPr>
          <w:rFonts w:eastAsia="Times New Roman" w:cs="Arial"/>
          <w:i/>
          <w:iCs/>
          <w:smallCaps w:val="0"/>
          <w:color w:val="44546A"/>
          <w:sz w:val="18"/>
          <w:szCs w:val="18"/>
          <w:lang w:eastAsia="en-AU"/>
        </w:rPr>
        <w:t xml:space="preserve">Table </w:t>
      </w:r>
      <w:r w:rsidR="00A027FB" w:rsidRPr="00B16E6B">
        <w:rPr>
          <w:rFonts w:eastAsia="Times New Roman" w:cs="Arial"/>
          <w:i/>
          <w:iCs/>
          <w:smallCaps w:val="0"/>
          <w:color w:val="44546A"/>
          <w:sz w:val="18"/>
          <w:szCs w:val="18"/>
          <w:lang w:eastAsia="en-AU"/>
        </w:rPr>
        <w:t>13</w:t>
      </w:r>
      <w:r w:rsidRPr="00B16E6B">
        <w:rPr>
          <w:rFonts w:eastAsia="Times New Roman" w:cs="Arial"/>
          <w:i/>
          <w:iCs/>
          <w:smallCaps w:val="0"/>
          <w:color w:val="44546A"/>
          <w:sz w:val="18"/>
          <w:szCs w:val="18"/>
          <w:lang w:eastAsia="en-AU"/>
        </w:rPr>
        <w:t>:</w:t>
      </w:r>
      <w:r w:rsidRPr="00B16E6B">
        <w:rPr>
          <w:rFonts w:eastAsia="Times New Roman" w:cs="Arial"/>
          <w:b w:val="0"/>
          <w:i/>
          <w:iCs/>
          <w:smallCaps w:val="0"/>
          <w:color w:val="44546A"/>
          <w:sz w:val="18"/>
          <w:szCs w:val="18"/>
          <w:lang w:eastAsia="en-AU"/>
        </w:rPr>
        <w:t xml:space="preserve"> Summary of costs from 2021-22 consultation period</w:t>
      </w:r>
      <w:r w:rsidR="00D73051" w:rsidRPr="00B16E6B">
        <w:rPr>
          <w:rFonts w:eastAsia="Times New Roman" w:cs="Arial"/>
          <w:b w:val="0"/>
          <w:i/>
          <w:iCs/>
          <w:smallCaps w:val="0"/>
          <w:color w:val="44546A"/>
          <w:sz w:val="18"/>
          <w:szCs w:val="18"/>
          <w:lang w:eastAsia="en-AU"/>
        </w:rPr>
        <w:t xml:space="preserve">, indexed based on CPI to </w:t>
      </w:r>
      <w:r w:rsidR="00BE1E7A" w:rsidRPr="00B16E6B">
        <w:rPr>
          <w:rFonts w:eastAsia="Times New Roman" w:cs="Arial"/>
          <w:b w:val="0"/>
          <w:i/>
          <w:iCs/>
          <w:smallCaps w:val="0"/>
          <w:color w:val="44546A"/>
          <w:sz w:val="18"/>
          <w:szCs w:val="18"/>
          <w:lang w:eastAsia="en-AU"/>
        </w:rPr>
        <w:t xml:space="preserve">June </w:t>
      </w:r>
      <w:r w:rsidR="00D73051" w:rsidRPr="00B16E6B">
        <w:rPr>
          <w:rFonts w:eastAsia="Times New Roman" w:cs="Arial"/>
          <w:b w:val="0"/>
          <w:i/>
          <w:iCs/>
          <w:smallCaps w:val="0"/>
          <w:color w:val="44546A"/>
          <w:sz w:val="18"/>
          <w:szCs w:val="18"/>
          <w:lang w:eastAsia="en-AU"/>
        </w:rPr>
        <w:t>202</w:t>
      </w:r>
      <w:r w:rsidR="00BE1E7A" w:rsidRPr="00B16E6B">
        <w:rPr>
          <w:rFonts w:eastAsia="Times New Roman" w:cs="Arial"/>
          <w:b w:val="0"/>
          <w:i/>
          <w:iCs/>
          <w:smallCaps w:val="0"/>
          <w:color w:val="44546A"/>
          <w:sz w:val="18"/>
          <w:szCs w:val="18"/>
          <w:lang w:eastAsia="en-AU"/>
        </w:rPr>
        <w:t>4</w:t>
      </w:r>
      <w:r w:rsidR="00D73051" w:rsidRPr="00B16E6B">
        <w:rPr>
          <w:rFonts w:eastAsia="Times New Roman" w:cs="Arial"/>
          <w:b w:val="0"/>
          <w:i/>
          <w:iCs/>
          <w:smallCaps w:val="0"/>
          <w:color w:val="44546A"/>
          <w:sz w:val="18"/>
          <w:szCs w:val="18"/>
          <w:lang w:eastAsia="en-AU"/>
        </w:rPr>
        <w:t>.</w:t>
      </w:r>
    </w:p>
    <w:tbl>
      <w:tblPr>
        <w:tblStyle w:val="TableGrid"/>
        <w:tblW w:w="0" w:type="auto"/>
        <w:tblBorders>
          <w:top w:val="none" w:sz="0" w:space="0" w:color="auto"/>
          <w:left w:val="none" w:sz="0" w:space="0" w:color="auto"/>
          <w:bottom w:val="none" w:sz="0" w:space="0" w:color="auto"/>
          <w:right w:val="none" w:sz="0" w:space="0" w:color="auto"/>
          <w:insideH w:val="single" w:sz="4" w:space="0" w:color="A5A5A5"/>
          <w:insideV w:val="single" w:sz="4" w:space="0" w:color="A5A5A5"/>
        </w:tblBorders>
        <w:tblLook w:val="04A0" w:firstRow="1" w:lastRow="0" w:firstColumn="1" w:lastColumn="0" w:noHBand="0" w:noVBand="1"/>
      </w:tblPr>
      <w:tblGrid>
        <w:gridCol w:w="1597"/>
        <w:gridCol w:w="2372"/>
        <w:gridCol w:w="1608"/>
        <w:gridCol w:w="1509"/>
        <w:gridCol w:w="1986"/>
      </w:tblGrid>
      <w:tr w:rsidR="00837980" w:rsidRPr="00B16E6B" w14:paraId="057748BC" w14:textId="77777777" w:rsidTr="00E31F55">
        <w:trPr>
          <w:trHeight w:val="289"/>
        </w:trPr>
        <w:tc>
          <w:tcPr>
            <w:tcW w:w="1597" w:type="dxa"/>
            <w:tcBorders>
              <w:top w:val="single" w:sz="4" w:space="0" w:color="BFBFBF" w:themeColor="background2" w:themeShade="BF"/>
              <w:left w:val="nil"/>
              <w:bottom w:val="single" w:sz="4" w:space="0" w:color="A5A5A5"/>
              <w:right w:val="single" w:sz="4" w:space="0" w:color="A5A5A5"/>
            </w:tcBorders>
            <w:shd w:val="clear" w:color="auto" w:fill="1C2B39" w:themeFill="accent1"/>
            <w:vAlign w:val="center"/>
            <w:hideMark/>
          </w:tcPr>
          <w:p w14:paraId="0DC774A0" w14:textId="66772F06" w:rsidR="00837980" w:rsidRPr="00B16E6B" w:rsidRDefault="00837980" w:rsidP="009613E1">
            <w:pPr>
              <w:spacing w:before="20" w:after="20" w:line="271" w:lineRule="auto"/>
              <w:jc w:val="center"/>
              <w:rPr>
                <w:rFonts w:ascii="Arial" w:hAnsi="Arial" w:cs="Arial"/>
                <w:b/>
                <w:bCs/>
                <w:sz w:val="20"/>
                <w:szCs w:val="20"/>
              </w:rPr>
            </w:pPr>
          </w:p>
        </w:tc>
        <w:tc>
          <w:tcPr>
            <w:tcW w:w="2372" w:type="dxa"/>
            <w:tcBorders>
              <w:top w:val="single" w:sz="4" w:space="0" w:color="BFBFBF" w:themeColor="background2" w:themeShade="BF"/>
              <w:left w:val="single" w:sz="4" w:space="0" w:color="A5A5A5"/>
              <w:bottom w:val="single" w:sz="4" w:space="0" w:color="A5A5A5"/>
              <w:right w:val="nil"/>
            </w:tcBorders>
            <w:shd w:val="clear" w:color="auto" w:fill="1C2B39" w:themeFill="accent1"/>
            <w:vAlign w:val="center"/>
            <w:hideMark/>
          </w:tcPr>
          <w:p w14:paraId="1D7E4A46" w14:textId="4B94352E" w:rsidR="00837980" w:rsidRPr="00B16E6B" w:rsidRDefault="00837980" w:rsidP="009613E1">
            <w:pPr>
              <w:spacing w:before="60" w:after="60" w:line="271" w:lineRule="auto"/>
              <w:jc w:val="center"/>
              <w:rPr>
                <w:rFonts w:ascii="Arial" w:hAnsi="Arial" w:cs="Arial"/>
                <w:b/>
                <w:bCs/>
                <w:sz w:val="20"/>
                <w:szCs w:val="20"/>
              </w:rPr>
            </w:pPr>
            <w:r>
              <w:rPr>
                <w:rFonts w:ascii="Arial" w:hAnsi="Arial" w:cs="Arial"/>
                <w:b/>
                <w:bCs/>
                <w:sz w:val="20"/>
                <w:szCs w:val="20"/>
              </w:rPr>
              <w:t xml:space="preserve">Industry </w:t>
            </w:r>
            <w:r w:rsidRPr="00B16E6B">
              <w:rPr>
                <w:rFonts w:ascii="Arial" w:hAnsi="Arial" w:cs="Arial"/>
                <w:b/>
                <w:bCs/>
                <w:sz w:val="20"/>
                <w:szCs w:val="20"/>
              </w:rPr>
              <w:t>Costs ($ million)</w:t>
            </w:r>
          </w:p>
        </w:tc>
        <w:tc>
          <w:tcPr>
            <w:tcW w:w="1608" w:type="dxa"/>
            <w:tcBorders>
              <w:top w:val="single" w:sz="4" w:space="0" w:color="BFBFBF" w:themeColor="background2" w:themeShade="BF"/>
              <w:left w:val="single" w:sz="4" w:space="0" w:color="A5A5A5"/>
              <w:bottom w:val="single" w:sz="4" w:space="0" w:color="A5A5A5"/>
              <w:right w:val="nil"/>
            </w:tcBorders>
            <w:shd w:val="clear" w:color="auto" w:fill="1C2B39" w:themeFill="accent1"/>
            <w:vAlign w:val="center"/>
          </w:tcPr>
          <w:p w14:paraId="10F422B8" w14:textId="3847F95F" w:rsidR="00837980" w:rsidRPr="00B16E6B" w:rsidRDefault="00837980" w:rsidP="009613E1">
            <w:pPr>
              <w:spacing w:before="60" w:after="60" w:line="271" w:lineRule="auto"/>
              <w:jc w:val="center"/>
              <w:rPr>
                <w:rFonts w:ascii="Arial" w:hAnsi="Arial" w:cs="Arial"/>
                <w:b/>
                <w:bCs/>
                <w:sz w:val="20"/>
                <w:szCs w:val="20"/>
              </w:rPr>
            </w:pPr>
            <w:r>
              <w:rPr>
                <w:rFonts w:ascii="Arial" w:hAnsi="Arial" w:cs="Arial"/>
                <w:b/>
                <w:bCs/>
                <w:sz w:val="20"/>
                <w:szCs w:val="20"/>
              </w:rPr>
              <w:t xml:space="preserve">Community </w:t>
            </w:r>
            <w:r w:rsidRPr="00B16E6B">
              <w:rPr>
                <w:rFonts w:ascii="Arial" w:hAnsi="Arial" w:cs="Arial"/>
                <w:b/>
                <w:bCs/>
                <w:sz w:val="20"/>
                <w:szCs w:val="20"/>
              </w:rPr>
              <w:t>Costs ($ million)</w:t>
            </w:r>
          </w:p>
        </w:tc>
        <w:tc>
          <w:tcPr>
            <w:tcW w:w="1509" w:type="dxa"/>
            <w:tcBorders>
              <w:top w:val="single" w:sz="4" w:space="0" w:color="BFBFBF" w:themeColor="background2" w:themeShade="BF"/>
              <w:left w:val="single" w:sz="4" w:space="0" w:color="A5A5A5"/>
              <w:bottom w:val="single" w:sz="4" w:space="0" w:color="A5A5A5"/>
              <w:right w:val="nil"/>
            </w:tcBorders>
            <w:shd w:val="clear" w:color="auto" w:fill="1C2B39" w:themeFill="accent1"/>
            <w:vAlign w:val="center"/>
          </w:tcPr>
          <w:p w14:paraId="00E4A4AB" w14:textId="2107F696" w:rsidR="00837980" w:rsidRPr="00B16E6B" w:rsidRDefault="00837980" w:rsidP="009613E1">
            <w:pPr>
              <w:spacing w:before="60" w:after="60" w:line="271" w:lineRule="auto"/>
              <w:jc w:val="center"/>
              <w:rPr>
                <w:rFonts w:ascii="Arial" w:hAnsi="Arial" w:cs="Arial"/>
                <w:b/>
                <w:bCs/>
                <w:sz w:val="20"/>
                <w:szCs w:val="20"/>
              </w:rPr>
            </w:pPr>
            <w:r>
              <w:rPr>
                <w:rFonts w:ascii="Arial" w:hAnsi="Arial" w:cs="Arial"/>
                <w:b/>
                <w:bCs/>
                <w:sz w:val="20"/>
                <w:szCs w:val="20"/>
              </w:rPr>
              <w:t xml:space="preserve">Individuals </w:t>
            </w:r>
            <w:r w:rsidRPr="00B16E6B">
              <w:rPr>
                <w:rFonts w:ascii="Arial" w:hAnsi="Arial" w:cs="Arial"/>
                <w:b/>
                <w:bCs/>
                <w:sz w:val="20"/>
                <w:szCs w:val="20"/>
              </w:rPr>
              <w:t>Costs ($ million)</w:t>
            </w:r>
          </w:p>
        </w:tc>
        <w:tc>
          <w:tcPr>
            <w:tcW w:w="1986" w:type="dxa"/>
            <w:tcBorders>
              <w:top w:val="single" w:sz="4" w:space="0" w:color="BFBFBF" w:themeColor="background2" w:themeShade="BF"/>
              <w:left w:val="single" w:sz="4" w:space="0" w:color="A5A5A5"/>
              <w:bottom w:val="single" w:sz="4" w:space="0" w:color="A5A5A5"/>
              <w:right w:val="nil"/>
            </w:tcBorders>
            <w:shd w:val="clear" w:color="auto" w:fill="1C2B39" w:themeFill="accent1"/>
            <w:vAlign w:val="center"/>
          </w:tcPr>
          <w:p w14:paraId="37D1C4CA" w14:textId="382945C1" w:rsidR="00837980" w:rsidRPr="00B16E6B" w:rsidRDefault="00837980" w:rsidP="009613E1">
            <w:pPr>
              <w:spacing w:before="60" w:after="60" w:line="271" w:lineRule="auto"/>
              <w:jc w:val="center"/>
              <w:rPr>
                <w:rFonts w:ascii="Arial" w:hAnsi="Arial" w:cs="Arial"/>
                <w:b/>
                <w:bCs/>
                <w:sz w:val="20"/>
                <w:szCs w:val="20"/>
              </w:rPr>
            </w:pPr>
            <w:r>
              <w:rPr>
                <w:rFonts w:ascii="Arial" w:hAnsi="Arial" w:cs="Arial"/>
                <w:b/>
                <w:bCs/>
                <w:sz w:val="20"/>
                <w:szCs w:val="20"/>
              </w:rPr>
              <w:t xml:space="preserve">Total </w:t>
            </w:r>
            <w:r w:rsidRPr="00B16E6B">
              <w:rPr>
                <w:rFonts w:ascii="Arial" w:hAnsi="Arial" w:cs="Arial"/>
                <w:b/>
                <w:bCs/>
                <w:sz w:val="20"/>
                <w:szCs w:val="20"/>
              </w:rPr>
              <w:t>Costs ($ million)</w:t>
            </w:r>
          </w:p>
        </w:tc>
      </w:tr>
      <w:tr w:rsidR="00C063FA" w:rsidRPr="00B16E6B" w14:paraId="015C6331" w14:textId="77777777" w:rsidTr="00E31F55">
        <w:tc>
          <w:tcPr>
            <w:tcW w:w="1597" w:type="dxa"/>
            <w:tcBorders>
              <w:top w:val="nil"/>
              <w:left w:val="nil"/>
              <w:bottom w:val="single" w:sz="4" w:space="0" w:color="A5A5A5"/>
              <w:right w:val="single" w:sz="4" w:space="0" w:color="A5A5A5"/>
            </w:tcBorders>
            <w:shd w:val="clear" w:color="auto" w:fill="1C2B39" w:themeFill="accent1"/>
            <w:vAlign w:val="center"/>
            <w:hideMark/>
          </w:tcPr>
          <w:p w14:paraId="4C2E157C" w14:textId="0553ED3F" w:rsidR="00FD6E1D" w:rsidRPr="00B16E6B" w:rsidRDefault="00837980" w:rsidP="00837980">
            <w:pPr>
              <w:spacing w:before="20" w:after="20" w:line="271" w:lineRule="auto"/>
              <w:jc w:val="center"/>
              <w:rPr>
                <w:rFonts w:ascii="Arial" w:hAnsi="Arial" w:cs="Arial"/>
                <w:b/>
                <w:bCs/>
                <w:sz w:val="20"/>
                <w:szCs w:val="20"/>
              </w:rPr>
            </w:pPr>
            <w:r w:rsidRPr="00B16E6B">
              <w:rPr>
                <w:rFonts w:ascii="Arial" w:hAnsi="Arial" w:cs="Arial"/>
                <w:b/>
                <w:bCs/>
                <w:sz w:val="20"/>
                <w:szCs w:val="20"/>
              </w:rPr>
              <w:t>Cost type</w:t>
            </w:r>
          </w:p>
        </w:tc>
        <w:tc>
          <w:tcPr>
            <w:tcW w:w="2372" w:type="dxa"/>
            <w:tcBorders>
              <w:top w:val="single" w:sz="4" w:space="0" w:color="A5A5A5"/>
              <w:left w:val="single" w:sz="4" w:space="0" w:color="A5A5A5"/>
              <w:bottom w:val="single" w:sz="4" w:space="0" w:color="A5A5A5"/>
              <w:right w:val="single" w:sz="4" w:space="0" w:color="A5A5A5"/>
            </w:tcBorders>
            <w:shd w:val="clear" w:color="auto" w:fill="E1E9F0" w:themeFill="accent1" w:themeFillTint="1A"/>
            <w:vAlign w:val="center"/>
            <w:hideMark/>
          </w:tcPr>
          <w:p w14:paraId="1EFB10F0" w14:textId="77777777" w:rsidR="00FD6E1D" w:rsidRPr="00B16E6B" w:rsidRDefault="00FD6E1D" w:rsidP="009613E1">
            <w:pPr>
              <w:spacing w:before="20" w:after="20" w:line="271" w:lineRule="auto"/>
              <w:rPr>
                <w:rFonts w:ascii="Arial" w:hAnsi="Arial" w:cs="Arial"/>
                <w:sz w:val="20"/>
                <w:szCs w:val="20"/>
              </w:rPr>
            </w:pPr>
            <w:r w:rsidRPr="00B16E6B">
              <w:rPr>
                <w:rFonts w:ascii="Arial" w:hAnsi="Arial" w:cs="Arial"/>
                <w:sz w:val="20"/>
                <w:szCs w:val="20"/>
              </w:rPr>
              <w:t>Industry</w:t>
            </w:r>
          </w:p>
        </w:tc>
        <w:tc>
          <w:tcPr>
            <w:tcW w:w="1608" w:type="dxa"/>
            <w:tcBorders>
              <w:top w:val="single" w:sz="4" w:space="0" w:color="A5A5A5"/>
              <w:left w:val="single" w:sz="4" w:space="0" w:color="A5A5A5"/>
              <w:bottom w:val="single" w:sz="4" w:space="0" w:color="A5A5A5"/>
              <w:right w:val="single" w:sz="4" w:space="0" w:color="A5A5A5"/>
            </w:tcBorders>
            <w:shd w:val="clear" w:color="auto" w:fill="E1E9F0" w:themeFill="accent1" w:themeFillTint="1A"/>
            <w:vAlign w:val="center"/>
            <w:hideMark/>
          </w:tcPr>
          <w:p w14:paraId="20C58754" w14:textId="77777777" w:rsidR="00FD6E1D" w:rsidRPr="00B16E6B" w:rsidRDefault="00FD6E1D" w:rsidP="009613E1">
            <w:pPr>
              <w:spacing w:before="20" w:after="20" w:line="271" w:lineRule="auto"/>
              <w:rPr>
                <w:rFonts w:ascii="Arial" w:hAnsi="Arial" w:cs="Arial"/>
                <w:sz w:val="20"/>
                <w:szCs w:val="20"/>
              </w:rPr>
            </w:pPr>
            <w:r w:rsidRPr="00B16E6B">
              <w:rPr>
                <w:rFonts w:ascii="Arial" w:hAnsi="Arial" w:cs="Arial"/>
                <w:sz w:val="20"/>
                <w:szCs w:val="20"/>
              </w:rPr>
              <w:t>Community</w:t>
            </w:r>
          </w:p>
        </w:tc>
        <w:tc>
          <w:tcPr>
            <w:tcW w:w="1509" w:type="dxa"/>
            <w:tcBorders>
              <w:top w:val="single" w:sz="4" w:space="0" w:color="A5A5A5"/>
              <w:left w:val="single" w:sz="4" w:space="0" w:color="A5A5A5"/>
              <w:bottom w:val="single" w:sz="4" w:space="0" w:color="A5A5A5"/>
              <w:right w:val="single" w:sz="4" w:space="0" w:color="A5A5A5"/>
            </w:tcBorders>
            <w:shd w:val="clear" w:color="auto" w:fill="E1E9F0" w:themeFill="accent1" w:themeFillTint="1A"/>
            <w:vAlign w:val="center"/>
            <w:hideMark/>
          </w:tcPr>
          <w:p w14:paraId="54E56793" w14:textId="77777777" w:rsidR="00FD6E1D" w:rsidRPr="00B16E6B" w:rsidRDefault="00FD6E1D" w:rsidP="009613E1">
            <w:pPr>
              <w:spacing w:before="20" w:after="20" w:line="271" w:lineRule="auto"/>
              <w:rPr>
                <w:rFonts w:ascii="Arial" w:hAnsi="Arial" w:cs="Arial"/>
                <w:sz w:val="20"/>
                <w:szCs w:val="20"/>
              </w:rPr>
            </w:pPr>
            <w:r w:rsidRPr="00B16E6B">
              <w:rPr>
                <w:rFonts w:ascii="Arial" w:hAnsi="Arial" w:cs="Arial"/>
                <w:sz w:val="20"/>
                <w:szCs w:val="20"/>
              </w:rPr>
              <w:t>Individuals</w:t>
            </w:r>
          </w:p>
        </w:tc>
        <w:tc>
          <w:tcPr>
            <w:tcW w:w="1986" w:type="dxa"/>
            <w:tcBorders>
              <w:top w:val="single" w:sz="4" w:space="0" w:color="A5A5A5"/>
              <w:left w:val="single" w:sz="4" w:space="0" w:color="A5A5A5"/>
              <w:bottom w:val="single" w:sz="4" w:space="0" w:color="A5A5A5"/>
              <w:right w:val="nil"/>
            </w:tcBorders>
            <w:shd w:val="clear" w:color="auto" w:fill="E1E9F0" w:themeFill="accent1" w:themeFillTint="1A"/>
            <w:vAlign w:val="center"/>
            <w:hideMark/>
          </w:tcPr>
          <w:p w14:paraId="7FC345DE" w14:textId="77777777" w:rsidR="00FD6E1D" w:rsidRPr="00B16E6B" w:rsidRDefault="00FD6E1D" w:rsidP="009613E1">
            <w:pPr>
              <w:spacing w:before="20" w:after="20" w:line="271" w:lineRule="auto"/>
              <w:rPr>
                <w:rFonts w:ascii="Arial" w:hAnsi="Arial" w:cs="Arial"/>
                <w:sz w:val="20"/>
                <w:szCs w:val="20"/>
              </w:rPr>
            </w:pPr>
            <w:r w:rsidRPr="00B16E6B">
              <w:rPr>
                <w:rFonts w:ascii="Arial" w:hAnsi="Arial" w:cs="Arial"/>
                <w:sz w:val="20"/>
                <w:szCs w:val="20"/>
              </w:rPr>
              <w:t>Total cost</w:t>
            </w:r>
          </w:p>
        </w:tc>
      </w:tr>
      <w:tr w:rsidR="00C063FA" w:rsidRPr="00B16E6B" w14:paraId="7B4A57F4" w14:textId="77777777" w:rsidTr="00E31F55">
        <w:tc>
          <w:tcPr>
            <w:tcW w:w="1597" w:type="dxa"/>
            <w:tcBorders>
              <w:top w:val="single" w:sz="4" w:space="0" w:color="A5A5A5"/>
              <w:left w:val="nil"/>
              <w:bottom w:val="single" w:sz="4" w:space="0" w:color="A5A5A5"/>
              <w:right w:val="single" w:sz="4" w:space="0" w:color="A5A5A5"/>
            </w:tcBorders>
            <w:shd w:val="clear" w:color="auto" w:fill="F2F2F2"/>
            <w:vAlign w:val="center"/>
            <w:hideMark/>
          </w:tcPr>
          <w:p w14:paraId="505606EC" w14:textId="77777777" w:rsidR="00D73051" w:rsidRPr="00B16E6B" w:rsidRDefault="00D73051" w:rsidP="009613E1">
            <w:pPr>
              <w:spacing w:before="20" w:after="20" w:line="271" w:lineRule="auto"/>
              <w:rPr>
                <w:rFonts w:ascii="Arial" w:hAnsi="Arial" w:cs="Arial"/>
                <w:sz w:val="20"/>
                <w:szCs w:val="20"/>
              </w:rPr>
            </w:pPr>
            <w:r w:rsidRPr="00B16E6B">
              <w:rPr>
                <w:rFonts w:ascii="Arial" w:hAnsi="Arial" w:cs="Arial"/>
                <w:sz w:val="20"/>
                <w:szCs w:val="20"/>
              </w:rPr>
              <w:t>One-off</w:t>
            </w:r>
          </w:p>
        </w:tc>
        <w:tc>
          <w:tcPr>
            <w:tcW w:w="2372"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hideMark/>
          </w:tcPr>
          <w:p w14:paraId="0F546773" w14:textId="77777777" w:rsidR="00D73051" w:rsidRPr="00B16E6B" w:rsidRDefault="00D73051" w:rsidP="009613E1">
            <w:pPr>
              <w:spacing w:before="20" w:after="20" w:line="271" w:lineRule="auto"/>
              <w:rPr>
                <w:rFonts w:ascii="Arial" w:hAnsi="Arial" w:cs="Arial"/>
                <w:sz w:val="20"/>
                <w:szCs w:val="20"/>
              </w:rPr>
            </w:pPr>
            <w:r w:rsidRPr="00B16E6B">
              <w:rPr>
                <w:rFonts w:ascii="Arial" w:hAnsi="Arial" w:cs="Arial"/>
                <w:sz w:val="20"/>
                <w:szCs w:val="20"/>
              </w:rPr>
              <w:t>$</w:t>
            </w:r>
            <w:r w:rsidR="00BE1E7A" w:rsidRPr="00B16E6B">
              <w:rPr>
                <w:rFonts w:ascii="Arial" w:hAnsi="Arial" w:cs="Arial"/>
                <w:sz w:val="20"/>
                <w:szCs w:val="20"/>
              </w:rPr>
              <w:t>182</w:t>
            </w:r>
            <w:r w:rsidR="005E1AA6" w:rsidRPr="00B16E6B">
              <w:rPr>
                <w:rFonts w:ascii="Arial" w:hAnsi="Arial" w:cs="Arial"/>
                <w:sz w:val="20"/>
                <w:szCs w:val="20"/>
              </w:rPr>
              <w:t>4</w:t>
            </w:r>
          </w:p>
        </w:tc>
        <w:tc>
          <w:tcPr>
            <w:tcW w:w="1608"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hideMark/>
          </w:tcPr>
          <w:p w14:paraId="3411724E" w14:textId="77777777" w:rsidR="00D73051" w:rsidRPr="00B16E6B" w:rsidRDefault="00D73051" w:rsidP="009613E1">
            <w:pPr>
              <w:spacing w:before="20" w:after="20" w:line="271" w:lineRule="auto"/>
              <w:rPr>
                <w:rFonts w:ascii="Arial" w:hAnsi="Arial" w:cs="Arial"/>
                <w:sz w:val="20"/>
                <w:szCs w:val="20"/>
              </w:rPr>
            </w:pPr>
            <w:r w:rsidRPr="00B16E6B">
              <w:rPr>
                <w:rFonts w:ascii="Arial" w:hAnsi="Arial" w:cs="Arial"/>
                <w:sz w:val="20"/>
                <w:szCs w:val="20"/>
              </w:rPr>
              <w:t>Nil</w:t>
            </w:r>
          </w:p>
        </w:tc>
        <w:tc>
          <w:tcPr>
            <w:tcW w:w="1509"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hideMark/>
          </w:tcPr>
          <w:p w14:paraId="1C5AF7C6" w14:textId="77777777" w:rsidR="00D73051" w:rsidRPr="00B16E6B" w:rsidRDefault="00D73051" w:rsidP="009613E1">
            <w:pPr>
              <w:spacing w:before="20" w:after="20" w:line="271" w:lineRule="auto"/>
              <w:rPr>
                <w:rFonts w:ascii="Arial" w:hAnsi="Arial" w:cs="Arial"/>
                <w:sz w:val="20"/>
                <w:szCs w:val="20"/>
              </w:rPr>
            </w:pPr>
            <w:r w:rsidRPr="00B16E6B">
              <w:rPr>
                <w:rFonts w:ascii="Arial" w:hAnsi="Arial" w:cs="Arial"/>
                <w:sz w:val="20"/>
                <w:szCs w:val="20"/>
              </w:rPr>
              <w:t>Nil</w:t>
            </w:r>
          </w:p>
        </w:tc>
        <w:tc>
          <w:tcPr>
            <w:tcW w:w="1986" w:type="dxa"/>
            <w:tcBorders>
              <w:top w:val="single" w:sz="4" w:space="0" w:color="A5A5A5"/>
              <w:left w:val="single" w:sz="4" w:space="0" w:color="A5A5A5"/>
              <w:bottom w:val="single" w:sz="4" w:space="0" w:color="A5A5A5"/>
              <w:right w:val="nil"/>
            </w:tcBorders>
            <w:shd w:val="clear" w:color="auto" w:fill="FFFFFF" w:themeFill="background1"/>
            <w:vAlign w:val="center"/>
            <w:hideMark/>
          </w:tcPr>
          <w:p w14:paraId="68E02DCF" w14:textId="77777777" w:rsidR="00D73051" w:rsidRPr="00B16E6B" w:rsidRDefault="00D73051" w:rsidP="009613E1">
            <w:pPr>
              <w:spacing w:before="20" w:after="20" w:line="271" w:lineRule="auto"/>
              <w:rPr>
                <w:rFonts w:ascii="Arial" w:hAnsi="Arial" w:cs="Arial"/>
                <w:sz w:val="20"/>
                <w:szCs w:val="20"/>
              </w:rPr>
            </w:pPr>
            <w:r w:rsidRPr="00B16E6B">
              <w:rPr>
                <w:rFonts w:ascii="Arial" w:hAnsi="Arial" w:cs="Arial"/>
                <w:sz w:val="20"/>
                <w:szCs w:val="20"/>
              </w:rPr>
              <w:t>$1</w:t>
            </w:r>
            <w:r w:rsidR="00BE1E7A" w:rsidRPr="00B16E6B">
              <w:rPr>
                <w:rFonts w:ascii="Arial" w:hAnsi="Arial" w:cs="Arial"/>
                <w:sz w:val="20"/>
                <w:szCs w:val="20"/>
              </w:rPr>
              <w:t>82</w:t>
            </w:r>
            <w:r w:rsidR="005E1AA6" w:rsidRPr="00B16E6B">
              <w:rPr>
                <w:rFonts w:ascii="Arial" w:hAnsi="Arial" w:cs="Arial"/>
                <w:sz w:val="20"/>
                <w:szCs w:val="20"/>
              </w:rPr>
              <w:t>4</w:t>
            </w:r>
          </w:p>
        </w:tc>
      </w:tr>
      <w:tr w:rsidR="00C063FA" w:rsidRPr="00B16E6B" w14:paraId="5AE71D1D" w14:textId="77777777" w:rsidTr="00E31F55">
        <w:tc>
          <w:tcPr>
            <w:tcW w:w="1597" w:type="dxa"/>
            <w:tcBorders>
              <w:top w:val="single" w:sz="4" w:space="0" w:color="A5A5A5"/>
              <w:left w:val="nil"/>
              <w:bottom w:val="single" w:sz="4" w:space="0" w:color="BFBFBF" w:themeColor="background2" w:themeShade="BF"/>
              <w:right w:val="single" w:sz="4" w:space="0" w:color="A5A5A5"/>
            </w:tcBorders>
            <w:shd w:val="clear" w:color="auto" w:fill="F2F2F2"/>
            <w:vAlign w:val="center"/>
            <w:hideMark/>
          </w:tcPr>
          <w:p w14:paraId="6E1D3236" w14:textId="77777777" w:rsidR="00D73051" w:rsidRPr="00B16E6B" w:rsidRDefault="00D73051" w:rsidP="009613E1">
            <w:pPr>
              <w:spacing w:before="20" w:after="20" w:line="271" w:lineRule="auto"/>
              <w:rPr>
                <w:rFonts w:ascii="Arial" w:hAnsi="Arial" w:cs="Arial"/>
                <w:sz w:val="20"/>
                <w:szCs w:val="20"/>
              </w:rPr>
            </w:pPr>
            <w:r w:rsidRPr="00B16E6B">
              <w:rPr>
                <w:rFonts w:ascii="Arial" w:hAnsi="Arial" w:cs="Arial"/>
                <w:sz w:val="20"/>
                <w:szCs w:val="20"/>
              </w:rPr>
              <w:t>Ongoing (per year)</w:t>
            </w:r>
          </w:p>
        </w:tc>
        <w:tc>
          <w:tcPr>
            <w:tcW w:w="2372" w:type="dxa"/>
            <w:tcBorders>
              <w:top w:val="single" w:sz="4" w:space="0" w:color="A5A5A5"/>
              <w:left w:val="single" w:sz="4" w:space="0" w:color="A5A5A5"/>
              <w:bottom w:val="single" w:sz="4" w:space="0" w:color="BFBFBF" w:themeColor="background2" w:themeShade="BF"/>
              <w:right w:val="single" w:sz="4" w:space="0" w:color="A5A5A5"/>
            </w:tcBorders>
            <w:shd w:val="clear" w:color="auto" w:fill="FFFFFF" w:themeFill="background1"/>
            <w:vAlign w:val="center"/>
            <w:hideMark/>
          </w:tcPr>
          <w:p w14:paraId="711C2425" w14:textId="77777777" w:rsidR="00D73051" w:rsidRPr="00B16E6B" w:rsidRDefault="00D73051" w:rsidP="009613E1">
            <w:pPr>
              <w:spacing w:before="20" w:after="20" w:line="271" w:lineRule="auto"/>
              <w:rPr>
                <w:rFonts w:ascii="Arial" w:hAnsi="Arial" w:cs="Arial"/>
                <w:sz w:val="20"/>
                <w:szCs w:val="20"/>
              </w:rPr>
            </w:pPr>
            <w:r w:rsidRPr="00B16E6B">
              <w:rPr>
                <w:rFonts w:ascii="Arial" w:hAnsi="Arial" w:cs="Arial"/>
                <w:sz w:val="20"/>
                <w:szCs w:val="20"/>
              </w:rPr>
              <w:t>$</w:t>
            </w:r>
            <w:r w:rsidR="00BE1E7A" w:rsidRPr="00B16E6B">
              <w:rPr>
                <w:rFonts w:ascii="Arial" w:hAnsi="Arial" w:cs="Arial"/>
                <w:sz w:val="20"/>
                <w:szCs w:val="20"/>
              </w:rPr>
              <w:t>122</w:t>
            </w:r>
            <w:r w:rsidR="00C063FA" w:rsidRPr="00B16E6B">
              <w:rPr>
                <w:rFonts w:ascii="Arial" w:hAnsi="Arial" w:cs="Arial"/>
                <w:sz w:val="20"/>
                <w:szCs w:val="20"/>
              </w:rPr>
              <w:t>6</w:t>
            </w:r>
          </w:p>
        </w:tc>
        <w:tc>
          <w:tcPr>
            <w:tcW w:w="1608" w:type="dxa"/>
            <w:tcBorders>
              <w:top w:val="single" w:sz="4" w:space="0" w:color="A5A5A5"/>
              <w:left w:val="single" w:sz="4" w:space="0" w:color="A5A5A5"/>
              <w:bottom w:val="single" w:sz="4" w:space="0" w:color="BFBFBF" w:themeColor="background2" w:themeShade="BF"/>
              <w:right w:val="single" w:sz="4" w:space="0" w:color="A5A5A5"/>
            </w:tcBorders>
            <w:shd w:val="clear" w:color="auto" w:fill="FFFFFF" w:themeFill="background1"/>
            <w:vAlign w:val="center"/>
            <w:hideMark/>
          </w:tcPr>
          <w:p w14:paraId="5FA39A3F" w14:textId="77777777" w:rsidR="00D73051" w:rsidRPr="00B16E6B" w:rsidRDefault="00D73051" w:rsidP="009613E1">
            <w:pPr>
              <w:spacing w:before="20" w:after="20" w:line="271" w:lineRule="auto"/>
              <w:rPr>
                <w:rFonts w:ascii="Arial" w:hAnsi="Arial" w:cs="Arial"/>
                <w:sz w:val="20"/>
                <w:szCs w:val="20"/>
              </w:rPr>
            </w:pPr>
            <w:r w:rsidRPr="00B16E6B">
              <w:rPr>
                <w:rFonts w:ascii="Arial" w:hAnsi="Arial" w:cs="Arial"/>
                <w:sz w:val="20"/>
                <w:szCs w:val="20"/>
              </w:rPr>
              <w:t>Nil</w:t>
            </w:r>
          </w:p>
        </w:tc>
        <w:tc>
          <w:tcPr>
            <w:tcW w:w="1509" w:type="dxa"/>
            <w:tcBorders>
              <w:top w:val="single" w:sz="4" w:space="0" w:color="A5A5A5"/>
              <w:left w:val="single" w:sz="4" w:space="0" w:color="A5A5A5"/>
              <w:bottom w:val="single" w:sz="4" w:space="0" w:color="BFBFBF" w:themeColor="background2" w:themeShade="BF"/>
              <w:right w:val="single" w:sz="4" w:space="0" w:color="A5A5A5"/>
            </w:tcBorders>
            <w:shd w:val="clear" w:color="auto" w:fill="FFFFFF" w:themeFill="background1"/>
            <w:vAlign w:val="center"/>
            <w:hideMark/>
          </w:tcPr>
          <w:p w14:paraId="22615800" w14:textId="77777777" w:rsidR="00D73051" w:rsidRPr="00B16E6B" w:rsidRDefault="00D73051" w:rsidP="009613E1">
            <w:pPr>
              <w:spacing w:before="20" w:after="20" w:line="271" w:lineRule="auto"/>
              <w:rPr>
                <w:rFonts w:ascii="Arial" w:hAnsi="Arial" w:cs="Arial"/>
                <w:sz w:val="20"/>
                <w:szCs w:val="20"/>
              </w:rPr>
            </w:pPr>
            <w:r w:rsidRPr="00B16E6B">
              <w:rPr>
                <w:rFonts w:ascii="Arial" w:hAnsi="Arial" w:cs="Arial"/>
                <w:sz w:val="20"/>
                <w:szCs w:val="20"/>
              </w:rPr>
              <w:t>Nil</w:t>
            </w:r>
          </w:p>
        </w:tc>
        <w:tc>
          <w:tcPr>
            <w:tcW w:w="1986" w:type="dxa"/>
            <w:tcBorders>
              <w:top w:val="single" w:sz="4" w:space="0" w:color="A5A5A5"/>
              <w:left w:val="single" w:sz="4" w:space="0" w:color="A5A5A5"/>
              <w:bottom w:val="single" w:sz="4" w:space="0" w:color="BFBFBF" w:themeColor="background2" w:themeShade="BF"/>
              <w:right w:val="nil"/>
            </w:tcBorders>
            <w:shd w:val="clear" w:color="auto" w:fill="FFFFFF" w:themeFill="background1"/>
            <w:vAlign w:val="center"/>
            <w:hideMark/>
          </w:tcPr>
          <w:p w14:paraId="0B79CE2C" w14:textId="77777777" w:rsidR="00D73051" w:rsidRPr="00B16E6B" w:rsidRDefault="00D73051" w:rsidP="009613E1">
            <w:pPr>
              <w:spacing w:before="20" w:after="20" w:line="271" w:lineRule="auto"/>
              <w:rPr>
                <w:rFonts w:ascii="Arial" w:hAnsi="Arial" w:cs="Arial"/>
                <w:sz w:val="20"/>
                <w:szCs w:val="20"/>
              </w:rPr>
            </w:pPr>
            <w:r w:rsidRPr="00B16E6B">
              <w:rPr>
                <w:rFonts w:ascii="Arial" w:hAnsi="Arial" w:cs="Arial"/>
                <w:sz w:val="20"/>
                <w:szCs w:val="20"/>
              </w:rPr>
              <w:t>$</w:t>
            </w:r>
            <w:r w:rsidR="00BE1E7A" w:rsidRPr="00B16E6B">
              <w:rPr>
                <w:rFonts w:ascii="Arial" w:hAnsi="Arial" w:cs="Arial"/>
                <w:sz w:val="20"/>
                <w:szCs w:val="20"/>
              </w:rPr>
              <w:t>122</w:t>
            </w:r>
            <w:r w:rsidR="00C063FA" w:rsidRPr="00B16E6B">
              <w:rPr>
                <w:rFonts w:ascii="Arial" w:hAnsi="Arial" w:cs="Arial"/>
                <w:sz w:val="20"/>
                <w:szCs w:val="20"/>
              </w:rPr>
              <w:t>6</w:t>
            </w:r>
          </w:p>
        </w:tc>
      </w:tr>
    </w:tbl>
    <w:p w14:paraId="6F54C50A" w14:textId="77777777" w:rsidR="00FD6E1D" w:rsidRPr="00B16E6B" w:rsidRDefault="00FD6E1D" w:rsidP="009613E1">
      <w:pPr>
        <w:spacing w:before="120" w:line="271" w:lineRule="auto"/>
      </w:pPr>
      <w:r w:rsidRPr="00B16E6B">
        <w:t>Beyond the quantified costs described above, additional costs associated with option 3 include:</w:t>
      </w:r>
    </w:p>
    <w:p w14:paraId="2217F2DE" w14:textId="18B649D4" w:rsidR="00FD6E1D" w:rsidRPr="00B16E6B" w:rsidRDefault="00EB3FDB" w:rsidP="00A11AF5">
      <w:pPr>
        <w:pStyle w:val="ListParagraph"/>
        <w:numPr>
          <w:ilvl w:val="0"/>
          <w:numId w:val="24"/>
        </w:numPr>
        <w:spacing w:after="120" w:line="271" w:lineRule="auto"/>
        <w:ind w:left="714" w:hanging="357"/>
        <w:contextualSpacing w:val="0"/>
        <w:rPr>
          <w:lang w:val="en-US"/>
        </w:rPr>
      </w:pPr>
      <w:r w:rsidRPr="00B16E6B">
        <w:rPr>
          <w:lang w:val="en-US"/>
        </w:rPr>
        <w:t>i</w:t>
      </w:r>
      <w:r w:rsidR="00FD6E1D" w:rsidRPr="00B16E6B">
        <w:rPr>
          <w:lang w:val="en-US"/>
        </w:rPr>
        <w:t>t would not capture all industry participants (</w:t>
      </w:r>
      <w:r w:rsidR="00B64A06" w:rsidRPr="00B16E6B">
        <w:rPr>
          <w:lang w:val="en-US"/>
        </w:rPr>
        <w:t>for example</w:t>
      </w:r>
      <w:r w:rsidRPr="00B16E6B">
        <w:rPr>
          <w:lang w:val="en-US"/>
        </w:rPr>
        <w:t xml:space="preserve"> tier</w:t>
      </w:r>
      <w:r w:rsidR="000A3E5B" w:rsidRPr="00B16E6B">
        <w:rPr>
          <w:lang w:val="en-US"/>
        </w:rPr>
        <w:t xml:space="preserve"> 1 and</w:t>
      </w:r>
      <w:r w:rsidRPr="00B16E6B">
        <w:rPr>
          <w:lang w:val="en-US"/>
        </w:rPr>
        <w:t xml:space="preserve"> 2 airports</w:t>
      </w:r>
      <w:r w:rsidR="00B64A06" w:rsidRPr="00B16E6B">
        <w:rPr>
          <w:lang w:val="en-US"/>
        </w:rPr>
        <w:t>,</w:t>
      </w:r>
      <w:r w:rsidR="00FD6E1D" w:rsidRPr="00B16E6B">
        <w:rPr>
          <w:lang w:val="en-US"/>
        </w:rPr>
        <w:t xml:space="preserve"> </w:t>
      </w:r>
      <w:r w:rsidRPr="00B16E6B">
        <w:rPr>
          <w:lang w:val="en-US"/>
        </w:rPr>
        <w:t xml:space="preserve">and </w:t>
      </w:r>
      <w:r w:rsidR="00FD6E1D" w:rsidRPr="00B16E6B">
        <w:rPr>
          <w:lang w:val="en-US"/>
        </w:rPr>
        <w:t xml:space="preserve">ship operators), as certain entities </w:t>
      </w:r>
      <w:r w:rsidR="003A4085" w:rsidRPr="00B16E6B">
        <w:rPr>
          <w:lang w:val="en-US"/>
        </w:rPr>
        <w:t>are not</w:t>
      </w:r>
      <w:r w:rsidR="00FD6E1D" w:rsidRPr="00B16E6B">
        <w:rPr>
          <w:lang w:val="en-US"/>
        </w:rPr>
        <w:t xml:space="preserve"> captured under the SOCI Act. </w:t>
      </w:r>
      <w:r w:rsidR="003A4085" w:rsidRPr="00B16E6B">
        <w:rPr>
          <w:lang w:val="en-US"/>
        </w:rPr>
        <w:t>T</w:t>
      </w:r>
      <w:r w:rsidR="00FD6E1D" w:rsidRPr="00B16E6B">
        <w:rPr>
          <w:lang w:val="en-US"/>
        </w:rPr>
        <w:t>he diversified nature of the transport sector would not be accounted for, as certain entities would not</w:t>
      </w:r>
      <w:r w:rsidR="004315BB" w:rsidRPr="00B16E6B">
        <w:rPr>
          <w:lang w:val="en-US"/>
        </w:rPr>
        <w:t xml:space="preserve"> be required to mitigate</w:t>
      </w:r>
      <w:r w:rsidR="00FD6E1D" w:rsidRPr="00B16E6B">
        <w:rPr>
          <w:lang w:val="en-US"/>
        </w:rPr>
        <w:t xml:space="preserve"> risks such as cyber-attacks, supply chain risks and natural hazards. This would create security resilience gaps and inconsistency in security requirements across the sector </w:t>
      </w:r>
    </w:p>
    <w:p w14:paraId="0BCCE739" w14:textId="77777777" w:rsidR="00FD6E1D" w:rsidRPr="00B16E6B" w:rsidRDefault="00EB3FDB" w:rsidP="00A11AF5">
      <w:pPr>
        <w:pStyle w:val="ListParagraph"/>
        <w:numPr>
          <w:ilvl w:val="0"/>
          <w:numId w:val="24"/>
        </w:numPr>
        <w:spacing w:after="120" w:line="271" w:lineRule="auto"/>
        <w:ind w:left="714" w:hanging="357"/>
        <w:contextualSpacing w:val="0"/>
        <w:rPr>
          <w:lang w:val="en-US"/>
        </w:rPr>
      </w:pPr>
      <w:r w:rsidRPr="00B16E6B">
        <w:rPr>
          <w:lang w:val="en-US"/>
        </w:rPr>
        <w:t>i</w:t>
      </w:r>
      <w:r w:rsidR="00FD6E1D" w:rsidRPr="00B16E6B">
        <w:rPr>
          <w:lang w:val="en-US"/>
        </w:rPr>
        <w:t xml:space="preserve">t would not provide the </w:t>
      </w:r>
      <w:r w:rsidR="00487C6A" w:rsidRPr="00B16E6B">
        <w:rPr>
          <w:lang w:val="en-US"/>
        </w:rPr>
        <w:t>government</w:t>
      </w:r>
      <w:r w:rsidR="00FD6E1D" w:rsidRPr="00B16E6B">
        <w:rPr>
          <w:lang w:val="en-US"/>
        </w:rPr>
        <w:t xml:space="preserve"> with adequate powers to enforce industry compliance with all hazard security obligations or to improve the security and resilience for the whole transport sector</w:t>
      </w:r>
    </w:p>
    <w:p w14:paraId="03DB8616" w14:textId="476703A3" w:rsidR="008E4466" w:rsidRPr="00B16E6B" w:rsidRDefault="00EB3FDB" w:rsidP="00A11AF5">
      <w:pPr>
        <w:pStyle w:val="ListParagraph"/>
        <w:numPr>
          <w:ilvl w:val="0"/>
          <w:numId w:val="24"/>
        </w:numPr>
        <w:spacing w:line="271" w:lineRule="auto"/>
        <w:rPr>
          <w:u w:val="single"/>
        </w:rPr>
      </w:pPr>
      <w:r w:rsidRPr="00B16E6B">
        <w:rPr>
          <w:lang w:val="en-US"/>
        </w:rPr>
        <w:lastRenderedPageBreak/>
        <w:t>p</w:t>
      </w:r>
      <w:r w:rsidR="00FD6E1D" w:rsidRPr="00B16E6B">
        <w:rPr>
          <w:lang w:val="en-US"/>
        </w:rPr>
        <w:t>resenting an ad</w:t>
      </w:r>
      <w:r w:rsidR="006317BF" w:rsidRPr="00B16E6B">
        <w:rPr>
          <w:lang w:val="en-US"/>
        </w:rPr>
        <w:t>ditional impost on industry, which</w:t>
      </w:r>
      <w:r w:rsidR="00FD6E1D" w:rsidRPr="00B16E6B">
        <w:rPr>
          <w:lang w:val="en-US"/>
        </w:rPr>
        <w:t xml:space="preserve"> would have to respond to</w:t>
      </w:r>
      <w:r w:rsidR="00901F08" w:rsidRPr="00B16E6B">
        <w:rPr>
          <w:lang w:val="en-US"/>
        </w:rPr>
        <w:t xml:space="preserve"> security</w:t>
      </w:r>
      <w:r w:rsidR="00FD6E1D" w:rsidRPr="00B16E6B">
        <w:rPr>
          <w:lang w:val="en-US"/>
        </w:rPr>
        <w:t xml:space="preserve"> obligations across d</w:t>
      </w:r>
      <w:r w:rsidR="00F67C24" w:rsidRPr="00B16E6B">
        <w:rPr>
          <w:lang w:val="en-US"/>
        </w:rPr>
        <w:t>ifferent legislative frameworks.</w:t>
      </w:r>
      <w:r w:rsidR="00FD6E1D" w:rsidRPr="00B16E6B">
        <w:rPr>
          <w:lang w:val="en-US"/>
        </w:rPr>
        <w:t xml:space="preserve"> Industry participants would be required to simultaneously maintain a security program (under ATSA or MTOFSA) and a CIRMP (under the SOCI Act), which would be both onerous and duplicative.</w:t>
      </w:r>
      <w:bookmarkStart w:id="19" w:name="_Toc161145181"/>
      <w:r w:rsidR="008E4466" w:rsidRPr="00B16E6B">
        <w:rPr>
          <w:lang w:val="en-US"/>
        </w:rPr>
        <w:t xml:space="preserve"> These additional costs may be passed onto consumers through increased prices </w:t>
      </w:r>
      <w:r w:rsidR="00A3400D" w:rsidRPr="00B16E6B">
        <w:rPr>
          <w:lang w:val="en-US"/>
        </w:rPr>
        <w:t xml:space="preserve">for </w:t>
      </w:r>
      <w:r w:rsidR="008E4466" w:rsidRPr="00B16E6B">
        <w:rPr>
          <w:lang w:val="en-US"/>
        </w:rPr>
        <w:t>goods and services.</w:t>
      </w:r>
    </w:p>
    <w:p w14:paraId="496C74A3" w14:textId="29E2C0D4" w:rsidR="009250C3" w:rsidRPr="00B16E6B" w:rsidRDefault="009250C3" w:rsidP="009613E1">
      <w:pPr>
        <w:spacing w:line="271" w:lineRule="auto"/>
        <w:rPr>
          <w:lang w:val="en-US"/>
        </w:rPr>
      </w:pPr>
      <w:r w:rsidRPr="00B16E6B">
        <w:rPr>
          <w:lang w:val="en-US"/>
        </w:rPr>
        <w:t>Option 3 does not completely address the Cybersecurity Policy Guidance administered by ICAO, or Standard 4.9.1 of Annex 17, requiring cyber security be a regulated feature of aviation security. Although certain aviation assets will be required to mitigate cyber securit</w:t>
      </w:r>
      <w:r w:rsidR="000A3E5B" w:rsidRPr="00B16E6B">
        <w:rPr>
          <w:lang w:val="en-US"/>
        </w:rPr>
        <w:t>y risks, the guidance notes</w:t>
      </w:r>
      <w:r w:rsidRPr="00B16E6B">
        <w:rPr>
          <w:lang w:val="en-US"/>
        </w:rPr>
        <w:t xml:space="preserve"> ’</w:t>
      </w:r>
      <w:r w:rsidRPr="00B16E6B">
        <w:t xml:space="preserve">cybersecurity culture should be implemented across </w:t>
      </w:r>
      <w:r w:rsidRPr="00B16E6B">
        <w:rPr>
          <w:i/>
        </w:rPr>
        <w:t>all aviation entities</w:t>
      </w:r>
      <w:r w:rsidRPr="00B16E6B">
        <w:t xml:space="preserve">,’ which is not upheld. </w:t>
      </w:r>
      <w:r w:rsidRPr="00B16E6B">
        <w:rPr>
          <w:lang w:val="en-US"/>
        </w:rPr>
        <w:t xml:space="preserve">The IMO’s Guidelines on Maritime Cyber Risk Management and the adoption of Resolution MSC.428(98) at its 98th session is not adhered to </w:t>
      </w:r>
      <w:r w:rsidR="000A3E5B" w:rsidRPr="00B16E6B">
        <w:rPr>
          <w:lang w:val="en-US"/>
        </w:rPr>
        <w:t>by government under this option</w:t>
      </w:r>
      <w:r w:rsidRPr="00B16E6B">
        <w:rPr>
          <w:lang w:val="en-US"/>
        </w:rPr>
        <w:t xml:space="preserve"> either, as it does not capture ship agents, port facilities, and all other maritime industry </w:t>
      </w:r>
      <w:r w:rsidR="0059788A" w:rsidRPr="00B16E6B">
        <w:rPr>
          <w:lang w:val="en-US"/>
        </w:rPr>
        <w:t>participants</w:t>
      </w:r>
      <w:r w:rsidRPr="00B16E6B">
        <w:rPr>
          <w:lang w:val="en-US"/>
        </w:rPr>
        <w:t xml:space="preserve">. </w:t>
      </w:r>
    </w:p>
    <w:p w14:paraId="7D37D88F" w14:textId="35422B86" w:rsidR="00FD6E1D" w:rsidRPr="00B16E6B" w:rsidRDefault="00FD6E1D" w:rsidP="009613E1">
      <w:pPr>
        <w:pStyle w:val="Heading3"/>
        <w:spacing w:line="271" w:lineRule="auto"/>
      </w:pPr>
      <w:r w:rsidRPr="00B16E6B">
        <w:t xml:space="preserve">4.4.2 Benefits of </w:t>
      </w:r>
      <w:r w:rsidR="00460973" w:rsidRPr="00B16E6B">
        <w:t>option</w:t>
      </w:r>
      <w:r w:rsidRPr="00B16E6B">
        <w:t xml:space="preserve"> 3</w:t>
      </w:r>
      <w:bookmarkEnd w:id="19"/>
    </w:p>
    <w:p w14:paraId="627BF403" w14:textId="77777777" w:rsidR="00561CEE" w:rsidRPr="00B16E6B" w:rsidRDefault="00FD6E1D" w:rsidP="009613E1">
      <w:pPr>
        <w:spacing w:line="271" w:lineRule="auto"/>
        <w:rPr>
          <w:lang w:val="en-US"/>
        </w:rPr>
      </w:pPr>
      <w:r w:rsidRPr="00B16E6B">
        <w:rPr>
          <w:lang w:val="en-US"/>
        </w:rPr>
        <w:t xml:space="preserve">Reliable </w:t>
      </w:r>
      <w:r w:rsidR="00E27C37" w:rsidRPr="00B16E6B">
        <w:rPr>
          <w:lang w:val="en-US"/>
        </w:rPr>
        <w:t xml:space="preserve">aviation and </w:t>
      </w:r>
      <w:r w:rsidRPr="00B16E6B">
        <w:rPr>
          <w:lang w:val="en-US"/>
        </w:rPr>
        <w:t xml:space="preserve">maritime services are central to Australia’s prosperity. Disruption to </w:t>
      </w:r>
      <w:r w:rsidR="00901F08" w:rsidRPr="00B16E6B">
        <w:rPr>
          <w:lang w:val="en-US"/>
        </w:rPr>
        <w:t xml:space="preserve">the </w:t>
      </w:r>
      <w:r w:rsidRPr="00B16E6B">
        <w:rPr>
          <w:lang w:val="en-US"/>
        </w:rPr>
        <w:t>supply</w:t>
      </w:r>
      <w:r w:rsidR="00901F08" w:rsidRPr="00B16E6B">
        <w:rPr>
          <w:lang w:val="en-US"/>
        </w:rPr>
        <w:t xml:space="preserve"> of </w:t>
      </w:r>
      <w:r w:rsidR="00E27C37" w:rsidRPr="00B16E6B">
        <w:rPr>
          <w:lang w:val="en-US"/>
        </w:rPr>
        <w:t xml:space="preserve">essential </w:t>
      </w:r>
      <w:r w:rsidR="00901F08" w:rsidRPr="00B16E6B">
        <w:rPr>
          <w:lang w:val="en-US"/>
        </w:rPr>
        <w:t>goods</w:t>
      </w:r>
      <w:r w:rsidR="00E27C37" w:rsidRPr="00B16E6B">
        <w:rPr>
          <w:lang w:val="en-US"/>
        </w:rPr>
        <w:t xml:space="preserve"> and services</w:t>
      </w:r>
      <w:r w:rsidRPr="00B16E6B">
        <w:rPr>
          <w:lang w:val="en-US"/>
        </w:rPr>
        <w:t xml:space="preserve">, compromise of </w:t>
      </w:r>
      <w:r w:rsidR="003F0C8A" w:rsidRPr="00B16E6B">
        <w:rPr>
          <w:lang w:val="en-US"/>
        </w:rPr>
        <w:t xml:space="preserve">business </w:t>
      </w:r>
      <w:r w:rsidRPr="00B16E6B">
        <w:rPr>
          <w:lang w:val="en-US"/>
        </w:rPr>
        <w:t>operation</w:t>
      </w:r>
      <w:r w:rsidR="00901F08" w:rsidRPr="00B16E6B">
        <w:rPr>
          <w:lang w:val="en-US"/>
        </w:rPr>
        <w:t>s</w:t>
      </w:r>
      <w:r w:rsidRPr="00B16E6B">
        <w:rPr>
          <w:lang w:val="en-US"/>
        </w:rPr>
        <w:t xml:space="preserve">, or other impacts on the transport sector can have a significant cost to the economy. There may be some benefit arising from option 3, where application of the SOCI Act can contribute to the avoidance of incidents that may otherwise disrupt operation and lead to economic loss. However, this benefit will only extend to those industry participants captured under the SOCI Act, rather than creating a potential benefit for the whole of Australia’s transport sector. </w:t>
      </w:r>
    </w:p>
    <w:p w14:paraId="484CFFEA" w14:textId="09B7444C" w:rsidR="00FD6E1D" w:rsidRPr="00B16E6B" w:rsidRDefault="00896FCB" w:rsidP="009613E1">
      <w:pPr>
        <w:spacing w:line="271" w:lineRule="auto"/>
        <w:rPr>
          <w:lang w:val="en-US"/>
        </w:rPr>
      </w:pPr>
      <w:r w:rsidRPr="00B16E6B">
        <w:rPr>
          <w:lang w:val="en-US"/>
        </w:rPr>
        <w:t>This IA uses</w:t>
      </w:r>
      <w:r w:rsidR="00FD6E1D" w:rsidRPr="00B16E6B">
        <w:rPr>
          <w:lang w:val="en-US"/>
        </w:rPr>
        <w:t xml:space="preserve"> CGE modelling to demonstrate how costly a disruption to Australia’s transport sector may be by examining a hypothetical ‘shock’ and an associated increase in input costs (i.e., an increase in the cost of the service). The advantage of using a CGE approach is both the direct and indirect (i.e. flow-on) economic impacts of an event can be quantified. This modelling will prov</w:t>
      </w:r>
      <w:r w:rsidR="000A3E5B" w:rsidRPr="00B16E6B">
        <w:rPr>
          <w:lang w:val="en-US"/>
        </w:rPr>
        <w:t>ide a baseline for comparing potential benefits</w:t>
      </w:r>
      <w:r w:rsidR="00FD6E1D" w:rsidRPr="00B16E6B">
        <w:rPr>
          <w:lang w:val="en-US"/>
        </w:rPr>
        <w:t xml:space="preserve"> across each option, but in particular options 3 and 4.</w:t>
      </w:r>
    </w:p>
    <w:p w14:paraId="4D029244" w14:textId="1E19CE8E" w:rsidR="00FD6E1D" w:rsidRPr="00B16E6B" w:rsidRDefault="00FD6E1D" w:rsidP="009613E1">
      <w:pPr>
        <w:pStyle w:val="Heading3"/>
        <w:spacing w:line="271" w:lineRule="auto"/>
      </w:pPr>
      <w:bookmarkStart w:id="20" w:name="_Toc161145182"/>
      <w:r w:rsidRPr="00B16E6B">
        <w:t xml:space="preserve">4.4.3 Likely net benefit of </w:t>
      </w:r>
      <w:r w:rsidR="00460973" w:rsidRPr="00B16E6B">
        <w:t>option</w:t>
      </w:r>
      <w:r w:rsidRPr="00B16E6B">
        <w:t xml:space="preserve"> 3</w:t>
      </w:r>
      <w:bookmarkEnd w:id="20"/>
    </w:p>
    <w:p w14:paraId="76B227DF" w14:textId="601FC65D" w:rsidR="00FD6E1D" w:rsidRPr="00B16E6B" w:rsidRDefault="00FD6E1D" w:rsidP="009613E1">
      <w:pPr>
        <w:spacing w:line="271" w:lineRule="auto"/>
        <w:rPr>
          <w:rFonts w:eastAsia="Calibri"/>
        </w:rPr>
      </w:pPr>
      <w:r w:rsidRPr="00B16E6B">
        <w:rPr>
          <w:rFonts w:eastAsia="Calibri"/>
        </w:rPr>
        <w:t xml:space="preserve">In considering the costs and benefits described above, the likely net benefit of option 3 is higher than pursuing options 1 and 2, but lower than the likely net benefit offered by option 4. </w:t>
      </w:r>
      <w:r w:rsidR="00BC788D" w:rsidRPr="00B16E6B">
        <w:rPr>
          <w:rFonts w:eastAsia="Calibri"/>
        </w:rPr>
        <w:t>While</w:t>
      </w:r>
      <w:r w:rsidRPr="00B16E6B">
        <w:rPr>
          <w:rFonts w:eastAsia="Calibri"/>
        </w:rPr>
        <w:t xml:space="preserve"> the CIRMP framework will allow for consistent </w:t>
      </w:r>
      <w:r w:rsidR="00AF1FBF" w:rsidRPr="00B16E6B">
        <w:rPr>
          <w:rFonts w:eastAsia="Calibri"/>
        </w:rPr>
        <w:t>increase</w:t>
      </w:r>
      <w:r w:rsidRPr="00B16E6B">
        <w:rPr>
          <w:rFonts w:eastAsia="Calibri"/>
        </w:rPr>
        <w:t xml:space="preserve"> in the risk management practices </w:t>
      </w:r>
      <w:r w:rsidR="00B64A06" w:rsidRPr="00B16E6B">
        <w:t xml:space="preserve">amongst certain </w:t>
      </w:r>
      <w:r w:rsidRPr="00B16E6B">
        <w:t>transport sector</w:t>
      </w:r>
      <w:r w:rsidR="00BC788D" w:rsidRPr="00B16E6B">
        <w:t xml:space="preserve"> entities</w:t>
      </w:r>
      <w:r w:rsidRPr="00B16E6B">
        <w:t xml:space="preserve">, it </w:t>
      </w:r>
      <w:r w:rsidR="004D4558" w:rsidRPr="00B16E6B">
        <w:t>is not representative of the</w:t>
      </w:r>
      <w:r w:rsidRPr="00B16E6B">
        <w:t xml:space="preserve"> diversified na</w:t>
      </w:r>
      <w:r w:rsidR="004315BB" w:rsidRPr="00B16E6B">
        <w:t xml:space="preserve">ture of the sector. </w:t>
      </w:r>
      <w:r w:rsidR="003936C3" w:rsidRPr="00B16E6B">
        <w:t xml:space="preserve">This option </w:t>
      </w:r>
      <w:r w:rsidR="00394774" w:rsidRPr="00B16E6B">
        <w:t xml:space="preserve">would result in </w:t>
      </w:r>
      <w:r w:rsidRPr="00B16E6B">
        <w:t xml:space="preserve">a cohort of industry participants (such as </w:t>
      </w:r>
      <w:r w:rsidR="00E27C37" w:rsidRPr="00B16E6B">
        <w:t xml:space="preserve">tier 2 airports or </w:t>
      </w:r>
      <w:r w:rsidRPr="00B16E6B">
        <w:t xml:space="preserve">ship operators) that are not required </w:t>
      </w:r>
      <w:r w:rsidR="004315BB" w:rsidRPr="00B16E6B">
        <w:t>to identify and mitigate</w:t>
      </w:r>
      <w:r w:rsidRPr="00B16E6B">
        <w:t xml:space="preserve"> all hazards</w:t>
      </w:r>
      <w:r w:rsidR="004315BB" w:rsidRPr="00B16E6B">
        <w:t xml:space="preserve"> threats</w:t>
      </w:r>
      <w:r w:rsidRPr="00B16E6B">
        <w:t>.</w:t>
      </w:r>
      <w:r w:rsidR="003936C3" w:rsidRPr="00B16E6B">
        <w:t xml:space="preserve"> </w:t>
      </w:r>
      <w:r w:rsidRPr="00B16E6B">
        <w:t xml:space="preserve">Further, option 3 would not provide </w:t>
      </w:r>
      <w:r w:rsidR="00487C6A" w:rsidRPr="00B16E6B">
        <w:t>government</w:t>
      </w:r>
      <w:r w:rsidRPr="00B16E6B">
        <w:t xml:space="preserve"> with the full scale of power to support and enforce industry-wide compliance</w:t>
      </w:r>
      <w:r w:rsidRPr="00B16E6B">
        <w:rPr>
          <w:rFonts w:eastAsia="Calibri"/>
        </w:rPr>
        <w:t xml:space="preserve">. </w:t>
      </w:r>
    </w:p>
    <w:p w14:paraId="2BB088CE" w14:textId="0AB1B9BB" w:rsidR="00FD6E1D" w:rsidRPr="00B16E6B" w:rsidRDefault="00FD6E1D" w:rsidP="009613E1">
      <w:pPr>
        <w:spacing w:line="271" w:lineRule="auto"/>
        <w:rPr>
          <w:rFonts w:eastAsia="Calibri"/>
        </w:rPr>
      </w:pPr>
      <w:r w:rsidRPr="00B16E6B">
        <w:rPr>
          <w:rFonts w:eastAsia="Calibri"/>
        </w:rPr>
        <w:t>Where the bespoke threats facing Australia’s transport sector are not addressed, the sector remains vulnerable to the consequences of all hazard threats</w:t>
      </w:r>
      <w:r w:rsidR="004829E9" w:rsidRPr="00B16E6B">
        <w:rPr>
          <w:rFonts w:eastAsia="Calibri"/>
        </w:rPr>
        <w:t xml:space="preserve">. While the costs of option 3 are greater than compared to options 1 and </w:t>
      </w:r>
      <w:r w:rsidR="00865AA6" w:rsidRPr="00B16E6B">
        <w:rPr>
          <w:rFonts w:eastAsia="Calibri"/>
        </w:rPr>
        <w:t>2</w:t>
      </w:r>
      <w:r w:rsidR="004829E9" w:rsidRPr="00B16E6B">
        <w:rPr>
          <w:rFonts w:eastAsia="Calibri"/>
        </w:rPr>
        <w:t>, this is balanced by t</w:t>
      </w:r>
      <w:r w:rsidRPr="00B16E6B">
        <w:rPr>
          <w:rFonts w:eastAsia="Calibri"/>
        </w:rPr>
        <w:t xml:space="preserve">he threat of an incident and its impacts </w:t>
      </w:r>
      <w:r w:rsidR="004829E9" w:rsidRPr="00B16E6B">
        <w:rPr>
          <w:rFonts w:eastAsia="Calibri"/>
        </w:rPr>
        <w:t>being</w:t>
      </w:r>
      <w:r w:rsidRPr="00B16E6B">
        <w:rPr>
          <w:rFonts w:eastAsia="Calibri"/>
        </w:rPr>
        <w:t xml:space="preserve"> lesser under option 3 </w:t>
      </w:r>
      <w:r w:rsidR="003936C3" w:rsidRPr="00B16E6B">
        <w:rPr>
          <w:rFonts w:eastAsia="Calibri"/>
        </w:rPr>
        <w:t xml:space="preserve">because the </w:t>
      </w:r>
      <w:r w:rsidR="004829E9" w:rsidRPr="00B16E6B">
        <w:rPr>
          <w:rFonts w:eastAsia="Calibri"/>
        </w:rPr>
        <w:t>uplift in risk management practices would be greater and more consistently applied</w:t>
      </w:r>
      <w:r w:rsidRPr="00B16E6B">
        <w:rPr>
          <w:rFonts w:eastAsia="Calibri"/>
        </w:rPr>
        <w:t xml:space="preserve">. Option 3 also presents less economy-wide benefit when compared with option 4 (see analysis </w:t>
      </w:r>
      <w:r w:rsidR="00E27C37" w:rsidRPr="00B16E6B">
        <w:rPr>
          <w:rFonts w:eastAsia="Calibri"/>
        </w:rPr>
        <w:t>in question 7</w:t>
      </w:r>
      <w:r w:rsidRPr="00B16E6B">
        <w:rPr>
          <w:rFonts w:eastAsia="Calibri"/>
        </w:rPr>
        <w:t xml:space="preserve">). </w:t>
      </w:r>
    </w:p>
    <w:p w14:paraId="2E7D04CE" w14:textId="1A56F9CC" w:rsidR="00FD6E1D" w:rsidRPr="00B16E6B" w:rsidRDefault="00FD6E1D" w:rsidP="009613E1">
      <w:pPr>
        <w:pStyle w:val="Heading2"/>
        <w:spacing w:line="271" w:lineRule="auto"/>
      </w:pPr>
      <w:bookmarkStart w:id="21" w:name="_Toc161145183"/>
      <w:r w:rsidRPr="00B16E6B">
        <w:lastRenderedPageBreak/>
        <w:t xml:space="preserve">4.5 Likely net benefit assessment: </w:t>
      </w:r>
      <w:r w:rsidR="00460973" w:rsidRPr="00B16E6B">
        <w:t>option</w:t>
      </w:r>
      <w:r w:rsidRPr="00B16E6B">
        <w:t xml:space="preserve"> 4</w:t>
      </w:r>
      <w:bookmarkEnd w:id="21"/>
    </w:p>
    <w:p w14:paraId="0D2E0EA2" w14:textId="59218DC9" w:rsidR="00FD6E1D" w:rsidRPr="00B16E6B" w:rsidRDefault="00FD6E1D" w:rsidP="009613E1">
      <w:pPr>
        <w:spacing w:line="271" w:lineRule="auto"/>
      </w:pPr>
      <w:r w:rsidRPr="00B16E6B">
        <w:t>The following section details the costs and benefits associated with option 4</w:t>
      </w:r>
      <w:r w:rsidR="00555F30" w:rsidRPr="00B16E6B">
        <w:t>,</w:t>
      </w:r>
      <w:r w:rsidRPr="00B16E6B">
        <w:t xml:space="preserve"> followed by assessment of the overall likely net benefit presented by this option. The analysis will look at the proposed </w:t>
      </w:r>
      <w:r w:rsidR="008016D2" w:rsidRPr="00B16E6B">
        <w:t xml:space="preserve">15 </w:t>
      </w:r>
      <w:r w:rsidRPr="00B16E6B">
        <w:t xml:space="preserve">measures captured under option 4 and consider the potential impacts to industry. </w:t>
      </w:r>
    </w:p>
    <w:p w14:paraId="3AF40E61" w14:textId="7D566CFD" w:rsidR="00DB3135" w:rsidRPr="00B16E6B" w:rsidRDefault="00DB3135" w:rsidP="009613E1">
      <w:pPr>
        <w:spacing w:line="271" w:lineRule="auto"/>
      </w:pPr>
      <w:r w:rsidRPr="00B16E6B">
        <w:t xml:space="preserve">The costing and subsequent benefit analysis process for the </w:t>
      </w:r>
      <w:r w:rsidR="00B64A06" w:rsidRPr="00B16E6B">
        <w:t>a</w:t>
      </w:r>
      <w:r w:rsidRPr="00B16E6B">
        <w:t xml:space="preserve">viation and </w:t>
      </w:r>
      <w:r w:rsidR="00B64A06" w:rsidRPr="00B16E6B">
        <w:t>m</w:t>
      </w:r>
      <w:r w:rsidRPr="00B16E6B">
        <w:t xml:space="preserve">aritime sectors has been undertaken at a consolidated level. This is due to the small number of </w:t>
      </w:r>
      <w:r w:rsidR="00877704" w:rsidRPr="00B16E6B">
        <w:t xml:space="preserve">cost impact </w:t>
      </w:r>
      <w:r w:rsidRPr="00B16E6B">
        <w:t xml:space="preserve">responses </w:t>
      </w:r>
      <w:r w:rsidR="00555F30" w:rsidRPr="00B16E6B">
        <w:t>received as part of</w:t>
      </w:r>
      <w:r w:rsidRPr="00B16E6B">
        <w:t xml:space="preserve"> consultatio</w:t>
      </w:r>
      <w:r w:rsidR="00877704" w:rsidRPr="00B16E6B">
        <w:t>n</w:t>
      </w:r>
      <w:r w:rsidRPr="00B16E6B">
        <w:t>.</w:t>
      </w:r>
    </w:p>
    <w:p w14:paraId="0B95F51D" w14:textId="77777777" w:rsidR="00F12080" w:rsidRPr="00B16E6B" w:rsidRDefault="00F12080" w:rsidP="00632F37">
      <w:pPr>
        <w:pStyle w:val="Heading3"/>
      </w:pPr>
      <w:r w:rsidRPr="00B16E6B">
        <w:t xml:space="preserve">Approach to determining likely net benefit: Breakeven analysis </w:t>
      </w:r>
    </w:p>
    <w:p w14:paraId="12E9200C" w14:textId="0CEA532C" w:rsidR="00F12080" w:rsidRPr="00B16E6B" w:rsidRDefault="00F12080" w:rsidP="009613E1">
      <w:pPr>
        <w:spacing w:line="271" w:lineRule="auto"/>
      </w:pPr>
      <w:r w:rsidRPr="00B16E6B">
        <w:t>A breakeven analysis was used to determine the net benefit of option 4. The breakeven analysis examined the number of incidents that must be avoided (i.e. the benefit) each year for the annual costs of the option to be met.</w:t>
      </w:r>
    </w:p>
    <w:p w14:paraId="147F1CEA" w14:textId="4E4C3CED" w:rsidR="00F12080" w:rsidRPr="00B16E6B" w:rsidRDefault="00F12080" w:rsidP="009613E1">
      <w:pPr>
        <w:spacing w:line="271" w:lineRule="auto"/>
      </w:pPr>
      <w:r w:rsidRPr="00B16E6B">
        <w:t>While this IA sought to leverage real life examples of the potential disruptions caused by the realisation of all-hazard</w:t>
      </w:r>
      <w:r w:rsidR="00555F30" w:rsidRPr="00B16E6B">
        <w:t xml:space="preserve"> security</w:t>
      </w:r>
      <w:r w:rsidRPr="00B16E6B">
        <w:t xml:space="preserve"> events, this does not mean that equivalent events must occur for the costs and benefits outlined in this IA to break even. For example, while the IA used the British Airways data breach as a ‘moderate’ scenario, an accumulation of many, smaller disruptions would also deliver the same benefits against the proposed reforms, as discussed in section 4.5.2 below.</w:t>
      </w:r>
    </w:p>
    <w:p w14:paraId="6A156829" w14:textId="4444B11D" w:rsidR="00F12080" w:rsidRPr="00B16E6B" w:rsidRDefault="00F12080" w:rsidP="009613E1">
      <w:pPr>
        <w:spacing w:line="271" w:lineRule="auto"/>
      </w:pPr>
      <w:r w:rsidRPr="00B16E6B">
        <w:t xml:space="preserve">The rationale for use of breakeven analysis is that the total benefits of the option 4 consist of the avoided or mitigated costs of future all-hazard </w:t>
      </w:r>
      <w:r w:rsidR="00555F30" w:rsidRPr="00B16E6B">
        <w:t xml:space="preserve">security </w:t>
      </w:r>
      <w:r w:rsidRPr="00B16E6B">
        <w:t xml:space="preserve">incidents. However, the total annual benefit cannot be reliably estimated because there is no data on the frequency and size of avoided incidents. Any estimate of total benefits would be highly uncertain, contestable and reliant on assumptions. </w:t>
      </w:r>
    </w:p>
    <w:p w14:paraId="5249D305" w14:textId="77777777" w:rsidR="00F12080" w:rsidRPr="00B16E6B" w:rsidRDefault="00F12080" w:rsidP="009613E1">
      <w:pPr>
        <w:spacing w:line="271" w:lineRule="auto"/>
      </w:pPr>
      <w:r w:rsidRPr="00B16E6B">
        <w:t xml:space="preserve">The use of a breakeven analysis avoids the need for this information, and instead uses an assessment of the reasonableness of the number of avoided incidents required for option 4 to equal or exceed the costs of the option. The breakeven analysis was calculated by determining the number of severe, moderate, and low scenarios needed to be avoided each year to equal the annual cost of the regulation. </w:t>
      </w:r>
    </w:p>
    <w:p w14:paraId="753156C2" w14:textId="6D4D0442" w:rsidR="00F12080" w:rsidRPr="00B16E6B" w:rsidRDefault="00F12080" w:rsidP="009613E1">
      <w:pPr>
        <w:spacing w:line="271" w:lineRule="auto"/>
      </w:pPr>
      <w:r w:rsidRPr="00B16E6B">
        <w:t>The following formula was used to determine the breakeven point:</w:t>
      </w:r>
    </w:p>
    <w:p w14:paraId="410E8C02" w14:textId="6B689F63" w:rsidR="00F12080" w:rsidRPr="00B16E6B" w:rsidRDefault="00F12080" w:rsidP="009613E1">
      <w:pPr>
        <w:spacing w:line="271" w:lineRule="auto"/>
        <w:ind w:left="720"/>
      </w:pPr>
      <w:r w:rsidRPr="00B16E6B">
        <w:t xml:space="preserve">Number of severe/moderate/low scenarios required to be avoided per year for net benefit to occur = (total cost to the economy of severe/moderate/low scenario) / (annualised cost of regulation) </w:t>
      </w:r>
    </w:p>
    <w:p w14:paraId="3FD87B8D" w14:textId="76E63D50" w:rsidR="00FD6E1D" w:rsidRPr="00B16E6B" w:rsidRDefault="00FD6E1D" w:rsidP="009613E1">
      <w:pPr>
        <w:pStyle w:val="Heading3"/>
        <w:spacing w:line="271" w:lineRule="auto"/>
      </w:pPr>
      <w:bookmarkStart w:id="22" w:name="_Toc161145184"/>
      <w:bookmarkStart w:id="23" w:name="_Ref174692034"/>
      <w:bookmarkStart w:id="24" w:name="_Ref174692039"/>
      <w:bookmarkStart w:id="25" w:name="_Ref174692043"/>
      <w:bookmarkStart w:id="26" w:name="_Ref174692048"/>
      <w:r w:rsidRPr="00B16E6B">
        <w:t xml:space="preserve">4.5.1 Costs of </w:t>
      </w:r>
      <w:r w:rsidR="00460973" w:rsidRPr="00B16E6B">
        <w:t>option</w:t>
      </w:r>
      <w:r w:rsidRPr="00B16E6B">
        <w:t xml:space="preserve"> 4</w:t>
      </w:r>
      <w:bookmarkEnd w:id="22"/>
      <w:bookmarkEnd w:id="23"/>
      <w:bookmarkEnd w:id="24"/>
      <w:bookmarkEnd w:id="25"/>
      <w:bookmarkEnd w:id="26"/>
    </w:p>
    <w:p w14:paraId="4007B6F2" w14:textId="311B29FA" w:rsidR="00DB3135" w:rsidRPr="00B16E6B" w:rsidRDefault="00E208F2" w:rsidP="009613E1">
      <w:pPr>
        <w:spacing w:line="271" w:lineRule="auto"/>
      </w:pPr>
      <w:r w:rsidRPr="00B16E6B">
        <w:t xml:space="preserve">Table </w:t>
      </w:r>
      <w:r w:rsidR="00A027FB" w:rsidRPr="00B16E6B">
        <w:t xml:space="preserve">14 </w:t>
      </w:r>
      <w:r w:rsidRPr="00B16E6B">
        <w:t xml:space="preserve">describes the cost impact of each of the 15 measures and provides a summary of responses from industry about the potential </w:t>
      </w:r>
      <w:r w:rsidR="00394774" w:rsidRPr="00B16E6B">
        <w:t>imp</w:t>
      </w:r>
      <w:r w:rsidR="0003647E" w:rsidRPr="00B16E6B">
        <w:t>ac</w:t>
      </w:r>
      <w:r w:rsidR="00394774" w:rsidRPr="00B16E6B">
        <w:t xml:space="preserve">t. </w:t>
      </w:r>
      <w:r w:rsidR="002E4D9E" w:rsidRPr="00B16E6B">
        <w:t xml:space="preserve">Table 21 identified how the policy positions outlined below were informed by industry consultation, contributing to a more applicable reform option for industry that results in a smaller anticipated cost. </w:t>
      </w:r>
      <w:bookmarkStart w:id="27" w:name="_Toc161145195"/>
    </w:p>
    <w:p w14:paraId="03023038" w14:textId="29921CDA" w:rsidR="00E208F2" w:rsidRPr="00B16E6B" w:rsidRDefault="00E208F2" w:rsidP="009613E1">
      <w:pPr>
        <w:spacing w:line="271" w:lineRule="auto"/>
        <w:sectPr w:rsidR="00E208F2" w:rsidRPr="00B16E6B" w:rsidSect="009613E1">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1276" w:left="1134" w:header="993" w:footer="449" w:gutter="0"/>
          <w:pgNumType w:start="1"/>
          <w:cols w:space="708"/>
          <w:titlePg/>
          <w:docGrid w:linePitch="360"/>
        </w:sectPr>
      </w:pPr>
    </w:p>
    <w:p w14:paraId="060080B5" w14:textId="4BBF508B" w:rsidR="00302889" w:rsidRPr="00B16E6B" w:rsidRDefault="00302889" w:rsidP="009613E1">
      <w:pPr>
        <w:spacing w:after="60" w:line="271" w:lineRule="auto"/>
        <w:rPr>
          <w:rFonts w:eastAsia="Times New Roman" w:cs="Arial"/>
          <w:bCs/>
          <w:i/>
          <w:iCs/>
          <w:color w:val="44546A"/>
          <w:sz w:val="18"/>
          <w:szCs w:val="18"/>
          <w:lang w:eastAsia="en-AU"/>
        </w:rPr>
      </w:pPr>
      <w:r w:rsidRPr="00B16E6B">
        <w:rPr>
          <w:rFonts w:eastAsia="Times New Roman" w:cs="Arial"/>
          <w:b/>
          <w:bCs/>
          <w:i/>
          <w:iCs/>
          <w:color w:val="44546A"/>
          <w:sz w:val="18"/>
          <w:szCs w:val="18"/>
          <w:lang w:eastAsia="en-AU"/>
        </w:rPr>
        <w:lastRenderedPageBreak/>
        <w:t>Table 1</w:t>
      </w:r>
      <w:r w:rsidR="00A027FB" w:rsidRPr="00B16E6B">
        <w:rPr>
          <w:rFonts w:eastAsia="Times New Roman" w:cs="Arial"/>
          <w:b/>
          <w:bCs/>
          <w:i/>
          <w:iCs/>
          <w:color w:val="44546A"/>
          <w:sz w:val="18"/>
          <w:szCs w:val="18"/>
          <w:lang w:eastAsia="en-AU"/>
        </w:rPr>
        <w:t>4</w:t>
      </w:r>
      <w:r w:rsidRPr="00B16E6B">
        <w:rPr>
          <w:rFonts w:eastAsia="Times New Roman" w:cs="Arial"/>
          <w:b/>
          <w:bCs/>
          <w:i/>
          <w:iCs/>
          <w:color w:val="44546A"/>
          <w:sz w:val="18"/>
          <w:szCs w:val="18"/>
          <w:lang w:eastAsia="en-AU"/>
        </w:rPr>
        <w:t>:</w:t>
      </w:r>
      <w:r w:rsidRPr="00B16E6B">
        <w:rPr>
          <w:rFonts w:eastAsia="Times New Roman" w:cs="Arial"/>
          <w:bCs/>
          <w:i/>
          <w:iCs/>
          <w:color w:val="44546A"/>
          <w:sz w:val="18"/>
          <w:szCs w:val="18"/>
          <w:lang w:eastAsia="en-AU"/>
        </w:rPr>
        <w:t xml:space="preserve"> Indicative costs of measures</w:t>
      </w:r>
    </w:p>
    <w:tbl>
      <w:tblPr>
        <w:tblStyle w:val="TableGrid"/>
        <w:tblW w:w="14179" w:type="dxa"/>
        <w:tblInd w:w="-284"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61"/>
        <w:gridCol w:w="6707"/>
        <w:gridCol w:w="4211"/>
      </w:tblGrid>
      <w:tr w:rsidR="00302889" w:rsidRPr="00B16E6B" w14:paraId="0B9FDE56" w14:textId="77777777" w:rsidTr="00E11445">
        <w:trPr>
          <w:trHeight w:val="272"/>
          <w:tblHeader/>
        </w:trPr>
        <w:tc>
          <w:tcPr>
            <w:tcW w:w="3261" w:type="dxa"/>
            <w:tcBorders>
              <w:top w:val="single" w:sz="4" w:space="0" w:color="BFBFBF" w:themeColor="background2" w:themeShade="BF"/>
              <w:left w:val="nil"/>
              <w:bottom w:val="single" w:sz="4" w:space="0" w:color="BFBFBF" w:themeColor="background1" w:themeShade="BF"/>
              <w:right w:val="single" w:sz="4" w:space="0" w:color="BFBFBF" w:themeColor="background1" w:themeShade="BF"/>
            </w:tcBorders>
            <w:shd w:val="clear" w:color="auto" w:fill="1C2B39" w:themeFill="accent1"/>
            <w:vAlign w:val="center"/>
          </w:tcPr>
          <w:p w14:paraId="5C56413F" w14:textId="12934879" w:rsidR="00302889" w:rsidRPr="00B16E6B" w:rsidRDefault="00D94DFF" w:rsidP="009613E1">
            <w:pPr>
              <w:spacing w:before="60" w:after="60" w:line="271" w:lineRule="auto"/>
              <w:rPr>
                <w:rFonts w:cs="Arial"/>
                <w:b/>
                <w:bCs/>
                <w:sz w:val="20"/>
                <w:szCs w:val="20"/>
              </w:rPr>
            </w:pPr>
            <w:r>
              <w:rPr>
                <w:rFonts w:cs="Arial"/>
                <w:b/>
                <w:bCs/>
                <w:sz w:val="20"/>
                <w:szCs w:val="20"/>
                <w:lang w:val="en-US"/>
              </w:rPr>
              <w:t>Measure</w:t>
            </w:r>
          </w:p>
        </w:tc>
        <w:tc>
          <w:tcPr>
            <w:tcW w:w="6707" w:type="dxa"/>
            <w:tcBorders>
              <w:top w:val="single" w:sz="4" w:space="0" w:color="BFBFBF" w:themeColor="background2"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C2B39" w:themeFill="accent1"/>
            <w:vAlign w:val="center"/>
            <w:hideMark/>
          </w:tcPr>
          <w:p w14:paraId="74120622" w14:textId="77777777" w:rsidR="00302889" w:rsidRPr="00B16E6B" w:rsidRDefault="00E27C37" w:rsidP="009613E1">
            <w:pPr>
              <w:spacing w:before="60" w:after="60" w:line="271" w:lineRule="auto"/>
              <w:rPr>
                <w:rFonts w:cs="Arial"/>
                <w:b/>
                <w:bCs/>
                <w:sz w:val="20"/>
                <w:szCs w:val="20"/>
              </w:rPr>
            </w:pPr>
            <w:r w:rsidRPr="00B16E6B">
              <w:rPr>
                <w:rFonts w:cs="Arial"/>
                <w:b/>
                <w:bCs/>
                <w:sz w:val="20"/>
                <w:szCs w:val="20"/>
              </w:rPr>
              <w:t>Department’s estimated impact</w:t>
            </w:r>
          </w:p>
        </w:tc>
        <w:tc>
          <w:tcPr>
            <w:tcW w:w="4211" w:type="dxa"/>
            <w:tcBorders>
              <w:top w:val="single" w:sz="4" w:space="0" w:color="BFBFBF" w:themeColor="background2" w:themeShade="BF"/>
              <w:left w:val="single" w:sz="4" w:space="0" w:color="BFBFBF" w:themeColor="background1" w:themeShade="BF"/>
              <w:bottom w:val="single" w:sz="4" w:space="0" w:color="BFBFBF" w:themeColor="background1" w:themeShade="BF"/>
              <w:right w:val="nil"/>
            </w:tcBorders>
            <w:shd w:val="clear" w:color="auto" w:fill="1C2B39" w:themeFill="accent1"/>
            <w:vAlign w:val="center"/>
            <w:hideMark/>
          </w:tcPr>
          <w:p w14:paraId="72824BB9" w14:textId="77777777" w:rsidR="00302889" w:rsidRPr="00B16E6B" w:rsidRDefault="00302889" w:rsidP="009613E1">
            <w:pPr>
              <w:spacing w:before="60" w:after="60" w:line="271" w:lineRule="auto"/>
              <w:rPr>
                <w:rFonts w:cs="Arial"/>
                <w:b/>
                <w:bCs/>
                <w:sz w:val="20"/>
                <w:szCs w:val="20"/>
              </w:rPr>
            </w:pPr>
            <w:r w:rsidRPr="00B16E6B">
              <w:rPr>
                <w:rFonts w:cs="Arial"/>
                <w:b/>
                <w:bCs/>
                <w:sz w:val="20"/>
                <w:szCs w:val="20"/>
              </w:rPr>
              <w:t>Industry Responses</w:t>
            </w:r>
          </w:p>
        </w:tc>
      </w:tr>
      <w:tr w:rsidR="0079125D" w:rsidRPr="00B16E6B" w14:paraId="0C760A3D" w14:textId="77777777" w:rsidTr="00E11445">
        <w:trPr>
          <w:trHeight w:val="213"/>
          <w:tblHeader/>
        </w:trPr>
        <w:tc>
          <w:tcPr>
            <w:tcW w:w="3261" w:type="dxa"/>
            <w:tcBorders>
              <w:top w:val="single" w:sz="4" w:space="0" w:color="BFBFBF" w:themeColor="background1" w:themeShade="BF"/>
              <w:left w:val="nil"/>
              <w:bottom w:val="single" w:sz="4" w:space="0" w:color="BFBFBF" w:themeColor="background1" w:themeShade="BF"/>
              <w:right w:val="nil"/>
            </w:tcBorders>
            <w:shd w:val="clear" w:color="auto" w:fill="E1E9F0" w:themeFill="accent1" w:themeFillTint="1A"/>
            <w:vAlign w:val="center"/>
          </w:tcPr>
          <w:p w14:paraId="421305E4" w14:textId="37501662" w:rsidR="0079125D" w:rsidRPr="00B16E6B" w:rsidRDefault="0079125D" w:rsidP="009613E1">
            <w:pPr>
              <w:spacing w:before="60" w:after="60" w:line="271" w:lineRule="auto"/>
              <w:jc w:val="center"/>
              <w:rPr>
                <w:rFonts w:cs="Arial"/>
                <w:b/>
                <w:bCs/>
                <w:sz w:val="20"/>
                <w:szCs w:val="20"/>
                <w:lang w:val="en-US"/>
              </w:rPr>
            </w:pPr>
          </w:p>
        </w:tc>
        <w:tc>
          <w:tcPr>
            <w:tcW w:w="6707" w:type="dxa"/>
            <w:tcBorders>
              <w:top w:val="single" w:sz="4" w:space="0" w:color="BFBFBF" w:themeColor="background1" w:themeShade="BF"/>
              <w:left w:val="nil"/>
              <w:bottom w:val="single" w:sz="4" w:space="0" w:color="BFBFBF" w:themeColor="background1" w:themeShade="BF"/>
              <w:right w:val="nil"/>
            </w:tcBorders>
            <w:shd w:val="clear" w:color="auto" w:fill="E1E9F0" w:themeFill="accent1" w:themeFillTint="1A"/>
            <w:vAlign w:val="center"/>
          </w:tcPr>
          <w:p w14:paraId="6ED5E39A" w14:textId="7F65B10C" w:rsidR="0079125D" w:rsidRPr="00B16E6B" w:rsidRDefault="0079125D" w:rsidP="002406A2">
            <w:pPr>
              <w:spacing w:before="60" w:after="60" w:line="271" w:lineRule="auto"/>
              <w:jc w:val="center"/>
              <w:rPr>
                <w:rFonts w:cs="Arial"/>
                <w:b/>
                <w:bCs/>
                <w:sz w:val="20"/>
                <w:szCs w:val="20"/>
                <w:lang w:val="en-US"/>
              </w:rPr>
            </w:pPr>
            <w:r w:rsidRPr="0079125D">
              <w:rPr>
                <w:rFonts w:cs="Arial"/>
                <w:b/>
                <w:bCs/>
                <w:sz w:val="20"/>
                <w:szCs w:val="20"/>
                <w:lang w:val="en-US"/>
              </w:rPr>
              <w:t>Resilient to current and emerging threats</w:t>
            </w:r>
          </w:p>
        </w:tc>
        <w:tc>
          <w:tcPr>
            <w:tcW w:w="4211" w:type="dxa"/>
            <w:tcBorders>
              <w:top w:val="single" w:sz="4" w:space="0" w:color="BFBFBF" w:themeColor="background1" w:themeShade="BF"/>
              <w:left w:val="nil"/>
              <w:bottom w:val="single" w:sz="4" w:space="0" w:color="BFBFBF" w:themeColor="background1" w:themeShade="BF"/>
              <w:right w:val="nil"/>
            </w:tcBorders>
            <w:shd w:val="clear" w:color="auto" w:fill="E1E9F0" w:themeFill="accent1" w:themeFillTint="1A"/>
            <w:vAlign w:val="center"/>
          </w:tcPr>
          <w:p w14:paraId="0F2152E6" w14:textId="20B104D4" w:rsidR="0079125D" w:rsidRPr="00B16E6B" w:rsidRDefault="0079125D" w:rsidP="009613E1">
            <w:pPr>
              <w:spacing w:before="60" w:after="60" w:line="271" w:lineRule="auto"/>
              <w:jc w:val="center"/>
              <w:rPr>
                <w:rFonts w:cs="Arial"/>
                <w:b/>
                <w:bCs/>
                <w:sz w:val="20"/>
                <w:szCs w:val="20"/>
                <w:lang w:val="en-US"/>
              </w:rPr>
            </w:pPr>
          </w:p>
        </w:tc>
      </w:tr>
      <w:tr w:rsidR="00302889" w:rsidRPr="00B16E6B" w14:paraId="7B05A7A7" w14:textId="77777777" w:rsidTr="00E11445">
        <w:trPr>
          <w:tblHeader/>
        </w:trPr>
        <w:tc>
          <w:tcPr>
            <w:tcW w:w="326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77380FB" w14:textId="77777777" w:rsidR="00302889" w:rsidRPr="00B16E6B" w:rsidRDefault="00302889" w:rsidP="009613E1">
            <w:pPr>
              <w:spacing w:before="20" w:after="20" w:line="271" w:lineRule="auto"/>
              <w:rPr>
                <w:rFonts w:cs="Arial"/>
                <w:sz w:val="20"/>
                <w:szCs w:val="20"/>
              </w:rPr>
            </w:pPr>
            <w:r w:rsidRPr="00B16E6B">
              <w:rPr>
                <w:rFonts w:cs="Arial"/>
                <w:b/>
                <w:bCs/>
                <w:sz w:val="20"/>
                <w:szCs w:val="20"/>
              </w:rPr>
              <w:t>Measure 1:</w:t>
            </w:r>
            <w:r w:rsidRPr="00B16E6B">
              <w:rPr>
                <w:rFonts w:cs="Arial"/>
                <w:sz w:val="20"/>
                <w:szCs w:val="20"/>
              </w:rPr>
              <w:t xml:space="preserve"> Expand the definition of unlawful interference to capture a variety of acts, including cyber security incidents, and expand </w:t>
            </w:r>
            <w:r w:rsidR="00B64A06" w:rsidRPr="00B16E6B">
              <w:rPr>
                <w:rFonts w:cs="Arial"/>
                <w:sz w:val="20"/>
                <w:szCs w:val="20"/>
              </w:rPr>
              <w:t xml:space="preserve">security incident </w:t>
            </w:r>
            <w:r w:rsidRPr="00B16E6B">
              <w:rPr>
                <w:rFonts w:cs="Arial"/>
                <w:sz w:val="20"/>
                <w:szCs w:val="20"/>
              </w:rPr>
              <w:t xml:space="preserve">reporting requirements </w:t>
            </w:r>
          </w:p>
        </w:tc>
        <w:tc>
          <w:tcPr>
            <w:tcW w:w="6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27E737" w14:textId="4EE2017C" w:rsidR="00302889" w:rsidRPr="00B16E6B" w:rsidRDefault="00302889" w:rsidP="009613E1">
            <w:pPr>
              <w:spacing w:before="20" w:after="20" w:line="271" w:lineRule="auto"/>
              <w:rPr>
                <w:rFonts w:cs="Arial"/>
                <w:sz w:val="20"/>
                <w:szCs w:val="20"/>
              </w:rPr>
            </w:pPr>
            <w:r w:rsidRPr="00B16E6B">
              <w:rPr>
                <w:rFonts w:cs="Arial"/>
                <w:sz w:val="20"/>
                <w:szCs w:val="20"/>
              </w:rPr>
              <w:t>Minimal cost impacts are expected with this legislation change; it is assumed that increasing the scope of enforcing existing regulations will have a minimal impact to industry</w:t>
            </w:r>
            <w:r w:rsidR="00460973" w:rsidRPr="00B16E6B">
              <w:rPr>
                <w:rFonts w:cs="Arial"/>
                <w:sz w:val="20"/>
                <w:szCs w:val="20"/>
              </w:rPr>
              <w:t>.</w:t>
            </w:r>
            <w:r w:rsidR="00460973" w:rsidRPr="00B16E6B">
              <w:rPr>
                <w:rFonts w:cs="Arial"/>
                <w:sz w:val="20"/>
                <w:szCs w:val="20"/>
              </w:rPr>
              <w:br/>
              <w:t>Consultation on the Independent Review resulted in a department decision to no longer proceed with the requirement to report cyber-related attempted acts of unlawful interference. This will limit the cost impact of this measure. Further information on the consultation process is provided in Section 5.</w:t>
            </w: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vAlign w:val="center"/>
          </w:tcPr>
          <w:p w14:paraId="36DDEE24" w14:textId="4528822F" w:rsidR="00302889" w:rsidRPr="00B16E6B" w:rsidRDefault="00877704" w:rsidP="009613E1">
            <w:pPr>
              <w:spacing w:before="20" w:after="20" w:line="271" w:lineRule="auto"/>
              <w:ind w:right="-98"/>
              <w:rPr>
                <w:rFonts w:cs="Arial"/>
                <w:i/>
                <w:sz w:val="20"/>
                <w:szCs w:val="20"/>
              </w:rPr>
            </w:pPr>
            <w:r w:rsidRPr="00B16E6B">
              <w:rPr>
                <w:rFonts w:cs="Arial"/>
                <w:sz w:val="20"/>
                <w:szCs w:val="20"/>
              </w:rPr>
              <w:t xml:space="preserve">Submissions from </w:t>
            </w:r>
            <w:r w:rsidR="00B64A06" w:rsidRPr="00B16E6B">
              <w:rPr>
                <w:rFonts w:cs="Arial"/>
                <w:sz w:val="20"/>
                <w:szCs w:val="20"/>
              </w:rPr>
              <w:t>i</w:t>
            </w:r>
            <w:r w:rsidRPr="00B16E6B">
              <w:rPr>
                <w:rFonts w:cs="Arial"/>
                <w:sz w:val="20"/>
                <w:szCs w:val="20"/>
              </w:rPr>
              <w:t xml:space="preserve">ndustry noted that there will be some cost implications </w:t>
            </w:r>
            <w:r w:rsidR="00302889" w:rsidRPr="00B16E6B">
              <w:rPr>
                <w:rFonts w:cs="Arial"/>
                <w:sz w:val="20"/>
                <w:szCs w:val="20"/>
              </w:rPr>
              <w:t xml:space="preserve">as a result of this change. </w:t>
            </w:r>
            <w:r w:rsidRPr="00B16E6B">
              <w:rPr>
                <w:rFonts w:cs="Arial"/>
                <w:sz w:val="20"/>
                <w:szCs w:val="20"/>
              </w:rPr>
              <w:t xml:space="preserve">Where responses from industry quantified these costs, they </w:t>
            </w:r>
            <w:r w:rsidR="00302889" w:rsidRPr="00B16E6B">
              <w:rPr>
                <w:rFonts w:cs="Arial"/>
                <w:sz w:val="20"/>
                <w:szCs w:val="20"/>
              </w:rPr>
              <w:t xml:space="preserve">have been considered </w:t>
            </w:r>
            <w:r w:rsidRPr="00B16E6B">
              <w:rPr>
                <w:rFonts w:cs="Arial"/>
                <w:sz w:val="20"/>
                <w:szCs w:val="20"/>
              </w:rPr>
              <w:t xml:space="preserve">together with costs for </w:t>
            </w:r>
            <w:r w:rsidR="002C5755" w:rsidRPr="00B16E6B">
              <w:rPr>
                <w:rFonts w:cs="Arial"/>
                <w:sz w:val="20"/>
                <w:szCs w:val="20"/>
              </w:rPr>
              <w:t>measure</w:t>
            </w:r>
            <w:r w:rsidRPr="00B16E6B">
              <w:rPr>
                <w:rFonts w:cs="Arial"/>
                <w:sz w:val="20"/>
                <w:szCs w:val="20"/>
              </w:rPr>
              <w:t xml:space="preserve"> 2 and are shown </w:t>
            </w:r>
            <w:r w:rsidR="00302889" w:rsidRPr="00B16E6B">
              <w:rPr>
                <w:rFonts w:cs="Arial"/>
                <w:sz w:val="20"/>
                <w:szCs w:val="20"/>
              </w:rPr>
              <w:t xml:space="preserve">in </w:t>
            </w:r>
            <w:r w:rsidR="00E2411D" w:rsidRPr="00B16E6B">
              <w:rPr>
                <w:rFonts w:cs="Arial"/>
                <w:sz w:val="20"/>
                <w:szCs w:val="20"/>
              </w:rPr>
              <w:t>table</w:t>
            </w:r>
            <w:r w:rsidR="00302889" w:rsidRPr="00B16E6B">
              <w:rPr>
                <w:rFonts w:cs="Arial"/>
                <w:sz w:val="20"/>
                <w:szCs w:val="20"/>
              </w:rPr>
              <w:t xml:space="preserve"> 1</w:t>
            </w:r>
            <w:r w:rsidR="00E2411D" w:rsidRPr="00B16E6B">
              <w:rPr>
                <w:rFonts w:cs="Arial"/>
                <w:sz w:val="20"/>
                <w:szCs w:val="20"/>
              </w:rPr>
              <w:t>5</w:t>
            </w:r>
            <w:r w:rsidR="00302889" w:rsidRPr="00B16E6B">
              <w:rPr>
                <w:rFonts w:cs="Arial"/>
                <w:sz w:val="20"/>
                <w:szCs w:val="20"/>
              </w:rPr>
              <w:t xml:space="preserve"> below.</w:t>
            </w:r>
          </w:p>
        </w:tc>
      </w:tr>
      <w:tr w:rsidR="00302889" w:rsidRPr="00B16E6B" w14:paraId="732A2CCE" w14:textId="77777777" w:rsidTr="00E11445">
        <w:trPr>
          <w:tblHeader/>
        </w:trPr>
        <w:tc>
          <w:tcPr>
            <w:tcW w:w="326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2FDA3F0" w14:textId="77777777" w:rsidR="000C7A5A" w:rsidRPr="00B16E6B" w:rsidRDefault="00302889" w:rsidP="009613E1">
            <w:pPr>
              <w:spacing w:before="20" w:after="120" w:line="271" w:lineRule="auto"/>
              <w:rPr>
                <w:rFonts w:cs="Arial"/>
                <w:sz w:val="20"/>
                <w:szCs w:val="20"/>
              </w:rPr>
            </w:pPr>
            <w:r w:rsidRPr="00B16E6B">
              <w:rPr>
                <w:rFonts w:cs="Arial"/>
                <w:b/>
                <w:bCs/>
                <w:sz w:val="20"/>
                <w:szCs w:val="20"/>
              </w:rPr>
              <w:t>Measure 2:</w:t>
            </w:r>
            <w:r w:rsidRPr="00B16E6B">
              <w:rPr>
                <w:rFonts w:cs="Arial"/>
                <w:sz w:val="20"/>
                <w:szCs w:val="20"/>
              </w:rPr>
              <w:t xml:space="preserve"> Introduce all hazard security obligations requiring that captured industry participants identify and mitigate cyber, supply chain and natural hazard risks (in addition to physical and personnel security risks) under a single legislative framework</w:t>
            </w:r>
          </w:p>
          <w:p w14:paraId="7786E1CF" w14:textId="34DCB454" w:rsidR="000C7A5A" w:rsidRPr="00B16E6B" w:rsidRDefault="000C7A5A" w:rsidP="009613E1">
            <w:pPr>
              <w:spacing w:before="20" w:after="20" w:line="271" w:lineRule="auto"/>
              <w:rPr>
                <w:rFonts w:cs="Arial"/>
                <w:sz w:val="20"/>
                <w:szCs w:val="20"/>
              </w:rPr>
            </w:pPr>
            <w:r w:rsidRPr="00B16E6B">
              <w:rPr>
                <w:rFonts w:cs="Arial"/>
                <w:sz w:val="20"/>
                <w:szCs w:val="20"/>
              </w:rPr>
              <w:t xml:space="preserve">Obligations will apply differently across industry and hazard domains. For a proposed structure of all hazard obligations by </w:t>
            </w:r>
            <w:r w:rsidR="00E27C37" w:rsidRPr="00B16E6B">
              <w:rPr>
                <w:rFonts w:cs="Arial"/>
                <w:sz w:val="20"/>
                <w:szCs w:val="20"/>
              </w:rPr>
              <w:t>cohort</w:t>
            </w:r>
            <w:r w:rsidRPr="00B16E6B">
              <w:rPr>
                <w:rFonts w:cs="Arial"/>
                <w:sz w:val="20"/>
                <w:szCs w:val="20"/>
              </w:rPr>
              <w:t xml:space="preserve">, see </w:t>
            </w:r>
            <w:r w:rsidRPr="00B16E6B">
              <w:t xml:space="preserve">Appendix </w:t>
            </w:r>
            <w:r w:rsidR="004D4558" w:rsidRPr="00B16E6B">
              <w:rPr>
                <w:rFonts w:cs="Arial"/>
                <w:sz w:val="20"/>
                <w:szCs w:val="20"/>
              </w:rPr>
              <w:t>B</w:t>
            </w:r>
          </w:p>
        </w:tc>
        <w:tc>
          <w:tcPr>
            <w:tcW w:w="6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2D0CEF" w14:textId="36F3E0D3" w:rsidR="00D40803" w:rsidRPr="00E11445" w:rsidRDefault="00E11445" w:rsidP="00E11445">
            <w:pPr>
              <w:spacing w:before="20" w:after="20" w:line="271" w:lineRule="auto"/>
              <w:rPr>
                <w:rFonts w:cs="Arial"/>
                <w:sz w:val="20"/>
                <w:szCs w:val="20"/>
              </w:rPr>
            </w:pPr>
            <w:r w:rsidRPr="00F83E4B">
              <w:rPr>
                <w:rFonts w:cs="Arial"/>
                <w:b/>
                <w:bCs/>
                <w:sz w:val="20"/>
                <w:szCs w:val="20"/>
              </w:rPr>
              <w:t>Risk assessment</w:t>
            </w:r>
            <w:r w:rsidR="00F83E4B">
              <w:rPr>
                <w:rFonts w:cs="Arial"/>
                <w:sz w:val="20"/>
                <w:szCs w:val="20"/>
              </w:rPr>
              <w:t>:</w:t>
            </w:r>
            <w:r w:rsidR="00D40803">
              <w:rPr>
                <w:rFonts w:cs="Arial"/>
                <w:sz w:val="20"/>
                <w:szCs w:val="20"/>
              </w:rPr>
              <w:t xml:space="preserve"> </w:t>
            </w:r>
            <w:r w:rsidRPr="00E11445">
              <w:rPr>
                <w:rFonts w:cs="Arial"/>
                <w:sz w:val="20"/>
                <w:szCs w:val="20"/>
              </w:rPr>
              <w:t>Some costs expected to arise due to increase in capability requirements. Cost impact is dependent on the complexity of the business affected.</w:t>
            </w:r>
          </w:p>
          <w:p w14:paraId="69DE3641" w14:textId="53527C02" w:rsidR="00E11445" w:rsidRPr="00E11445" w:rsidRDefault="00E11445" w:rsidP="00E11445">
            <w:pPr>
              <w:spacing w:before="20" w:after="20" w:line="271" w:lineRule="auto"/>
              <w:rPr>
                <w:rFonts w:cs="Arial"/>
                <w:sz w:val="20"/>
                <w:szCs w:val="20"/>
              </w:rPr>
            </w:pPr>
            <w:r w:rsidRPr="00F83E4B">
              <w:rPr>
                <w:rFonts w:cs="Arial"/>
                <w:b/>
                <w:bCs/>
                <w:sz w:val="20"/>
                <w:szCs w:val="20"/>
              </w:rPr>
              <w:t>Physical</w:t>
            </w:r>
            <w:r w:rsidR="00F83E4B">
              <w:rPr>
                <w:rFonts w:cs="Arial"/>
                <w:sz w:val="20"/>
                <w:szCs w:val="20"/>
              </w:rPr>
              <w:t xml:space="preserve">: </w:t>
            </w:r>
            <w:r w:rsidRPr="00E11445">
              <w:rPr>
                <w:rFonts w:cs="Arial"/>
                <w:sz w:val="20"/>
                <w:szCs w:val="20"/>
              </w:rPr>
              <w:t>Nil to minor costs expected given existing obligations</w:t>
            </w:r>
          </w:p>
          <w:p w14:paraId="0CD446FD" w14:textId="2D344340" w:rsidR="00E11445" w:rsidRPr="00E11445" w:rsidRDefault="00E11445" w:rsidP="00E11445">
            <w:pPr>
              <w:spacing w:before="20" w:after="20" w:line="271" w:lineRule="auto"/>
              <w:rPr>
                <w:rFonts w:cs="Arial"/>
                <w:sz w:val="20"/>
                <w:szCs w:val="20"/>
              </w:rPr>
            </w:pPr>
            <w:r w:rsidRPr="00F83E4B">
              <w:rPr>
                <w:rFonts w:cs="Arial"/>
                <w:b/>
                <w:bCs/>
                <w:sz w:val="20"/>
                <w:szCs w:val="20"/>
              </w:rPr>
              <w:t>Personnel</w:t>
            </w:r>
            <w:r w:rsidR="00F83E4B">
              <w:rPr>
                <w:rFonts w:cs="Arial"/>
                <w:sz w:val="20"/>
                <w:szCs w:val="20"/>
              </w:rPr>
              <w:t xml:space="preserve">: </w:t>
            </w:r>
            <w:r w:rsidRPr="00E11445">
              <w:rPr>
                <w:rFonts w:cs="Arial"/>
                <w:sz w:val="20"/>
                <w:szCs w:val="20"/>
              </w:rPr>
              <w:t>Minor costs expected given existing obligations (see measure 3 below)</w:t>
            </w:r>
          </w:p>
          <w:p w14:paraId="46B4168D" w14:textId="76F466AD" w:rsidR="00E11445" w:rsidRPr="00E11445" w:rsidRDefault="00E11445" w:rsidP="00E11445">
            <w:pPr>
              <w:spacing w:before="20" w:after="20" w:line="271" w:lineRule="auto"/>
              <w:rPr>
                <w:rFonts w:cs="Arial"/>
                <w:sz w:val="20"/>
                <w:szCs w:val="20"/>
              </w:rPr>
            </w:pPr>
            <w:r w:rsidRPr="00F83E4B">
              <w:rPr>
                <w:rFonts w:cs="Arial"/>
                <w:b/>
                <w:bCs/>
                <w:sz w:val="20"/>
                <w:szCs w:val="20"/>
              </w:rPr>
              <w:t>Cyber</w:t>
            </w:r>
            <w:r w:rsidR="00F83E4B">
              <w:rPr>
                <w:rFonts w:cs="Arial"/>
                <w:sz w:val="20"/>
                <w:szCs w:val="20"/>
              </w:rPr>
              <w:t xml:space="preserve">: </w:t>
            </w:r>
            <w:r w:rsidRPr="00E11445">
              <w:rPr>
                <w:rFonts w:cs="Arial"/>
                <w:sz w:val="20"/>
                <w:szCs w:val="20"/>
              </w:rPr>
              <w:t>Minor to moderate costs expected due to increase in capability requirements. Costs would be dependent on whether a staged approach is applied and level of maturity of the business affected.</w:t>
            </w:r>
          </w:p>
          <w:p w14:paraId="05D1F35F" w14:textId="18BDC931" w:rsidR="00E11445" w:rsidRPr="00E11445" w:rsidRDefault="00E11445" w:rsidP="00E11445">
            <w:pPr>
              <w:spacing w:before="20" w:after="20" w:line="271" w:lineRule="auto"/>
              <w:rPr>
                <w:rFonts w:cs="Arial"/>
                <w:sz w:val="20"/>
                <w:szCs w:val="20"/>
              </w:rPr>
            </w:pPr>
            <w:r w:rsidRPr="00F83E4B">
              <w:rPr>
                <w:rFonts w:cs="Arial"/>
                <w:b/>
                <w:bCs/>
                <w:sz w:val="20"/>
                <w:szCs w:val="20"/>
              </w:rPr>
              <w:t>Supply chain</w:t>
            </w:r>
            <w:r w:rsidR="00F83E4B">
              <w:rPr>
                <w:rFonts w:cs="Arial"/>
                <w:sz w:val="20"/>
                <w:szCs w:val="20"/>
              </w:rPr>
              <w:t xml:space="preserve">: </w:t>
            </w:r>
            <w:r w:rsidRPr="00E11445">
              <w:rPr>
                <w:rFonts w:cs="Arial"/>
                <w:sz w:val="20"/>
                <w:szCs w:val="20"/>
              </w:rPr>
              <w:t>Some costs expected to arise given no existing obligations. Cost impact is dependent on the complexity of the business affected.</w:t>
            </w:r>
          </w:p>
          <w:p w14:paraId="60CB3571" w14:textId="1C2C3259" w:rsidR="00302889" w:rsidRPr="00B16E6B" w:rsidRDefault="00E11445" w:rsidP="00E11445">
            <w:pPr>
              <w:spacing w:before="20" w:after="20" w:line="271" w:lineRule="auto"/>
              <w:rPr>
                <w:rFonts w:cs="Arial"/>
                <w:sz w:val="20"/>
                <w:szCs w:val="20"/>
              </w:rPr>
            </w:pPr>
            <w:r w:rsidRPr="00F83E4B">
              <w:rPr>
                <w:rFonts w:cs="Arial"/>
                <w:b/>
                <w:bCs/>
                <w:sz w:val="20"/>
                <w:szCs w:val="20"/>
              </w:rPr>
              <w:t>Natural hazard</w:t>
            </w:r>
            <w:r w:rsidR="00F83E4B">
              <w:rPr>
                <w:rFonts w:cs="Arial"/>
                <w:sz w:val="20"/>
                <w:szCs w:val="20"/>
              </w:rPr>
              <w:t xml:space="preserve">: </w:t>
            </w:r>
            <w:r w:rsidRPr="00E11445">
              <w:rPr>
                <w:rFonts w:cs="Arial"/>
                <w:sz w:val="20"/>
                <w:szCs w:val="20"/>
              </w:rPr>
              <w:t>Some costs expected to arise given no existing obligations. Cost impact is dependent on the complexity of the business affected</w:t>
            </w:r>
            <w:r w:rsidR="00F83E4B">
              <w:rPr>
                <w:rFonts w:cs="Arial"/>
                <w:sz w:val="20"/>
                <w:szCs w:val="20"/>
              </w:rPr>
              <w:t>.</w:t>
            </w: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6ECE15E0" w14:textId="4C412FE3" w:rsidR="00302889" w:rsidRPr="00B16E6B" w:rsidRDefault="00302889" w:rsidP="009613E1">
            <w:pPr>
              <w:spacing w:before="20" w:after="20" w:line="271" w:lineRule="auto"/>
              <w:rPr>
                <w:rFonts w:cs="Arial"/>
                <w:i/>
                <w:sz w:val="20"/>
                <w:szCs w:val="20"/>
              </w:rPr>
            </w:pPr>
            <w:r w:rsidRPr="00B16E6B">
              <w:rPr>
                <w:rFonts w:cs="Arial"/>
                <w:sz w:val="20"/>
                <w:szCs w:val="20"/>
              </w:rPr>
              <w:t xml:space="preserve">Industry agreed that there will be cost implications as a result of this change. These costs have been considered in </w:t>
            </w:r>
            <w:r w:rsidR="00E2411D" w:rsidRPr="00B16E6B">
              <w:rPr>
                <w:rFonts w:cs="Arial"/>
                <w:sz w:val="20"/>
                <w:szCs w:val="20"/>
              </w:rPr>
              <w:t>t</w:t>
            </w:r>
            <w:r w:rsidRPr="00B16E6B">
              <w:rPr>
                <w:rFonts w:cs="Arial"/>
                <w:sz w:val="20"/>
                <w:szCs w:val="20"/>
              </w:rPr>
              <w:t>able 1</w:t>
            </w:r>
            <w:r w:rsidR="00E2411D" w:rsidRPr="00B16E6B">
              <w:rPr>
                <w:rFonts w:cs="Arial"/>
                <w:sz w:val="20"/>
                <w:szCs w:val="20"/>
              </w:rPr>
              <w:t>5</w:t>
            </w:r>
            <w:r w:rsidRPr="00B16E6B">
              <w:rPr>
                <w:rFonts w:cs="Arial"/>
                <w:sz w:val="20"/>
                <w:szCs w:val="20"/>
              </w:rPr>
              <w:t xml:space="preserve"> below.</w:t>
            </w:r>
          </w:p>
        </w:tc>
      </w:tr>
    </w:tbl>
    <w:p w14:paraId="3405D38C" w14:textId="77777777" w:rsidR="00E208F2" w:rsidRPr="00B16E6B" w:rsidRDefault="00E208F2" w:rsidP="009613E1">
      <w:pPr>
        <w:spacing w:line="271" w:lineRule="auto"/>
      </w:pPr>
    </w:p>
    <w:tbl>
      <w:tblPr>
        <w:tblStyle w:val="TableGrid"/>
        <w:tblW w:w="14176" w:type="dxa"/>
        <w:tblInd w:w="-284"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09"/>
        <w:gridCol w:w="6614"/>
        <w:gridCol w:w="4253"/>
      </w:tblGrid>
      <w:tr w:rsidR="00302889" w:rsidRPr="00B16E6B" w14:paraId="36F5572A" w14:textId="77777777" w:rsidTr="00302889">
        <w:trPr>
          <w:trHeight w:val="1749"/>
          <w:tblHeader/>
        </w:trPr>
        <w:tc>
          <w:tcPr>
            <w:tcW w:w="3309" w:type="dxa"/>
            <w:tcBorders>
              <w:top w:val="single" w:sz="4" w:space="0" w:color="BFBFBF" w:themeColor="background2" w:themeShade="BF"/>
              <w:left w:val="nil"/>
              <w:bottom w:val="single" w:sz="4" w:space="0" w:color="BFBFBF" w:themeColor="background2" w:themeShade="BF"/>
              <w:right w:val="single" w:sz="4" w:space="0" w:color="BFBFBF" w:themeColor="background2" w:themeShade="BF"/>
            </w:tcBorders>
            <w:shd w:val="clear" w:color="auto" w:fill="F2F2F2" w:themeFill="background2" w:themeFillShade="F2"/>
            <w:vAlign w:val="center"/>
            <w:hideMark/>
          </w:tcPr>
          <w:p w14:paraId="5E916D50" w14:textId="77777777" w:rsidR="00302889" w:rsidRPr="00B16E6B" w:rsidRDefault="00302889" w:rsidP="009613E1">
            <w:pPr>
              <w:pStyle w:val="Heading3"/>
              <w:spacing w:before="20" w:after="20" w:line="271" w:lineRule="auto"/>
              <w:outlineLvl w:val="2"/>
              <w:rPr>
                <w:rFonts w:asciiTheme="minorHAnsi" w:eastAsiaTheme="minorEastAsia" w:hAnsiTheme="minorHAnsi" w:cs="Arial"/>
                <w:color w:val="auto"/>
                <w:sz w:val="20"/>
                <w:szCs w:val="20"/>
              </w:rPr>
            </w:pPr>
            <w:r w:rsidRPr="00B16E6B">
              <w:rPr>
                <w:rFonts w:asciiTheme="minorHAnsi" w:eastAsiaTheme="minorEastAsia" w:hAnsiTheme="minorHAnsi" w:cs="Arial"/>
                <w:b/>
                <w:color w:val="auto"/>
                <w:sz w:val="20"/>
                <w:szCs w:val="20"/>
              </w:rPr>
              <w:lastRenderedPageBreak/>
              <w:t>Measure 3:</w:t>
            </w:r>
            <w:r w:rsidRPr="00B16E6B">
              <w:rPr>
                <w:rFonts w:asciiTheme="minorHAnsi" w:eastAsiaTheme="minorEastAsia" w:hAnsiTheme="minorHAnsi" w:cs="Arial"/>
                <w:color w:val="auto"/>
                <w:sz w:val="20"/>
                <w:szCs w:val="20"/>
              </w:rPr>
              <w:t xml:space="preserve"> Introduce a requirement for industry to identify and mitigate risks associated with personnel who have access to, of influence of, secure areas, or critical systems, remotely</w:t>
            </w:r>
          </w:p>
        </w:tc>
        <w:tc>
          <w:tcPr>
            <w:tcW w:w="6614"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vAlign w:val="center"/>
            <w:hideMark/>
          </w:tcPr>
          <w:p w14:paraId="0C1B6C89" w14:textId="77777777" w:rsidR="00302889" w:rsidRPr="00B16E6B" w:rsidRDefault="00302889" w:rsidP="009613E1">
            <w:pPr>
              <w:spacing w:before="20" w:after="20" w:line="271" w:lineRule="auto"/>
              <w:rPr>
                <w:rFonts w:cs="Arial"/>
                <w:sz w:val="20"/>
                <w:szCs w:val="20"/>
              </w:rPr>
            </w:pPr>
            <w:r w:rsidRPr="00B16E6B">
              <w:rPr>
                <w:rFonts w:cs="Arial"/>
                <w:sz w:val="20"/>
                <w:szCs w:val="20"/>
              </w:rPr>
              <w:t>Some costs expected to arise given potential cost of implementing some mitigation measures</w:t>
            </w:r>
          </w:p>
        </w:tc>
        <w:tc>
          <w:tcPr>
            <w:tcW w:w="4253" w:type="dxa"/>
            <w:tcBorders>
              <w:top w:val="single" w:sz="4" w:space="0" w:color="BFBFBF" w:themeColor="background2" w:themeShade="BF"/>
              <w:left w:val="single" w:sz="4" w:space="0" w:color="BFBFBF" w:themeColor="background2" w:themeShade="BF"/>
              <w:bottom w:val="single" w:sz="4" w:space="0" w:color="BFBFBF" w:themeColor="background2" w:themeShade="BF"/>
              <w:right w:val="nil"/>
            </w:tcBorders>
            <w:shd w:val="clear" w:color="auto" w:fill="FFFFFF" w:themeFill="background1"/>
            <w:vAlign w:val="center"/>
            <w:hideMark/>
          </w:tcPr>
          <w:p w14:paraId="131F686A" w14:textId="387231C1" w:rsidR="00302889" w:rsidRPr="00B16E6B" w:rsidRDefault="00302889" w:rsidP="009613E1">
            <w:pPr>
              <w:spacing w:before="20" w:after="20" w:line="271" w:lineRule="auto"/>
              <w:rPr>
                <w:rFonts w:cs="Arial"/>
                <w:sz w:val="20"/>
                <w:szCs w:val="20"/>
              </w:rPr>
            </w:pPr>
            <w:r w:rsidRPr="00B16E6B">
              <w:rPr>
                <w:rFonts w:cs="Arial"/>
                <w:sz w:val="20"/>
                <w:szCs w:val="20"/>
              </w:rPr>
              <w:t xml:space="preserve">Submissions from </w:t>
            </w:r>
            <w:r w:rsidR="00985D9F" w:rsidRPr="00B16E6B">
              <w:rPr>
                <w:rFonts w:cs="Arial"/>
                <w:sz w:val="20"/>
                <w:szCs w:val="20"/>
              </w:rPr>
              <w:t>industry</w:t>
            </w:r>
            <w:r w:rsidRPr="00B16E6B">
              <w:rPr>
                <w:rFonts w:cs="Arial"/>
                <w:sz w:val="20"/>
                <w:szCs w:val="20"/>
              </w:rPr>
              <w:t xml:space="preserve"> indicated </w:t>
            </w:r>
            <w:r w:rsidR="00656B7A" w:rsidRPr="00B16E6B">
              <w:rPr>
                <w:rFonts w:cs="Arial"/>
                <w:sz w:val="20"/>
                <w:szCs w:val="20"/>
              </w:rPr>
              <w:t xml:space="preserve">there may be a minor cost impact on industry as a result of requirements to introduce additional mitigation activities, arising from changes in definitions under </w:t>
            </w:r>
            <w:r w:rsidR="002C5755" w:rsidRPr="00B16E6B">
              <w:rPr>
                <w:rFonts w:cs="Arial"/>
                <w:sz w:val="20"/>
                <w:szCs w:val="20"/>
              </w:rPr>
              <w:t>measure</w:t>
            </w:r>
            <w:r w:rsidR="00656B7A" w:rsidRPr="00B16E6B">
              <w:rPr>
                <w:rFonts w:cs="Arial"/>
                <w:sz w:val="20"/>
                <w:szCs w:val="20"/>
              </w:rPr>
              <w:t xml:space="preserve"> 3. </w:t>
            </w:r>
            <w:r w:rsidR="0003647E" w:rsidRPr="00B16E6B">
              <w:rPr>
                <w:rFonts w:cs="Arial"/>
                <w:sz w:val="20"/>
                <w:szCs w:val="20"/>
              </w:rPr>
              <w:t xml:space="preserve"> These cost impacts were included in estimates for </w:t>
            </w:r>
            <w:r w:rsidR="002C5755" w:rsidRPr="00B16E6B">
              <w:rPr>
                <w:rFonts w:cs="Arial"/>
                <w:sz w:val="20"/>
                <w:szCs w:val="20"/>
              </w:rPr>
              <w:t>measure</w:t>
            </w:r>
            <w:r w:rsidR="0003647E" w:rsidRPr="00B16E6B">
              <w:rPr>
                <w:rFonts w:cs="Arial"/>
                <w:sz w:val="20"/>
                <w:szCs w:val="20"/>
              </w:rPr>
              <w:t xml:space="preserve"> 2</w:t>
            </w:r>
            <w:r w:rsidR="00292BA9" w:rsidRPr="00B16E6B">
              <w:rPr>
                <w:rFonts w:cs="Arial"/>
                <w:sz w:val="20"/>
                <w:szCs w:val="20"/>
              </w:rPr>
              <w:t xml:space="preserve"> for those industry submission</w:t>
            </w:r>
            <w:r w:rsidR="00D970DC" w:rsidRPr="00B16E6B">
              <w:rPr>
                <w:rFonts w:cs="Arial"/>
                <w:sz w:val="20"/>
                <w:szCs w:val="20"/>
              </w:rPr>
              <w:t>s</w:t>
            </w:r>
            <w:r w:rsidR="00292BA9" w:rsidRPr="00B16E6B">
              <w:rPr>
                <w:rFonts w:cs="Arial"/>
                <w:sz w:val="20"/>
                <w:szCs w:val="20"/>
              </w:rPr>
              <w:t xml:space="preserve"> which quantified the impact. Consequently, the cost impact of the measure is</w:t>
            </w:r>
            <w:r w:rsidR="0003647E" w:rsidRPr="00B16E6B">
              <w:rPr>
                <w:rFonts w:cs="Arial"/>
                <w:sz w:val="20"/>
                <w:szCs w:val="20"/>
              </w:rPr>
              <w:t xml:space="preserve"> included in the costs presented in </w:t>
            </w:r>
            <w:r w:rsidR="00E2411D" w:rsidRPr="00B16E6B">
              <w:rPr>
                <w:rFonts w:cs="Arial"/>
                <w:sz w:val="20"/>
                <w:szCs w:val="20"/>
              </w:rPr>
              <w:t>t</w:t>
            </w:r>
            <w:r w:rsidR="0003647E" w:rsidRPr="00B16E6B">
              <w:rPr>
                <w:rFonts w:cs="Arial"/>
                <w:sz w:val="20"/>
                <w:szCs w:val="20"/>
              </w:rPr>
              <w:t>able 1</w:t>
            </w:r>
            <w:r w:rsidR="00E2411D" w:rsidRPr="00B16E6B">
              <w:rPr>
                <w:rFonts w:cs="Arial"/>
                <w:sz w:val="20"/>
                <w:szCs w:val="20"/>
              </w:rPr>
              <w:t>5</w:t>
            </w:r>
            <w:r w:rsidR="0003647E" w:rsidRPr="00B16E6B">
              <w:rPr>
                <w:rFonts w:cs="Arial"/>
                <w:sz w:val="20"/>
                <w:szCs w:val="20"/>
              </w:rPr>
              <w:t xml:space="preserve"> below</w:t>
            </w:r>
          </w:p>
        </w:tc>
      </w:tr>
      <w:tr w:rsidR="00F83E4B" w:rsidRPr="00B16E6B" w14:paraId="7ADABFAE" w14:textId="77777777" w:rsidTr="00F83E4B">
        <w:trPr>
          <w:tblHeader/>
        </w:trPr>
        <w:tc>
          <w:tcPr>
            <w:tcW w:w="3309" w:type="dxa"/>
            <w:tcBorders>
              <w:top w:val="nil"/>
              <w:left w:val="nil"/>
              <w:bottom w:val="single" w:sz="4" w:space="0" w:color="BFBFBF" w:themeColor="background2" w:themeShade="BF"/>
              <w:right w:val="nil"/>
            </w:tcBorders>
            <w:shd w:val="clear" w:color="auto" w:fill="E1E9F0" w:themeFill="accent1" w:themeFillTint="1A"/>
            <w:vAlign w:val="center"/>
            <w:hideMark/>
          </w:tcPr>
          <w:p w14:paraId="48485D16" w14:textId="589B35AF" w:rsidR="00F83E4B" w:rsidRPr="00B16E6B" w:rsidRDefault="00F83E4B" w:rsidP="009613E1">
            <w:pPr>
              <w:spacing w:before="60" w:after="60" w:line="271" w:lineRule="auto"/>
              <w:jc w:val="center"/>
              <w:rPr>
                <w:rFonts w:cs="Arial"/>
                <w:b/>
                <w:bCs/>
                <w:sz w:val="20"/>
                <w:szCs w:val="20"/>
              </w:rPr>
            </w:pPr>
          </w:p>
        </w:tc>
        <w:tc>
          <w:tcPr>
            <w:tcW w:w="6614" w:type="dxa"/>
            <w:tcBorders>
              <w:top w:val="nil"/>
              <w:left w:val="nil"/>
              <w:bottom w:val="single" w:sz="4" w:space="0" w:color="BFBFBF" w:themeColor="background2" w:themeShade="BF"/>
              <w:right w:val="nil"/>
            </w:tcBorders>
            <w:shd w:val="clear" w:color="auto" w:fill="E1E9F0" w:themeFill="accent1" w:themeFillTint="1A"/>
            <w:vAlign w:val="center"/>
          </w:tcPr>
          <w:p w14:paraId="1B27DFA0" w14:textId="07555874" w:rsidR="00F83E4B" w:rsidRPr="00B16E6B" w:rsidRDefault="00F83E4B" w:rsidP="009613E1">
            <w:pPr>
              <w:spacing w:before="60" w:after="60" w:line="271" w:lineRule="auto"/>
              <w:jc w:val="center"/>
              <w:rPr>
                <w:rFonts w:cs="Arial"/>
                <w:b/>
                <w:bCs/>
                <w:sz w:val="20"/>
                <w:szCs w:val="20"/>
              </w:rPr>
            </w:pPr>
            <w:r w:rsidRPr="00F83E4B">
              <w:rPr>
                <w:rFonts w:cs="Arial"/>
                <w:b/>
                <w:bCs/>
                <w:sz w:val="20"/>
                <w:szCs w:val="20"/>
              </w:rPr>
              <w:t>Effective system testing program</w:t>
            </w:r>
          </w:p>
        </w:tc>
        <w:tc>
          <w:tcPr>
            <w:tcW w:w="4253" w:type="dxa"/>
            <w:tcBorders>
              <w:top w:val="nil"/>
              <w:left w:val="nil"/>
              <w:bottom w:val="single" w:sz="4" w:space="0" w:color="BFBFBF" w:themeColor="background2" w:themeShade="BF"/>
              <w:right w:val="nil"/>
            </w:tcBorders>
            <w:shd w:val="clear" w:color="auto" w:fill="E1E9F0" w:themeFill="accent1" w:themeFillTint="1A"/>
            <w:vAlign w:val="center"/>
          </w:tcPr>
          <w:p w14:paraId="7D1DC9FC" w14:textId="083A868C" w:rsidR="00F83E4B" w:rsidRPr="00B16E6B" w:rsidRDefault="00F83E4B" w:rsidP="009613E1">
            <w:pPr>
              <w:spacing w:before="60" w:after="60" w:line="271" w:lineRule="auto"/>
              <w:jc w:val="center"/>
              <w:rPr>
                <w:rFonts w:cs="Arial"/>
                <w:b/>
                <w:bCs/>
                <w:sz w:val="20"/>
                <w:szCs w:val="20"/>
              </w:rPr>
            </w:pPr>
          </w:p>
        </w:tc>
      </w:tr>
      <w:tr w:rsidR="00302889" w:rsidRPr="00B16E6B" w14:paraId="3E90B219" w14:textId="77777777" w:rsidTr="00877704">
        <w:trPr>
          <w:trHeight w:val="1954"/>
          <w:tblHeader/>
        </w:trPr>
        <w:tc>
          <w:tcPr>
            <w:tcW w:w="3309" w:type="dxa"/>
            <w:tcBorders>
              <w:top w:val="nil"/>
              <w:left w:val="nil"/>
              <w:bottom w:val="nil"/>
              <w:right w:val="single" w:sz="4" w:space="0" w:color="BFBFBF" w:themeColor="background2" w:themeShade="BF"/>
            </w:tcBorders>
            <w:shd w:val="clear" w:color="auto" w:fill="F2F2F2" w:themeFill="background2" w:themeFillShade="F2"/>
            <w:vAlign w:val="center"/>
            <w:hideMark/>
          </w:tcPr>
          <w:p w14:paraId="34F86F39" w14:textId="77777777" w:rsidR="00302889" w:rsidRPr="00B16E6B" w:rsidRDefault="00302889" w:rsidP="009613E1">
            <w:pPr>
              <w:pStyle w:val="Heading3"/>
              <w:spacing w:before="20" w:after="20" w:line="271" w:lineRule="auto"/>
              <w:outlineLvl w:val="2"/>
              <w:rPr>
                <w:rFonts w:asciiTheme="minorHAnsi" w:eastAsiaTheme="minorEastAsia" w:hAnsiTheme="minorHAnsi" w:cs="Arial"/>
                <w:color w:val="auto"/>
                <w:sz w:val="20"/>
                <w:szCs w:val="20"/>
              </w:rPr>
            </w:pPr>
            <w:r w:rsidRPr="00B16E6B">
              <w:rPr>
                <w:rFonts w:asciiTheme="minorHAnsi" w:hAnsiTheme="minorHAnsi" w:cs="Arial"/>
                <w:b/>
                <w:bCs/>
                <w:color w:val="auto"/>
                <w:sz w:val="20"/>
                <w:szCs w:val="20"/>
              </w:rPr>
              <w:t xml:space="preserve">Measure 4: </w:t>
            </w:r>
            <w:r w:rsidRPr="00B16E6B">
              <w:rPr>
                <w:rFonts w:asciiTheme="minorHAnsi" w:eastAsiaTheme="minorEastAsia" w:hAnsiTheme="minorHAnsi" w:cs="Arial"/>
                <w:color w:val="auto"/>
                <w:sz w:val="20"/>
                <w:szCs w:val="20"/>
              </w:rPr>
              <w:t>Amend the definition of test weapons to align with likely threat scenarios</w:t>
            </w:r>
          </w:p>
        </w:tc>
        <w:tc>
          <w:tcPr>
            <w:tcW w:w="6614" w:type="dxa"/>
            <w:tcBorders>
              <w:top w:val="nil"/>
              <w:left w:val="single" w:sz="4" w:space="0" w:color="BFBFBF" w:themeColor="background2" w:themeShade="BF"/>
              <w:bottom w:val="nil"/>
              <w:right w:val="single" w:sz="4" w:space="0" w:color="BFBFBF" w:themeColor="background2" w:themeShade="BF"/>
            </w:tcBorders>
            <w:vAlign w:val="center"/>
            <w:hideMark/>
          </w:tcPr>
          <w:p w14:paraId="39CF9EAC" w14:textId="77777777" w:rsidR="00302889" w:rsidRPr="00B16E6B" w:rsidRDefault="00302889" w:rsidP="009613E1">
            <w:pPr>
              <w:spacing w:before="20" w:after="20" w:line="271" w:lineRule="auto"/>
              <w:rPr>
                <w:rFonts w:cs="Arial"/>
                <w:sz w:val="20"/>
                <w:szCs w:val="20"/>
              </w:rPr>
            </w:pPr>
            <w:r w:rsidRPr="00B16E6B">
              <w:rPr>
                <w:rFonts w:cs="Arial"/>
                <w:sz w:val="20"/>
                <w:szCs w:val="20"/>
              </w:rPr>
              <w:t>Due to the change only expanding the criteria of test weapons in the transport security legislative frameworks, it is expected to have only a minor impact to industry. Processes for managing test weapons should already exist and so the marginal impact of the definitional change will be minor</w:t>
            </w:r>
          </w:p>
        </w:tc>
        <w:tc>
          <w:tcPr>
            <w:tcW w:w="4253" w:type="dxa"/>
            <w:tcBorders>
              <w:top w:val="nil"/>
              <w:left w:val="single" w:sz="4" w:space="0" w:color="BFBFBF" w:themeColor="background2" w:themeShade="BF"/>
              <w:bottom w:val="nil"/>
              <w:right w:val="nil"/>
            </w:tcBorders>
            <w:shd w:val="clear" w:color="auto" w:fill="auto"/>
            <w:vAlign w:val="center"/>
            <w:hideMark/>
          </w:tcPr>
          <w:p w14:paraId="6D06F277" w14:textId="77777777" w:rsidR="00302889" w:rsidRPr="00B16E6B" w:rsidRDefault="00302889" w:rsidP="009613E1">
            <w:pPr>
              <w:spacing w:before="20" w:after="20" w:line="271" w:lineRule="auto"/>
              <w:rPr>
                <w:rFonts w:cs="Arial"/>
                <w:sz w:val="20"/>
                <w:szCs w:val="20"/>
              </w:rPr>
            </w:pPr>
            <w:r w:rsidRPr="00B16E6B">
              <w:rPr>
                <w:rFonts w:cs="Arial"/>
                <w:sz w:val="20"/>
                <w:szCs w:val="20"/>
              </w:rPr>
              <w:t xml:space="preserve">Submissions from </w:t>
            </w:r>
            <w:r w:rsidR="00985D9F" w:rsidRPr="00B16E6B">
              <w:rPr>
                <w:rFonts w:cs="Arial"/>
                <w:sz w:val="20"/>
                <w:szCs w:val="20"/>
              </w:rPr>
              <w:t>industry</w:t>
            </w:r>
            <w:r w:rsidRPr="00B16E6B">
              <w:rPr>
                <w:rFonts w:cs="Arial"/>
                <w:sz w:val="20"/>
                <w:szCs w:val="20"/>
              </w:rPr>
              <w:t xml:space="preserve"> indicated either agreement or did not disagree that there will</w:t>
            </w:r>
            <w:r w:rsidR="00381947" w:rsidRPr="00B16E6B">
              <w:rPr>
                <w:rFonts w:cs="Arial"/>
                <w:sz w:val="20"/>
                <w:szCs w:val="20"/>
              </w:rPr>
              <w:t xml:space="preserve"> be nil cost impact to industry</w:t>
            </w:r>
          </w:p>
        </w:tc>
      </w:tr>
      <w:tr w:rsidR="00302889" w:rsidRPr="00B16E6B" w14:paraId="665CD1D7" w14:textId="77777777" w:rsidTr="00877704">
        <w:trPr>
          <w:trHeight w:val="1296"/>
          <w:tblHeader/>
        </w:trPr>
        <w:tc>
          <w:tcPr>
            <w:tcW w:w="3309" w:type="dxa"/>
            <w:tcBorders>
              <w:top w:val="single" w:sz="4" w:space="0" w:color="BFBFBF" w:themeColor="background2" w:themeShade="BF"/>
              <w:left w:val="nil"/>
              <w:bottom w:val="single" w:sz="4" w:space="0" w:color="BFBFBF" w:themeColor="background2" w:themeShade="BF"/>
              <w:right w:val="single" w:sz="4" w:space="0" w:color="BFBFBF" w:themeColor="background2" w:themeShade="BF"/>
            </w:tcBorders>
            <w:shd w:val="clear" w:color="auto" w:fill="F2F2F2" w:themeFill="background2" w:themeFillShade="F2"/>
            <w:vAlign w:val="center"/>
            <w:hideMark/>
          </w:tcPr>
          <w:p w14:paraId="500D2E17" w14:textId="249B1E1E" w:rsidR="00302889" w:rsidRPr="00B16E6B" w:rsidRDefault="00302889" w:rsidP="009613E1">
            <w:pPr>
              <w:spacing w:before="20" w:after="20" w:line="271" w:lineRule="auto"/>
              <w:rPr>
                <w:rFonts w:cs="Arial"/>
                <w:sz w:val="20"/>
                <w:szCs w:val="20"/>
              </w:rPr>
            </w:pPr>
            <w:r w:rsidRPr="00B16E6B">
              <w:rPr>
                <w:rFonts w:cs="Arial"/>
                <w:b/>
                <w:bCs/>
                <w:sz w:val="20"/>
                <w:szCs w:val="20"/>
              </w:rPr>
              <w:t xml:space="preserve">Measure 5: </w:t>
            </w:r>
            <w:r w:rsidRPr="00B16E6B">
              <w:rPr>
                <w:rFonts w:cs="Arial"/>
                <w:sz w:val="20"/>
                <w:szCs w:val="20"/>
              </w:rPr>
              <w:t xml:space="preserve">Introduce vulnerability testing on Australian aviation </w:t>
            </w:r>
            <w:r w:rsidR="00555F30" w:rsidRPr="00B16E6B">
              <w:rPr>
                <w:rFonts w:cs="Arial"/>
                <w:sz w:val="20"/>
                <w:szCs w:val="20"/>
              </w:rPr>
              <w:t xml:space="preserve">and maritime </w:t>
            </w:r>
            <w:r w:rsidRPr="00B16E6B">
              <w:rPr>
                <w:rFonts w:cs="Arial"/>
                <w:sz w:val="20"/>
                <w:szCs w:val="20"/>
              </w:rPr>
              <w:t xml:space="preserve">security systems </w:t>
            </w:r>
          </w:p>
        </w:tc>
        <w:tc>
          <w:tcPr>
            <w:tcW w:w="6614"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vAlign w:val="center"/>
            <w:hideMark/>
          </w:tcPr>
          <w:p w14:paraId="24AE0D5C" w14:textId="77777777" w:rsidR="00302889" w:rsidRPr="00B16E6B" w:rsidRDefault="00302889" w:rsidP="009613E1">
            <w:pPr>
              <w:spacing w:before="20" w:after="20" w:line="271" w:lineRule="auto"/>
              <w:rPr>
                <w:rFonts w:cs="Arial"/>
                <w:sz w:val="20"/>
                <w:szCs w:val="20"/>
              </w:rPr>
            </w:pPr>
            <w:r w:rsidRPr="00B16E6B">
              <w:rPr>
                <w:rFonts w:cs="Arial"/>
                <w:sz w:val="20"/>
                <w:szCs w:val="20"/>
              </w:rPr>
              <w:t xml:space="preserve">Potential impacts arising from any additional effort or time required to prepare for vulnerability testing on aviation security systems </w:t>
            </w:r>
          </w:p>
        </w:tc>
        <w:tc>
          <w:tcPr>
            <w:tcW w:w="4253" w:type="dxa"/>
            <w:tcBorders>
              <w:top w:val="single" w:sz="4" w:space="0" w:color="BFBFBF" w:themeColor="background2" w:themeShade="BF"/>
              <w:left w:val="single" w:sz="4" w:space="0" w:color="BFBFBF" w:themeColor="background2" w:themeShade="BF"/>
              <w:bottom w:val="single" w:sz="4" w:space="0" w:color="BFBFBF" w:themeColor="background2" w:themeShade="BF"/>
              <w:right w:val="nil"/>
            </w:tcBorders>
            <w:shd w:val="clear" w:color="auto" w:fill="auto"/>
            <w:vAlign w:val="center"/>
          </w:tcPr>
          <w:p w14:paraId="44435691" w14:textId="77777777" w:rsidR="00302889" w:rsidRPr="00B16E6B" w:rsidRDefault="00D970DC" w:rsidP="009613E1">
            <w:pPr>
              <w:spacing w:before="20" w:after="20" w:line="271" w:lineRule="auto"/>
              <w:rPr>
                <w:rFonts w:cs="Arial"/>
                <w:sz w:val="20"/>
                <w:szCs w:val="20"/>
              </w:rPr>
            </w:pPr>
            <w:r w:rsidRPr="00B16E6B">
              <w:rPr>
                <w:rFonts w:cs="Arial"/>
                <w:sz w:val="20"/>
                <w:szCs w:val="20"/>
              </w:rPr>
              <w:t>Submissions from industry indicated either agreement or did not disagree that there will be nil cost impact to industry</w:t>
            </w:r>
          </w:p>
        </w:tc>
      </w:tr>
      <w:tr w:rsidR="00302889" w:rsidRPr="00B16E6B" w14:paraId="41A7B625" w14:textId="77777777" w:rsidTr="0065743D">
        <w:trPr>
          <w:trHeight w:val="1395"/>
          <w:tblHeader/>
        </w:trPr>
        <w:tc>
          <w:tcPr>
            <w:tcW w:w="3309" w:type="dxa"/>
            <w:tcBorders>
              <w:top w:val="single" w:sz="4" w:space="0" w:color="BFBFBF" w:themeColor="background2" w:themeShade="BF"/>
              <w:left w:val="nil"/>
              <w:bottom w:val="single" w:sz="4" w:space="0" w:color="BFBFBF" w:themeColor="background2" w:themeShade="BF"/>
              <w:right w:val="single" w:sz="4" w:space="0" w:color="BFBFBF" w:themeColor="background2" w:themeShade="BF"/>
            </w:tcBorders>
            <w:shd w:val="clear" w:color="auto" w:fill="F2F2F2" w:themeFill="background2" w:themeFillShade="F2"/>
            <w:vAlign w:val="center"/>
            <w:hideMark/>
          </w:tcPr>
          <w:p w14:paraId="11EB04CB" w14:textId="77777777" w:rsidR="00302889" w:rsidRPr="00B16E6B" w:rsidRDefault="00302889" w:rsidP="009613E1">
            <w:pPr>
              <w:spacing w:before="20" w:after="20" w:line="271" w:lineRule="auto"/>
              <w:rPr>
                <w:rFonts w:cs="Arial"/>
                <w:sz w:val="20"/>
                <w:szCs w:val="20"/>
              </w:rPr>
            </w:pPr>
            <w:r w:rsidRPr="00B16E6B">
              <w:rPr>
                <w:rFonts w:cs="Arial"/>
                <w:b/>
                <w:bCs/>
                <w:sz w:val="20"/>
                <w:szCs w:val="20"/>
              </w:rPr>
              <w:t xml:space="preserve">Measure 6: </w:t>
            </w:r>
            <w:r w:rsidRPr="00B16E6B">
              <w:rPr>
                <w:rFonts w:cs="Arial"/>
                <w:sz w:val="20"/>
                <w:szCs w:val="20"/>
              </w:rPr>
              <w:t>Introduce maritime system and vulnerability testing and provide MSIs with equivalent protection and powers that ASIs currently possess</w:t>
            </w:r>
          </w:p>
        </w:tc>
        <w:tc>
          <w:tcPr>
            <w:tcW w:w="6614"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vAlign w:val="center"/>
            <w:hideMark/>
          </w:tcPr>
          <w:p w14:paraId="00239181" w14:textId="77777777" w:rsidR="00302889" w:rsidRPr="00B16E6B" w:rsidRDefault="00302889" w:rsidP="009613E1">
            <w:pPr>
              <w:spacing w:before="20" w:after="20" w:line="271" w:lineRule="auto"/>
              <w:rPr>
                <w:rFonts w:cs="Arial"/>
                <w:sz w:val="20"/>
                <w:szCs w:val="20"/>
              </w:rPr>
            </w:pPr>
            <w:r w:rsidRPr="00B16E6B">
              <w:rPr>
                <w:rFonts w:cs="Arial"/>
                <w:sz w:val="20"/>
                <w:szCs w:val="20"/>
              </w:rPr>
              <w:t>It is expected there will be a nil impact to industry participants as a result of this change</w:t>
            </w:r>
          </w:p>
        </w:tc>
        <w:tc>
          <w:tcPr>
            <w:tcW w:w="4253" w:type="dxa"/>
            <w:tcBorders>
              <w:top w:val="single" w:sz="4" w:space="0" w:color="BFBFBF" w:themeColor="background2" w:themeShade="BF"/>
              <w:left w:val="single" w:sz="4" w:space="0" w:color="BFBFBF" w:themeColor="background2" w:themeShade="BF"/>
              <w:bottom w:val="single" w:sz="4" w:space="0" w:color="BFBFBF" w:themeColor="background2" w:themeShade="BF"/>
              <w:right w:val="nil"/>
            </w:tcBorders>
            <w:shd w:val="clear" w:color="auto" w:fill="auto"/>
            <w:vAlign w:val="center"/>
          </w:tcPr>
          <w:p w14:paraId="6F91A65A" w14:textId="77777777" w:rsidR="00302889" w:rsidRPr="00B16E6B" w:rsidRDefault="00D970DC" w:rsidP="009613E1">
            <w:pPr>
              <w:spacing w:before="20" w:after="20" w:line="271" w:lineRule="auto"/>
              <w:rPr>
                <w:rFonts w:cs="Arial"/>
                <w:sz w:val="20"/>
                <w:szCs w:val="20"/>
              </w:rPr>
            </w:pPr>
            <w:r w:rsidRPr="00B16E6B">
              <w:rPr>
                <w:rFonts w:cs="Arial"/>
                <w:sz w:val="20"/>
                <w:szCs w:val="20"/>
              </w:rPr>
              <w:t>Submissions from industry indicated either agreement or did not disagree that there will be nil cost impact to industry</w:t>
            </w:r>
          </w:p>
        </w:tc>
      </w:tr>
    </w:tbl>
    <w:p w14:paraId="5A037D6F" w14:textId="77777777" w:rsidR="00292BA9" w:rsidRPr="00B16E6B" w:rsidRDefault="00292BA9" w:rsidP="009613E1">
      <w:pPr>
        <w:spacing w:line="271" w:lineRule="auto"/>
      </w:pPr>
    </w:p>
    <w:tbl>
      <w:tblPr>
        <w:tblStyle w:val="TableGrid"/>
        <w:tblW w:w="14176" w:type="dxa"/>
        <w:tblInd w:w="-284"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09"/>
        <w:gridCol w:w="6614"/>
        <w:gridCol w:w="4253"/>
      </w:tblGrid>
      <w:tr w:rsidR="00F83E4B" w:rsidRPr="00B16E6B" w14:paraId="5BC684EF" w14:textId="77777777" w:rsidTr="00F83E4B">
        <w:trPr>
          <w:trHeight w:val="173"/>
          <w:tblHeader/>
        </w:trPr>
        <w:tc>
          <w:tcPr>
            <w:tcW w:w="3309" w:type="dxa"/>
            <w:tcBorders>
              <w:top w:val="single" w:sz="4" w:space="0" w:color="BFBFBF" w:themeColor="background2" w:themeShade="BF"/>
              <w:left w:val="nil"/>
              <w:bottom w:val="single" w:sz="4" w:space="0" w:color="BFBFBF" w:themeColor="background2" w:themeShade="BF"/>
              <w:right w:val="nil"/>
            </w:tcBorders>
            <w:shd w:val="clear" w:color="auto" w:fill="E1E9F0" w:themeFill="accent1" w:themeFillTint="1A"/>
            <w:vAlign w:val="center"/>
            <w:hideMark/>
          </w:tcPr>
          <w:p w14:paraId="3A6FCF3D" w14:textId="36E3219D" w:rsidR="00F83E4B" w:rsidRPr="00B16E6B" w:rsidRDefault="00F83E4B" w:rsidP="009613E1">
            <w:pPr>
              <w:pStyle w:val="Heading3"/>
              <w:spacing w:before="60" w:after="60" w:line="271" w:lineRule="auto"/>
              <w:jc w:val="center"/>
              <w:outlineLvl w:val="2"/>
              <w:rPr>
                <w:rFonts w:asciiTheme="minorHAnsi" w:hAnsiTheme="minorHAnsi" w:cs="Arial"/>
                <w:b/>
                <w:bCs/>
                <w:color w:val="auto"/>
                <w:sz w:val="20"/>
                <w:szCs w:val="20"/>
              </w:rPr>
            </w:pPr>
          </w:p>
        </w:tc>
        <w:tc>
          <w:tcPr>
            <w:tcW w:w="6614" w:type="dxa"/>
            <w:tcBorders>
              <w:top w:val="single" w:sz="4" w:space="0" w:color="BFBFBF" w:themeColor="background2" w:themeShade="BF"/>
              <w:left w:val="nil"/>
              <w:bottom w:val="single" w:sz="4" w:space="0" w:color="BFBFBF" w:themeColor="background2" w:themeShade="BF"/>
              <w:right w:val="nil"/>
            </w:tcBorders>
            <w:shd w:val="clear" w:color="auto" w:fill="E1E9F0" w:themeFill="accent1" w:themeFillTint="1A"/>
            <w:vAlign w:val="center"/>
          </w:tcPr>
          <w:p w14:paraId="6E6E1E6A" w14:textId="7EB5899E" w:rsidR="00F83E4B" w:rsidRPr="00B16E6B" w:rsidRDefault="00F83E4B" w:rsidP="009613E1">
            <w:pPr>
              <w:pStyle w:val="Heading3"/>
              <w:spacing w:before="60" w:after="60" w:line="271" w:lineRule="auto"/>
              <w:jc w:val="center"/>
              <w:outlineLvl w:val="2"/>
              <w:rPr>
                <w:rFonts w:asciiTheme="minorHAnsi" w:hAnsiTheme="minorHAnsi" w:cs="Arial"/>
                <w:b/>
                <w:bCs/>
                <w:color w:val="auto"/>
                <w:sz w:val="20"/>
                <w:szCs w:val="20"/>
              </w:rPr>
            </w:pPr>
            <w:r w:rsidRPr="00F83E4B">
              <w:rPr>
                <w:rFonts w:asciiTheme="minorHAnsi" w:hAnsiTheme="minorHAnsi" w:cs="Arial"/>
                <w:b/>
                <w:bCs/>
                <w:color w:val="auto"/>
                <w:sz w:val="20"/>
                <w:szCs w:val="20"/>
              </w:rPr>
              <w:t>Robust compliance and enforcement framework</w:t>
            </w:r>
          </w:p>
        </w:tc>
        <w:tc>
          <w:tcPr>
            <w:tcW w:w="4253" w:type="dxa"/>
            <w:tcBorders>
              <w:top w:val="single" w:sz="4" w:space="0" w:color="BFBFBF" w:themeColor="background2" w:themeShade="BF"/>
              <w:left w:val="nil"/>
              <w:bottom w:val="single" w:sz="4" w:space="0" w:color="BFBFBF" w:themeColor="background2" w:themeShade="BF"/>
              <w:right w:val="nil"/>
            </w:tcBorders>
            <w:shd w:val="clear" w:color="auto" w:fill="E1E9F0" w:themeFill="accent1" w:themeFillTint="1A"/>
            <w:vAlign w:val="center"/>
          </w:tcPr>
          <w:p w14:paraId="52EFFCEA" w14:textId="7D4425EC" w:rsidR="00F83E4B" w:rsidRPr="00B16E6B" w:rsidRDefault="00F83E4B" w:rsidP="009613E1">
            <w:pPr>
              <w:pStyle w:val="Heading3"/>
              <w:spacing w:before="60" w:after="60" w:line="271" w:lineRule="auto"/>
              <w:jc w:val="center"/>
              <w:outlineLvl w:val="2"/>
              <w:rPr>
                <w:rFonts w:asciiTheme="minorHAnsi" w:hAnsiTheme="minorHAnsi" w:cs="Arial"/>
                <w:b/>
                <w:bCs/>
                <w:color w:val="auto"/>
                <w:sz w:val="20"/>
                <w:szCs w:val="20"/>
              </w:rPr>
            </w:pPr>
          </w:p>
        </w:tc>
      </w:tr>
      <w:tr w:rsidR="00302889" w:rsidRPr="00B16E6B" w14:paraId="64EACE3A" w14:textId="77777777" w:rsidTr="00877704">
        <w:trPr>
          <w:tblHeader/>
        </w:trPr>
        <w:tc>
          <w:tcPr>
            <w:tcW w:w="3309" w:type="dxa"/>
            <w:tcBorders>
              <w:top w:val="single" w:sz="4" w:space="0" w:color="BFBFBF" w:themeColor="background2" w:themeShade="BF"/>
              <w:left w:val="nil"/>
              <w:bottom w:val="single" w:sz="4" w:space="0" w:color="BFBFBF" w:themeColor="background2" w:themeShade="BF"/>
              <w:right w:val="single" w:sz="4" w:space="0" w:color="BFBFBF" w:themeColor="background2" w:themeShade="BF"/>
            </w:tcBorders>
            <w:shd w:val="clear" w:color="auto" w:fill="F2F2F2" w:themeFill="background2" w:themeFillShade="F2"/>
            <w:vAlign w:val="center"/>
            <w:hideMark/>
          </w:tcPr>
          <w:p w14:paraId="69E69C30" w14:textId="2D866D31" w:rsidR="00302889" w:rsidRPr="00B16E6B" w:rsidRDefault="00302889" w:rsidP="00555F30">
            <w:pPr>
              <w:pStyle w:val="Heading3"/>
              <w:spacing w:before="20" w:after="20" w:line="271" w:lineRule="auto"/>
              <w:outlineLvl w:val="2"/>
              <w:rPr>
                <w:rFonts w:asciiTheme="minorHAnsi" w:hAnsiTheme="minorHAnsi" w:cs="Arial"/>
                <w:color w:val="auto"/>
                <w:sz w:val="20"/>
                <w:szCs w:val="20"/>
              </w:rPr>
            </w:pPr>
            <w:r w:rsidRPr="00B16E6B">
              <w:rPr>
                <w:rFonts w:asciiTheme="minorHAnsi" w:hAnsiTheme="minorHAnsi" w:cs="Arial"/>
                <w:b/>
                <w:bCs/>
                <w:color w:val="auto"/>
                <w:sz w:val="20"/>
                <w:szCs w:val="20"/>
              </w:rPr>
              <w:t xml:space="preserve">Measure 7: </w:t>
            </w:r>
            <w:r w:rsidR="00555F30" w:rsidRPr="00B16E6B">
              <w:rPr>
                <w:rFonts w:asciiTheme="minorHAnsi" w:eastAsiaTheme="minorEastAsia" w:hAnsiTheme="minorHAnsi" w:cs="Arial"/>
                <w:color w:val="auto"/>
                <w:sz w:val="20"/>
                <w:szCs w:val="20"/>
              </w:rPr>
              <w:t xml:space="preserve">Align </w:t>
            </w:r>
            <w:r w:rsidR="00E27C37" w:rsidRPr="00B16E6B">
              <w:rPr>
                <w:rFonts w:asciiTheme="minorHAnsi" w:eastAsiaTheme="minorEastAsia" w:hAnsiTheme="minorHAnsi" w:cs="Arial"/>
                <w:color w:val="auto"/>
                <w:sz w:val="20"/>
                <w:szCs w:val="20"/>
              </w:rPr>
              <w:t>SSD powers</w:t>
            </w:r>
            <w:r w:rsidR="00555F30" w:rsidRPr="00B16E6B">
              <w:rPr>
                <w:rFonts w:asciiTheme="minorHAnsi" w:eastAsiaTheme="minorEastAsia" w:hAnsiTheme="minorHAnsi" w:cs="Arial"/>
                <w:color w:val="auto"/>
                <w:sz w:val="20"/>
                <w:szCs w:val="20"/>
              </w:rPr>
              <w:t xml:space="preserve"> to be given where there is specific, </w:t>
            </w:r>
            <w:r w:rsidR="00E27C37" w:rsidRPr="00B16E6B">
              <w:rPr>
                <w:rFonts w:asciiTheme="minorHAnsi" w:eastAsiaTheme="minorEastAsia" w:hAnsiTheme="minorHAnsi" w:cs="Arial"/>
                <w:color w:val="auto"/>
                <w:sz w:val="20"/>
                <w:szCs w:val="20"/>
              </w:rPr>
              <w:t xml:space="preserve">or changed general threat </w:t>
            </w:r>
            <w:r w:rsidR="00555F30" w:rsidRPr="00B16E6B">
              <w:rPr>
                <w:rFonts w:asciiTheme="minorHAnsi" w:eastAsiaTheme="minorEastAsia" w:hAnsiTheme="minorHAnsi" w:cs="Arial"/>
                <w:color w:val="auto"/>
                <w:sz w:val="20"/>
                <w:szCs w:val="20"/>
              </w:rPr>
              <w:t xml:space="preserve">or risk </w:t>
            </w:r>
            <w:r w:rsidR="00E27C37" w:rsidRPr="00B16E6B">
              <w:rPr>
                <w:rFonts w:asciiTheme="minorHAnsi" w:eastAsiaTheme="minorEastAsia" w:hAnsiTheme="minorHAnsi" w:cs="Arial"/>
                <w:color w:val="auto"/>
                <w:sz w:val="20"/>
                <w:szCs w:val="20"/>
              </w:rPr>
              <w:t>across all hazards</w:t>
            </w:r>
          </w:p>
        </w:tc>
        <w:tc>
          <w:tcPr>
            <w:tcW w:w="6614" w:type="dxa"/>
            <w:tcBorders>
              <w:top w:val="single" w:sz="4" w:space="0" w:color="BFBFBF" w:themeColor="background2" w:themeShade="BF"/>
              <w:left w:val="single" w:sz="4" w:space="0" w:color="BFBFBF" w:themeColor="background2" w:themeShade="BF"/>
              <w:bottom w:val="single" w:sz="4" w:space="0" w:color="BFBFBF" w:themeColor="background2" w:themeShade="BF"/>
            </w:tcBorders>
            <w:vAlign w:val="center"/>
            <w:hideMark/>
          </w:tcPr>
          <w:p w14:paraId="4F02D5B2" w14:textId="77777777" w:rsidR="00302889" w:rsidRPr="00B16E6B" w:rsidRDefault="00302889" w:rsidP="009613E1">
            <w:pPr>
              <w:spacing w:before="20" w:after="20" w:line="271" w:lineRule="auto"/>
              <w:rPr>
                <w:rFonts w:cs="Arial"/>
                <w:sz w:val="20"/>
                <w:szCs w:val="20"/>
              </w:rPr>
            </w:pPr>
            <w:r w:rsidRPr="00B16E6B">
              <w:rPr>
                <w:rFonts w:cs="Arial"/>
                <w:sz w:val="20"/>
                <w:szCs w:val="20"/>
              </w:rPr>
              <w:t xml:space="preserve">Potential impacts depend on the nature of the direction, including time and costs associated with responding to the direction. These impacts </w:t>
            </w:r>
            <w:r w:rsidR="001E2C8D" w:rsidRPr="00B16E6B">
              <w:rPr>
                <w:rFonts w:cs="Arial"/>
                <w:sz w:val="20"/>
                <w:szCs w:val="20"/>
              </w:rPr>
              <w:t>are</w:t>
            </w:r>
            <w:r w:rsidRPr="00B16E6B">
              <w:rPr>
                <w:rFonts w:cs="Arial"/>
                <w:sz w:val="20"/>
                <w:szCs w:val="20"/>
              </w:rPr>
              <w:t xml:space="preserve"> limited by the fact that an SSD power already exists.</w:t>
            </w:r>
            <w:r w:rsidR="001E2C8D" w:rsidRPr="00B16E6B">
              <w:rPr>
                <w:rFonts w:cs="Arial"/>
                <w:sz w:val="20"/>
                <w:szCs w:val="20"/>
              </w:rPr>
              <w:t xml:space="preserve"> This cost will create no cost impact for industry </w:t>
            </w:r>
          </w:p>
        </w:tc>
        <w:tc>
          <w:tcPr>
            <w:tcW w:w="4253" w:type="dxa"/>
            <w:tcBorders>
              <w:top w:val="single" w:sz="4" w:space="0" w:color="BFBFBF" w:themeColor="background2" w:themeShade="BF"/>
              <w:left w:val="single" w:sz="4" w:space="0" w:color="BFBFBF" w:themeColor="background2" w:themeShade="BF"/>
              <w:bottom w:val="single" w:sz="4" w:space="0" w:color="BFBFBF" w:themeColor="background2" w:themeShade="BF"/>
            </w:tcBorders>
            <w:shd w:val="clear" w:color="auto" w:fill="FFFFFF" w:themeFill="background1"/>
            <w:vAlign w:val="center"/>
          </w:tcPr>
          <w:p w14:paraId="3ACCFBF6" w14:textId="77777777" w:rsidR="00302889" w:rsidRPr="00B16E6B" w:rsidRDefault="00D970DC" w:rsidP="009613E1">
            <w:pPr>
              <w:spacing w:before="20" w:after="20" w:line="271" w:lineRule="auto"/>
              <w:rPr>
                <w:rFonts w:cs="Arial"/>
                <w:sz w:val="20"/>
                <w:szCs w:val="20"/>
              </w:rPr>
            </w:pPr>
            <w:r w:rsidRPr="00B16E6B">
              <w:rPr>
                <w:rFonts w:cs="Arial"/>
                <w:sz w:val="20"/>
                <w:szCs w:val="20"/>
              </w:rPr>
              <w:t>Submissions from industry indicated either agreement or did not disagree that there will be nil cost impact to industry</w:t>
            </w:r>
          </w:p>
        </w:tc>
      </w:tr>
      <w:tr w:rsidR="00302889" w:rsidRPr="00B16E6B" w14:paraId="16CC5CE4" w14:textId="77777777" w:rsidTr="00877704">
        <w:trPr>
          <w:tblHeader/>
        </w:trPr>
        <w:tc>
          <w:tcPr>
            <w:tcW w:w="3309" w:type="dxa"/>
            <w:tcBorders>
              <w:top w:val="single" w:sz="4" w:space="0" w:color="BFBFBF" w:themeColor="background2" w:themeShade="BF"/>
              <w:left w:val="nil"/>
              <w:bottom w:val="single" w:sz="4" w:space="0" w:color="BFBFBF" w:themeColor="background2" w:themeShade="BF"/>
              <w:right w:val="single" w:sz="4" w:space="0" w:color="BFBFBF" w:themeColor="background2" w:themeShade="BF"/>
            </w:tcBorders>
            <w:shd w:val="clear" w:color="auto" w:fill="F2F2F2" w:themeFill="background2" w:themeFillShade="F2"/>
            <w:vAlign w:val="center"/>
            <w:hideMark/>
          </w:tcPr>
          <w:p w14:paraId="1EF67A50" w14:textId="77777777" w:rsidR="00302889" w:rsidRPr="00B16E6B" w:rsidRDefault="00302889" w:rsidP="009613E1">
            <w:pPr>
              <w:spacing w:before="20" w:after="20" w:line="271" w:lineRule="auto"/>
              <w:rPr>
                <w:rFonts w:cs="Arial"/>
                <w:sz w:val="20"/>
                <w:szCs w:val="20"/>
              </w:rPr>
            </w:pPr>
            <w:r w:rsidRPr="00B16E6B">
              <w:rPr>
                <w:rFonts w:cs="Arial"/>
                <w:b/>
                <w:bCs/>
                <w:sz w:val="20"/>
                <w:szCs w:val="20"/>
              </w:rPr>
              <w:t xml:space="preserve">Measure 8: </w:t>
            </w:r>
            <w:r w:rsidRPr="00B16E6B">
              <w:rPr>
                <w:rFonts w:cs="Arial"/>
                <w:sz w:val="20"/>
                <w:szCs w:val="20"/>
              </w:rPr>
              <w:t>Extend the demerit points system to the air cargo sector. Compliance activities are already conducted against the air cargo sector, and this reform will allow for an accumulation of non</w:t>
            </w:r>
            <w:r w:rsidRPr="00B16E6B">
              <w:rPr>
                <w:rFonts w:cs="Arial"/>
                <w:sz w:val="20"/>
                <w:szCs w:val="20"/>
              </w:rPr>
              <w:noBreakHyphen/>
              <w:t>compliance to result in cancellation or revocation of their security program</w:t>
            </w:r>
          </w:p>
        </w:tc>
        <w:tc>
          <w:tcPr>
            <w:tcW w:w="6614"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vAlign w:val="center"/>
            <w:hideMark/>
          </w:tcPr>
          <w:p w14:paraId="70BF1079" w14:textId="77777777" w:rsidR="00302889" w:rsidRPr="00B16E6B" w:rsidRDefault="00302889" w:rsidP="009613E1">
            <w:pPr>
              <w:spacing w:before="20" w:after="20" w:line="271" w:lineRule="auto"/>
              <w:rPr>
                <w:rFonts w:cs="Arial"/>
                <w:sz w:val="20"/>
                <w:szCs w:val="20"/>
              </w:rPr>
            </w:pPr>
            <w:r w:rsidRPr="00B16E6B">
              <w:rPr>
                <w:rFonts w:cs="Arial"/>
                <w:sz w:val="20"/>
                <w:szCs w:val="20"/>
              </w:rPr>
              <w:t xml:space="preserve">It is expected that where there is no change to existing compliance activities and no new industry participants are captured by compliance requirements, there will be nil </w:t>
            </w:r>
            <w:r w:rsidR="001E2C8D" w:rsidRPr="00B16E6B">
              <w:rPr>
                <w:rFonts w:cs="Arial"/>
                <w:sz w:val="20"/>
                <w:szCs w:val="20"/>
              </w:rPr>
              <w:t xml:space="preserve">cost </w:t>
            </w:r>
            <w:r w:rsidRPr="00B16E6B">
              <w:rPr>
                <w:rFonts w:cs="Arial"/>
                <w:sz w:val="20"/>
                <w:szCs w:val="20"/>
              </w:rPr>
              <w:t xml:space="preserve">impact </w:t>
            </w:r>
            <w:r w:rsidR="001E2C8D" w:rsidRPr="00B16E6B">
              <w:rPr>
                <w:rFonts w:cs="Arial"/>
                <w:sz w:val="20"/>
                <w:szCs w:val="20"/>
              </w:rPr>
              <w:t>to industry</w:t>
            </w:r>
            <w:r w:rsidRPr="00B16E6B">
              <w:rPr>
                <w:rFonts w:cs="Arial"/>
                <w:sz w:val="20"/>
                <w:szCs w:val="20"/>
              </w:rPr>
              <w:t xml:space="preserve"> </w:t>
            </w:r>
          </w:p>
        </w:tc>
        <w:tc>
          <w:tcPr>
            <w:tcW w:w="4253" w:type="dxa"/>
            <w:tcBorders>
              <w:top w:val="single" w:sz="4" w:space="0" w:color="BFBFBF" w:themeColor="background2" w:themeShade="BF"/>
              <w:left w:val="single" w:sz="4" w:space="0" w:color="BFBFBF" w:themeColor="background2" w:themeShade="BF"/>
              <w:bottom w:val="single" w:sz="4" w:space="0" w:color="BFBFBF" w:themeColor="background2" w:themeShade="BF"/>
              <w:right w:val="nil"/>
            </w:tcBorders>
            <w:shd w:val="clear" w:color="auto" w:fill="FFFFFF" w:themeFill="background1"/>
            <w:vAlign w:val="center"/>
          </w:tcPr>
          <w:p w14:paraId="6CE7E1BF" w14:textId="77777777" w:rsidR="00302889" w:rsidRPr="00B16E6B" w:rsidRDefault="00D970DC" w:rsidP="009613E1">
            <w:pPr>
              <w:spacing w:before="20" w:after="20" w:line="271" w:lineRule="auto"/>
              <w:rPr>
                <w:rFonts w:cs="Arial"/>
                <w:sz w:val="20"/>
                <w:szCs w:val="20"/>
              </w:rPr>
            </w:pPr>
            <w:r w:rsidRPr="00B16E6B">
              <w:rPr>
                <w:rFonts w:cs="Arial"/>
                <w:sz w:val="20"/>
                <w:szCs w:val="20"/>
              </w:rPr>
              <w:t>Submissions from industry indicated either agreement or did not disagree that there will be nil cost impact to industry</w:t>
            </w:r>
          </w:p>
        </w:tc>
      </w:tr>
      <w:tr w:rsidR="00F83E4B" w:rsidRPr="00B16E6B" w14:paraId="5D6A41DD" w14:textId="77777777" w:rsidTr="00F83E4B">
        <w:trPr>
          <w:tblHeader/>
        </w:trPr>
        <w:tc>
          <w:tcPr>
            <w:tcW w:w="3309" w:type="dxa"/>
            <w:tcBorders>
              <w:top w:val="single" w:sz="4" w:space="0" w:color="BFBFBF" w:themeColor="background2" w:themeShade="BF"/>
              <w:left w:val="nil"/>
              <w:bottom w:val="single" w:sz="4" w:space="0" w:color="BFBFBF" w:themeColor="background2" w:themeShade="BF"/>
              <w:right w:val="nil"/>
            </w:tcBorders>
            <w:shd w:val="clear" w:color="auto" w:fill="E1E9F0" w:themeFill="accent1" w:themeFillTint="1A"/>
            <w:vAlign w:val="center"/>
            <w:hideMark/>
          </w:tcPr>
          <w:p w14:paraId="2D2C5470" w14:textId="2A6E0798" w:rsidR="00F83E4B" w:rsidRPr="00B16E6B" w:rsidRDefault="00F83E4B" w:rsidP="009613E1">
            <w:pPr>
              <w:keepNext/>
              <w:keepLines/>
              <w:spacing w:before="60" w:after="60" w:line="271" w:lineRule="auto"/>
              <w:jc w:val="center"/>
            </w:pPr>
            <w:r w:rsidRPr="00B16E6B">
              <w:br w:type="page"/>
            </w:r>
          </w:p>
        </w:tc>
        <w:tc>
          <w:tcPr>
            <w:tcW w:w="6614" w:type="dxa"/>
            <w:tcBorders>
              <w:top w:val="single" w:sz="4" w:space="0" w:color="BFBFBF" w:themeColor="background2" w:themeShade="BF"/>
              <w:left w:val="nil"/>
              <w:bottom w:val="single" w:sz="4" w:space="0" w:color="BFBFBF" w:themeColor="background2" w:themeShade="BF"/>
              <w:right w:val="nil"/>
            </w:tcBorders>
            <w:shd w:val="clear" w:color="auto" w:fill="E1E9F0" w:themeFill="accent1" w:themeFillTint="1A"/>
            <w:vAlign w:val="center"/>
          </w:tcPr>
          <w:p w14:paraId="18B012D3" w14:textId="720EE958" w:rsidR="00F83E4B" w:rsidRPr="00B16E6B" w:rsidRDefault="00F83E4B" w:rsidP="009613E1">
            <w:pPr>
              <w:keepNext/>
              <w:keepLines/>
              <w:spacing w:before="60" w:after="60" w:line="271" w:lineRule="auto"/>
              <w:jc w:val="center"/>
            </w:pPr>
            <w:r w:rsidRPr="00B16E6B">
              <w:rPr>
                <w:rFonts w:cs="Arial"/>
                <w:b/>
                <w:bCs/>
                <w:sz w:val="20"/>
                <w:szCs w:val="20"/>
              </w:rPr>
              <w:t>Modernisation and proportionate regulation</w:t>
            </w:r>
          </w:p>
        </w:tc>
        <w:tc>
          <w:tcPr>
            <w:tcW w:w="4253" w:type="dxa"/>
            <w:tcBorders>
              <w:top w:val="single" w:sz="4" w:space="0" w:color="BFBFBF" w:themeColor="background2" w:themeShade="BF"/>
              <w:left w:val="nil"/>
              <w:bottom w:val="single" w:sz="4" w:space="0" w:color="BFBFBF" w:themeColor="background2" w:themeShade="BF"/>
              <w:right w:val="nil"/>
            </w:tcBorders>
            <w:shd w:val="clear" w:color="auto" w:fill="E1E9F0" w:themeFill="accent1" w:themeFillTint="1A"/>
            <w:vAlign w:val="center"/>
          </w:tcPr>
          <w:p w14:paraId="39145E16" w14:textId="393479AB" w:rsidR="00F83E4B" w:rsidRPr="00B16E6B" w:rsidRDefault="00F83E4B" w:rsidP="009613E1">
            <w:pPr>
              <w:keepNext/>
              <w:keepLines/>
              <w:spacing w:before="60" w:after="60" w:line="271" w:lineRule="auto"/>
              <w:jc w:val="center"/>
            </w:pPr>
          </w:p>
        </w:tc>
      </w:tr>
      <w:tr w:rsidR="00302889" w:rsidRPr="00B16E6B" w14:paraId="142F0685" w14:textId="77777777" w:rsidTr="00877704">
        <w:trPr>
          <w:tblHeader/>
        </w:trPr>
        <w:tc>
          <w:tcPr>
            <w:tcW w:w="3309" w:type="dxa"/>
            <w:tcBorders>
              <w:top w:val="single" w:sz="4" w:space="0" w:color="BFBFBF" w:themeColor="background2" w:themeShade="BF"/>
              <w:left w:val="nil"/>
              <w:bottom w:val="single" w:sz="4" w:space="0" w:color="BFBFBF" w:themeColor="background2" w:themeShade="BF"/>
              <w:right w:val="single" w:sz="4" w:space="0" w:color="BFBFBF" w:themeColor="background2" w:themeShade="BF"/>
            </w:tcBorders>
            <w:shd w:val="clear" w:color="auto" w:fill="F2F2F2" w:themeFill="background2" w:themeFillShade="F2"/>
            <w:vAlign w:val="center"/>
            <w:hideMark/>
          </w:tcPr>
          <w:p w14:paraId="506DAD40" w14:textId="77777777" w:rsidR="00302889" w:rsidRPr="00B16E6B" w:rsidRDefault="00302889" w:rsidP="009613E1">
            <w:pPr>
              <w:spacing w:before="20" w:after="20" w:line="271" w:lineRule="auto"/>
              <w:rPr>
                <w:rFonts w:eastAsiaTheme="majorEastAsia" w:cs="Arial"/>
                <w:sz w:val="20"/>
                <w:szCs w:val="20"/>
              </w:rPr>
            </w:pPr>
            <w:r w:rsidRPr="00B16E6B">
              <w:rPr>
                <w:rFonts w:cs="Arial"/>
                <w:b/>
                <w:bCs/>
                <w:sz w:val="20"/>
                <w:szCs w:val="20"/>
              </w:rPr>
              <w:t xml:space="preserve">Measure 9: </w:t>
            </w:r>
            <w:r w:rsidR="00571419" w:rsidRPr="00B16E6B">
              <w:rPr>
                <w:rFonts w:eastAsiaTheme="majorEastAsia" w:cs="Arial"/>
                <w:sz w:val="20"/>
                <w:szCs w:val="20"/>
              </w:rPr>
              <w:t>Allow training requirements for cargo-examining aircraft operators to be made through determinations to align with the rest of the air cargo sector</w:t>
            </w:r>
          </w:p>
        </w:tc>
        <w:tc>
          <w:tcPr>
            <w:tcW w:w="6614"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vAlign w:val="center"/>
            <w:hideMark/>
          </w:tcPr>
          <w:p w14:paraId="1A9C54A8" w14:textId="77777777" w:rsidR="00302889" w:rsidRPr="00B16E6B" w:rsidRDefault="00302889" w:rsidP="009613E1">
            <w:pPr>
              <w:keepNext/>
              <w:keepLines/>
              <w:spacing w:before="20" w:after="20" w:line="271" w:lineRule="auto"/>
              <w:rPr>
                <w:rFonts w:cs="Arial"/>
                <w:sz w:val="20"/>
                <w:szCs w:val="20"/>
              </w:rPr>
            </w:pPr>
            <w:r w:rsidRPr="00B16E6B">
              <w:rPr>
                <w:rFonts w:cs="Arial"/>
                <w:sz w:val="20"/>
                <w:szCs w:val="20"/>
              </w:rPr>
              <w:t>It is expected the change will have a nil impact to industry participants, as there will be no change to training requirements, only how they are prescribed</w:t>
            </w:r>
          </w:p>
        </w:tc>
        <w:tc>
          <w:tcPr>
            <w:tcW w:w="4253" w:type="dxa"/>
            <w:tcBorders>
              <w:top w:val="single" w:sz="4" w:space="0" w:color="BFBFBF" w:themeColor="background2" w:themeShade="BF"/>
              <w:left w:val="single" w:sz="4" w:space="0" w:color="BFBFBF" w:themeColor="background2" w:themeShade="BF"/>
              <w:bottom w:val="single" w:sz="4" w:space="0" w:color="BFBFBF" w:themeColor="background2" w:themeShade="BF"/>
              <w:right w:val="nil"/>
            </w:tcBorders>
            <w:shd w:val="clear" w:color="auto" w:fill="auto"/>
            <w:vAlign w:val="center"/>
          </w:tcPr>
          <w:p w14:paraId="7A6873CA" w14:textId="77777777" w:rsidR="00302889" w:rsidRPr="00B16E6B" w:rsidRDefault="00D970DC" w:rsidP="009613E1">
            <w:pPr>
              <w:spacing w:before="20" w:after="20" w:line="271" w:lineRule="auto"/>
              <w:rPr>
                <w:rFonts w:cs="Arial"/>
                <w:sz w:val="20"/>
                <w:szCs w:val="20"/>
              </w:rPr>
            </w:pPr>
            <w:r w:rsidRPr="00B16E6B">
              <w:rPr>
                <w:rFonts w:cs="Arial"/>
                <w:sz w:val="20"/>
                <w:szCs w:val="20"/>
              </w:rPr>
              <w:t>Submissions from industry indicated either agreement or did not disagree that there will be nil cost impact to industry</w:t>
            </w:r>
          </w:p>
        </w:tc>
      </w:tr>
      <w:tr w:rsidR="00302889" w:rsidRPr="00B16E6B" w14:paraId="64482A6A" w14:textId="77777777" w:rsidTr="00877704">
        <w:trPr>
          <w:tblHeader/>
        </w:trPr>
        <w:tc>
          <w:tcPr>
            <w:tcW w:w="3309" w:type="dxa"/>
            <w:tcBorders>
              <w:top w:val="single" w:sz="4" w:space="0" w:color="BFBFBF" w:themeColor="background2" w:themeShade="BF"/>
              <w:left w:val="nil"/>
              <w:bottom w:val="single" w:sz="4" w:space="0" w:color="BFBFBF" w:themeColor="background2" w:themeShade="BF"/>
              <w:right w:val="single" w:sz="4" w:space="0" w:color="BFBFBF" w:themeColor="background2" w:themeShade="BF"/>
            </w:tcBorders>
            <w:shd w:val="clear" w:color="auto" w:fill="F2F2F2" w:themeFill="background2" w:themeFillShade="F2"/>
            <w:vAlign w:val="center"/>
            <w:hideMark/>
          </w:tcPr>
          <w:p w14:paraId="6B19D2C9" w14:textId="77777777" w:rsidR="00302889" w:rsidRPr="00B16E6B" w:rsidRDefault="00302889" w:rsidP="009613E1">
            <w:pPr>
              <w:pStyle w:val="Heading3"/>
              <w:spacing w:before="20" w:after="20" w:line="271" w:lineRule="auto"/>
              <w:outlineLvl w:val="2"/>
              <w:rPr>
                <w:rFonts w:asciiTheme="minorHAnsi" w:hAnsiTheme="minorHAnsi" w:cs="Arial"/>
                <w:color w:val="auto"/>
                <w:sz w:val="20"/>
                <w:szCs w:val="20"/>
              </w:rPr>
            </w:pPr>
            <w:r w:rsidRPr="00B16E6B">
              <w:rPr>
                <w:rFonts w:asciiTheme="minorHAnsi" w:hAnsiTheme="minorHAnsi" w:cs="Arial"/>
                <w:b/>
                <w:color w:val="auto"/>
                <w:sz w:val="20"/>
                <w:szCs w:val="20"/>
              </w:rPr>
              <w:t>Measure 10:</w:t>
            </w:r>
            <w:r w:rsidRPr="00B16E6B">
              <w:rPr>
                <w:rFonts w:asciiTheme="minorHAnsi" w:hAnsiTheme="minorHAnsi" w:cs="Arial"/>
                <w:color w:val="auto"/>
                <w:sz w:val="20"/>
                <w:szCs w:val="20"/>
              </w:rPr>
              <w:t xml:space="preserve"> Align the powers for authorising </w:t>
            </w:r>
            <w:r w:rsidR="001E2C8D" w:rsidRPr="00B16E6B">
              <w:rPr>
                <w:rFonts w:asciiTheme="minorHAnsi" w:hAnsiTheme="minorHAnsi" w:cs="Arial"/>
                <w:color w:val="auto"/>
                <w:sz w:val="20"/>
                <w:szCs w:val="20"/>
              </w:rPr>
              <w:t xml:space="preserve">a </w:t>
            </w:r>
            <w:r w:rsidRPr="00B16E6B">
              <w:rPr>
                <w:rFonts w:asciiTheme="minorHAnsi" w:hAnsiTheme="minorHAnsi" w:cs="Arial"/>
                <w:color w:val="auto"/>
                <w:sz w:val="20"/>
                <w:szCs w:val="20"/>
              </w:rPr>
              <w:t>charging fee for issuing a security identification card across the transport security legislative frameworks</w:t>
            </w:r>
          </w:p>
        </w:tc>
        <w:tc>
          <w:tcPr>
            <w:tcW w:w="6614"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vAlign w:val="center"/>
            <w:hideMark/>
          </w:tcPr>
          <w:p w14:paraId="58B86B3E" w14:textId="2239CE99" w:rsidR="00302889" w:rsidRPr="00B16E6B" w:rsidRDefault="009250C3" w:rsidP="009613E1">
            <w:pPr>
              <w:spacing w:before="120" w:after="120" w:line="271" w:lineRule="auto"/>
              <w:rPr>
                <w:rFonts w:ascii="Arial" w:eastAsiaTheme="minorHAnsi" w:hAnsi="Arial" w:cs="Arial"/>
                <w:sz w:val="20"/>
                <w:szCs w:val="20"/>
              </w:rPr>
            </w:pPr>
            <w:r w:rsidRPr="00B16E6B">
              <w:rPr>
                <w:rFonts w:eastAsiaTheme="majorEastAsia" w:cs="Arial"/>
                <w:sz w:val="20"/>
                <w:szCs w:val="20"/>
              </w:rPr>
              <w:t>Minimal cost impacts to industry due to this change noting that some costs (e.g. associated with producing an aviation security identification card, hereto referred to as an ASIC) are already recovered</w:t>
            </w:r>
          </w:p>
        </w:tc>
        <w:tc>
          <w:tcPr>
            <w:tcW w:w="4253" w:type="dxa"/>
            <w:tcBorders>
              <w:top w:val="single" w:sz="4" w:space="0" w:color="BFBFBF" w:themeColor="background2" w:themeShade="BF"/>
              <w:left w:val="single" w:sz="4" w:space="0" w:color="BFBFBF" w:themeColor="background2" w:themeShade="BF"/>
              <w:bottom w:val="single" w:sz="4" w:space="0" w:color="BFBFBF" w:themeColor="background2" w:themeShade="BF"/>
              <w:right w:val="nil"/>
            </w:tcBorders>
            <w:vAlign w:val="center"/>
          </w:tcPr>
          <w:p w14:paraId="35F71E0A" w14:textId="77777777" w:rsidR="00302889" w:rsidRPr="00B16E6B" w:rsidRDefault="00D970DC" w:rsidP="009613E1">
            <w:pPr>
              <w:spacing w:before="20" w:after="20" w:line="271" w:lineRule="auto"/>
              <w:rPr>
                <w:rFonts w:cs="Arial"/>
                <w:sz w:val="20"/>
                <w:szCs w:val="20"/>
              </w:rPr>
            </w:pPr>
            <w:r w:rsidRPr="00B16E6B">
              <w:rPr>
                <w:rFonts w:cs="Arial"/>
                <w:sz w:val="20"/>
                <w:szCs w:val="20"/>
              </w:rPr>
              <w:t>Submissions from industry indicated either agreement or did not disagree that there will be nil cost impact to industry</w:t>
            </w:r>
          </w:p>
        </w:tc>
      </w:tr>
      <w:tr w:rsidR="00656B7A" w:rsidRPr="00B16E6B" w14:paraId="4DED68CB" w14:textId="77777777" w:rsidTr="00877704">
        <w:trPr>
          <w:tblHeader/>
        </w:trPr>
        <w:tc>
          <w:tcPr>
            <w:tcW w:w="3309" w:type="dxa"/>
            <w:tcBorders>
              <w:top w:val="single" w:sz="4" w:space="0" w:color="BFBFBF" w:themeColor="background2" w:themeShade="BF"/>
              <w:left w:val="nil"/>
              <w:bottom w:val="single" w:sz="4" w:space="0" w:color="BFBFBF" w:themeColor="background2" w:themeShade="BF"/>
              <w:right w:val="single" w:sz="4" w:space="0" w:color="BFBFBF" w:themeColor="background2" w:themeShade="BF"/>
            </w:tcBorders>
            <w:shd w:val="clear" w:color="auto" w:fill="F2F2F2" w:themeFill="background2" w:themeFillShade="F2"/>
            <w:vAlign w:val="center"/>
          </w:tcPr>
          <w:p w14:paraId="3F901AF8" w14:textId="77777777" w:rsidR="00656B7A" w:rsidRPr="00B16E6B" w:rsidRDefault="00656B7A" w:rsidP="009613E1">
            <w:pPr>
              <w:pStyle w:val="Heading3"/>
              <w:spacing w:before="20" w:after="20" w:line="271" w:lineRule="auto"/>
              <w:outlineLvl w:val="2"/>
              <w:rPr>
                <w:rFonts w:asciiTheme="minorHAnsi" w:hAnsiTheme="minorHAnsi" w:cs="Arial"/>
                <w:bCs/>
                <w:color w:val="auto"/>
                <w:sz w:val="20"/>
                <w:szCs w:val="20"/>
              </w:rPr>
            </w:pPr>
            <w:r w:rsidRPr="00B16E6B">
              <w:rPr>
                <w:rFonts w:asciiTheme="minorHAnsi" w:hAnsiTheme="minorHAnsi" w:cs="Arial"/>
                <w:b/>
                <w:bCs/>
                <w:color w:val="auto"/>
                <w:sz w:val="20"/>
                <w:szCs w:val="20"/>
              </w:rPr>
              <w:t>Measure 11:</w:t>
            </w:r>
            <w:r w:rsidRPr="00B16E6B">
              <w:rPr>
                <w:rFonts w:asciiTheme="minorHAnsi" w:hAnsiTheme="minorHAnsi" w:cs="Arial"/>
                <w:bCs/>
                <w:color w:val="auto"/>
                <w:sz w:val="20"/>
                <w:szCs w:val="20"/>
              </w:rPr>
              <w:t xml:space="preserve"> </w:t>
            </w:r>
            <w:r w:rsidRPr="00B16E6B">
              <w:rPr>
                <w:rFonts w:asciiTheme="minorHAnsi" w:eastAsiaTheme="minorHAnsi" w:hAnsiTheme="minorHAnsi" w:cs="Arial"/>
                <w:color w:val="auto"/>
                <w:sz w:val="20"/>
                <w:szCs w:val="20"/>
              </w:rPr>
              <w:t>Ensure maritime entities that impact critical functions are subject to security obligations</w:t>
            </w:r>
          </w:p>
        </w:tc>
        <w:tc>
          <w:tcPr>
            <w:tcW w:w="6614"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vAlign w:val="center"/>
          </w:tcPr>
          <w:p w14:paraId="16677C9B" w14:textId="77777777" w:rsidR="00656B7A" w:rsidRPr="00B16E6B" w:rsidRDefault="00656B7A" w:rsidP="009613E1">
            <w:pPr>
              <w:spacing w:before="120" w:after="120" w:line="271" w:lineRule="auto"/>
              <w:rPr>
                <w:rFonts w:cs="Arial"/>
                <w:sz w:val="20"/>
                <w:szCs w:val="20"/>
              </w:rPr>
            </w:pPr>
            <w:r w:rsidRPr="00B16E6B">
              <w:rPr>
                <w:rFonts w:cs="Arial"/>
                <w:sz w:val="20"/>
                <w:szCs w:val="20"/>
              </w:rPr>
              <w:t xml:space="preserve">It is expected some costs will arise as a result of the change, as the measure </w:t>
            </w:r>
            <w:r w:rsidR="002316B7" w:rsidRPr="00B16E6B">
              <w:rPr>
                <w:rFonts w:cs="Arial"/>
                <w:sz w:val="20"/>
                <w:szCs w:val="20"/>
              </w:rPr>
              <w:t xml:space="preserve"> may </w:t>
            </w:r>
            <w:r w:rsidRPr="00B16E6B">
              <w:rPr>
                <w:rFonts w:cs="Arial"/>
                <w:sz w:val="20"/>
                <w:szCs w:val="20"/>
              </w:rPr>
              <w:t>creat</w:t>
            </w:r>
            <w:r w:rsidR="002316B7" w:rsidRPr="00B16E6B">
              <w:rPr>
                <w:rFonts w:cs="Arial"/>
                <w:sz w:val="20"/>
                <w:szCs w:val="20"/>
              </w:rPr>
              <w:t>e</w:t>
            </w:r>
            <w:r w:rsidRPr="00B16E6B">
              <w:rPr>
                <w:rFonts w:cs="Arial"/>
                <w:sz w:val="20"/>
                <w:szCs w:val="20"/>
              </w:rPr>
              <w:t xml:space="preserve"> new obligations for </w:t>
            </w:r>
            <w:r w:rsidR="001E2C8D" w:rsidRPr="00B16E6B">
              <w:rPr>
                <w:rFonts w:cs="Arial"/>
                <w:sz w:val="20"/>
                <w:szCs w:val="20"/>
              </w:rPr>
              <w:t>some industry participants</w:t>
            </w:r>
            <w:r w:rsidRPr="00B16E6B">
              <w:rPr>
                <w:rFonts w:cs="Arial"/>
                <w:sz w:val="20"/>
                <w:szCs w:val="20"/>
              </w:rPr>
              <w:t xml:space="preserve"> </w:t>
            </w:r>
          </w:p>
        </w:tc>
        <w:tc>
          <w:tcPr>
            <w:tcW w:w="4253" w:type="dxa"/>
            <w:tcBorders>
              <w:top w:val="single" w:sz="4" w:space="0" w:color="BFBFBF" w:themeColor="background2" w:themeShade="BF"/>
              <w:left w:val="single" w:sz="4" w:space="0" w:color="BFBFBF" w:themeColor="background2" w:themeShade="BF"/>
              <w:bottom w:val="single" w:sz="4" w:space="0" w:color="BFBFBF" w:themeColor="background2" w:themeShade="BF"/>
              <w:right w:val="nil"/>
            </w:tcBorders>
            <w:shd w:val="clear" w:color="auto" w:fill="FFFFFF" w:themeFill="background1"/>
            <w:vAlign w:val="center"/>
          </w:tcPr>
          <w:p w14:paraId="1B23F7FD" w14:textId="77777777" w:rsidR="00656B7A" w:rsidRPr="00B16E6B" w:rsidRDefault="00656B7A" w:rsidP="009613E1">
            <w:pPr>
              <w:spacing w:before="20" w:after="20" w:line="271" w:lineRule="auto"/>
              <w:rPr>
                <w:rFonts w:cs="Arial"/>
                <w:sz w:val="20"/>
                <w:szCs w:val="20"/>
              </w:rPr>
            </w:pPr>
            <w:r w:rsidRPr="00B16E6B">
              <w:rPr>
                <w:rFonts w:cs="Arial"/>
                <w:sz w:val="20"/>
                <w:szCs w:val="20"/>
              </w:rPr>
              <w:t>Submissions from industry indicated either agreement or did not disagree that there will be a minor impact to industry following reassessment of critical functions</w:t>
            </w:r>
          </w:p>
        </w:tc>
      </w:tr>
      <w:tr w:rsidR="00302889" w:rsidRPr="00B16E6B" w14:paraId="6F218A68" w14:textId="77777777" w:rsidTr="00877704">
        <w:trPr>
          <w:tblHeader/>
        </w:trPr>
        <w:tc>
          <w:tcPr>
            <w:tcW w:w="3309" w:type="dxa"/>
            <w:tcBorders>
              <w:top w:val="single" w:sz="4" w:space="0" w:color="BFBFBF" w:themeColor="background2" w:themeShade="BF"/>
              <w:left w:val="nil"/>
              <w:bottom w:val="single" w:sz="4" w:space="0" w:color="BFBFBF" w:themeColor="background2" w:themeShade="BF"/>
              <w:right w:val="single" w:sz="4" w:space="0" w:color="BFBFBF" w:themeColor="background2" w:themeShade="BF"/>
            </w:tcBorders>
            <w:shd w:val="clear" w:color="auto" w:fill="F2F2F2" w:themeFill="background2" w:themeFillShade="F2"/>
            <w:vAlign w:val="center"/>
          </w:tcPr>
          <w:p w14:paraId="27DA2351" w14:textId="77777777" w:rsidR="00302889" w:rsidRPr="00B16E6B" w:rsidRDefault="00302889" w:rsidP="009613E1">
            <w:pPr>
              <w:pStyle w:val="Heading3"/>
              <w:spacing w:before="20" w:after="20" w:line="271" w:lineRule="auto"/>
              <w:outlineLvl w:val="2"/>
              <w:rPr>
                <w:rFonts w:asciiTheme="minorHAnsi" w:hAnsiTheme="minorHAnsi" w:cs="Arial"/>
                <w:b/>
                <w:color w:val="auto"/>
                <w:sz w:val="20"/>
                <w:szCs w:val="20"/>
              </w:rPr>
            </w:pPr>
            <w:r w:rsidRPr="00B16E6B">
              <w:rPr>
                <w:rFonts w:asciiTheme="minorHAnsi" w:hAnsiTheme="minorHAnsi" w:cs="Arial"/>
                <w:b/>
                <w:bCs/>
                <w:color w:val="auto"/>
                <w:sz w:val="20"/>
                <w:szCs w:val="20"/>
              </w:rPr>
              <w:lastRenderedPageBreak/>
              <w:t>Measure 1</w:t>
            </w:r>
            <w:r w:rsidR="00656B7A" w:rsidRPr="00B16E6B">
              <w:rPr>
                <w:rFonts w:asciiTheme="minorHAnsi" w:hAnsiTheme="minorHAnsi" w:cs="Arial"/>
                <w:b/>
                <w:bCs/>
                <w:color w:val="auto"/>
                <w:sz w:val="20"/>
                <w:szCs w:val="20"/>
              </w:rPr>
              <w:t>2</w:t>
            </w:r>
            <w:r w:rsidRPr="00B16E6B">
              <w:rPr>
                <w:rFonts w:asciiTheme="minorHAnsi" w:hAnsiTheme="minorHAnsi" w:cs="Arial"/>
                <w:b/>
                <w:bCs/>
                <w:color w:val="auto"/>
                <w:sz w:val="20"/>
                <w:szCs w:val="20"/>
              </w:rPr>
              <w:t xml:space="preserve">: </w:t>
            </w:r>
            <w:r w:rsidRPr="00B16E6B">
              <w:rPr>
                <w:rFonts w:asciiTheme="minorHAnsi" w:eastAsiaTheme="minorHAnsi" w:hAnsiTheme="minorHAnsi" w:cs="Arial"/>
                <w:color w:val="auto"/>
                <w:sz w:val="20"/>
                <w:szCs w:val="20"/>
              </w:rPr>
              <w:t>Remove the requirement for ships that operate as both a ship and offshore facility to have two security plans</w:t>
            </w:r>
          </w:p>
        </w:tc>
        <w:tc>
          <w:tcPr>
            <w:tcW w:w="6614"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vAlign w:val="center"/>
          </w:tcPr>
          <w:p w14:paraId="76899FA8" w14:textId="77777777" w:rsidR="00302889" w:rsidRPr="00B16E6B" w:rsidRDefault="00302889" w:rsidP="009613E1">
            <w:pPr>
              <w:spacing w:before="120" w:after="120" w:line="271" w:lineRule="auto"/>
              <w:rPr>
                <w:rFonts w:eastAsiaTheme="majorEastAsia" w:cs="Arial"/>
                <w:sz w:val="20"/>
                <w:szCs w:val="20"/>
              </w:rPr>
            </w:pPr>
            <w:r w:rsidRPr="00B16E6B">
              <w:rPr>
                <w:rFonts w:cs="Arial"/>
                <w:sz w:val="20"/>
                <w:szCs w:val="20"/>
              </w:rPr>
              <w:t xml:space="preserve">It is expected this change would not result in a cost burden to industry, but rather provide a small cost savings to industry and the </w:t>
            </w:r>
            <w:r w:rsidR="001E2C8D" w:rsidRPr="00B16E6B">
              <w:rPr>
                <w:rFonts w:cs="Arial"/>
                <w:sz w:val="20"/>
                <w:szCs w:val="20"/>
              </w:rPr>
              <w:t xml:space="preserve">department </w:t>
            </w:r>
            <w:r w:rsidRPr="00B16E6B">
              <w:rPr>
                <w:rFonts w:cs="Arial"/>
                <w:sz w:val="20"/>
                <w:szCs w:val="20"/>
              </w:rPr>
              <w:t>due to the reduced number of security plans needed for each vessel and voyage</w:t>
            </w:r>
          </w:p>
        </w:tc>
        <w:tc>
          <w:tcPr>
            <w:tcW w:w="4253" w:type="dxa"/>
            <w:tcBorders>
              <w:top w:val="single" w:sz="4" w:space="0" w:color="BFBFBF" w:themeColor="background2" w:themeShade="BF"/>
              <w:left w:val="single" w:sz="4" w:space="0" w:color="BFBFBF" w:themeColor="background2" w:themeShade="BF"/>
              <w:bottom w:val="single" w:sz="4" w:space="0" w:color="BFBFBF" w:themeColor="background2" w:themeShade="BF"/>
              <w:right w:val="nil"/>
            </w:tcBorders>
            <w:shd w:val="clear" w:color="auto" w:fill="FFFFFF" w:themeFill="background1"/>
            <w:vAlign w:val="center"/>
          </w:tcPr>
          <w:p w14:paraId="18BEE9F1" w14:textId="77777777" w:rsidR="00302889" w:rsidRPr="00B16E6B" w:rsidRDefault="00535F15" w:rsidP="009613E1">
            <w:pPr>
              <w:spacing w:before="20" w:after="20" w:line="271" w:lineRule="auto"/>
              <w:rPr>
                <w:rFonts w:cs="Arial"/>
                <w:sz w:val="20"/>
                <w:szCs w:val="20"/>
              </w:rPr>
            </w:pPr>
            <w:r w:rsidRPr="00B16E6B">
              <w:rPr>
                <w:rFonts w:cs="Arial"/>
                <w:sz w:val="20"/>
                <w:szCs w:val="20"/>
              </w:rPr>
              <w:t>Submissions from industry indicated either agreement or did not disagree that there will be nil cost impact to industry</w:t>
            </w:r>
          </w:p>
        </w:tc>
      </w:tr>
      <w:tr w:rsidR="00302889" w:rsidRPr="00B16E6B" w14:paraId="24F7036F" w14:textId="77777777" w:rsidTr="00877704">
        <w:trPr>
          <w:tblHeader/>
        </w:trPr>
        <w:tc>
          <w:tcPr>
            <w:tcW w:w="3309" w:type="dxa"/>
            <w:tcBorders>
              <w:top w:val="single" w:sz="4" w:space="0" w:color="BFBFBF" w:themeColor="background2" w:themeShade="BF"/>
              <w:left w:val="nil"/>
              <w:bottom w:val="single" w:sz="4" w:space="0" w:color="BFBFBF" w:themeColor="background2" w:themeShade="BF"/>
              <w:right w:val="single" w:sz="4" w:space="0" w:color="BFBFBF" w:themeColor="background2" w:themeShade="BF"/>
            </w:tcBorders>
            <w:shd w:val="clear" w:color="auto" w:fill="F2F2F2" w:themeFill="background2" w:themeFillShade="F2"/>
            <w:vAlign w:val="center"/>
          </w:tcPr>
          <w:p w14:paraId="74C79909" w14:textId="77777777" w:rsidR="00302889" w:rsidRPr="00B16E6B" w:rsidRDefault="00302889" w:rsidP="009613E1">
            <w:pPr>
              <w:pStyle w:val="Heading3"/>
              <w:spacing w:before="20" w:after="20" w:line="271" w:lineRule="auto"/>
              <w:outlineLvl w:val="2"/>
              <w:rPr>
                <w:rFonts w:asciiTheme="minorHAnsi" w:hAnsiTheme="minorHAnsi" w:cs="Arial"/>
                <w:b/>
                <w:color w:val="auto"/>
                <w:sz w:val="20"/>
                <w:szCs w:val="20"/>
              </w:rPr>
            </w:pPr>
            <w:r w:rsidRPr="00B16E6B">
              <w:rPr>
                <w:rFonts w:asciiTheme="minorHAnsi" w:hAnsiTheme="minorHAnsi" w:cs="Arial"/>
                <w:b/>
                <w:bCs/>
                <w:color w:val="auto"/>
                <w:sz w:val="20"/>
                <w:szCs w:val="20"/>
              </w:rPr>
              <w:t>Measure 1</w:t>
            </w:r>
            <w:r w:rsidR="00656B7A" w:rsidRPr="00B16E6B">
              <w:rPr>
                <w:rFonts w:asciiTheme="minorHAnsi" w:hAnsiTheme="minorHAnsi" w:cs="Arial"/>
                <w:b/>
                <w:bCs/>
                <w:color w:val="auto"/>
                <w:sz w:val="20"/>
                <w:szCs w:val="20"/>
              </w:rPr>
              <w:t>3</w:t>
            </w:r>
            <w:r w:rsidRPr="00B16E6B">
              <w:rPr>
                <w:rFonts w:asciiTheme="minorHAnsi" w:hAnsiTheme="minorHAnsi" w:cs="Arial"/>
                <w:b/>
                <w:bCs/>
                <w:color w:val="auto"/>
                <w:sz w:val="20"/>
                <w:szCs w:val="20"/>
              </w:rPr>
              <w:t xml:space="preserve">: </w:t>
            </w:r>
            <w:r w:rsidRPr="00B16E6B">
              <w:rPr>
                <w:rFonts w:asciiTheme="minorHAnsi" w:eastAsiaTheme="minorHAnsi" w:hAnsiTheme="minorHAnsi" w:cs="Arial"/>
                <w:color w:val="auto"/>
                <w:sz w:val="20"/>
                <w:szCs w:val="20"/>
              </w:rPr>
              <w:t>Remove the requirement for a security plan for ships that infrequently travel internationally</w:t>
            </w:r>
          </w:p>
        </w:tc>
        <w:tc>
          <w:tcPr>
            <w:tcW w:w="6614"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vAlign w:val="center"/>
          </w:tcPr>
          <w:p w14:paraId="2846E5C8" w14:textId="77777777" w:rsidR="00302889" w:rsidRPr="00B16E6B" w:rsidRDefault="00302889" w:rsidP="009613E1">
            <w:pPr>
              <w:spacing w:before="120" w:after="120" w:line="271" w:lineRule="auto"/>
              <w:rPr>
                <w:rFonts w:eastAsiaTheme="majorEastAsia" w:cs="Arial"/>
                <w:sz w:val="20"/>
                <w:szCs w:val="20"/>
              </w:rPr>
            </w:pPr>
            <w:r w:rsidRPr="00B16E6B">
              <w:rPr>
                <w:rFonts w:cs="Arial"/>
                <w:sz w:val="20"/>
                <w:szCs w:val="20"/>
              </w:rPr>
              <w:t xml:space="preserve">It is expected this change would not result in a cost burden to industry, but rather provide a small cost savings to industry and the </w:t>
            </w:r>
            <w:r w:rsidR="001E2C8D" w:rsidRPr="00B16E6B">
              <w:rPr>
                <w:rFonts w:cs="Arial"/>
                <w:sz w:val="20"/>
                <w:szCs w:val="20"/>
              </w:rPr>
              <w:t>department</w:t>
            </w:r>
            <w:r w:rsidRPr="00B16E6B">
              <w:rPr>
                <w:rFonts w:cs="Arial"/>
                <w:sz w:val="20"/>
                <w:szCs w:val="20"/>
              </w:rPr>
              <w:t xml:space="preserve"> due to the reduced number of security plans needed for each vessel and voyage</w:t>
            </w:r>
          </w:p>
        </w:tc>
        <w:tc>
          <w:tcPr>
            <w:tcW w:w="4253" w:type="dxa"/>
            <w:tcBorders>
              <w:top w:val="single" w:sz="4" w:space="0" w:color="BFBFBF" w:themeColor="background2" w:themeShade="BF"/>
              <w:left w:val="single" w:sz="4" w:space="0" w:color="BFBFBF" w:themeColor="background2" w:themeShade="BF"/>
              <w:bottom w:val="single" w:sz="4" w:space="0" w:color="BFBFBF" w:themeColor="background2" w:themeShade="BF"/>
              <w:right w:val="nil"/>
            </w:tcBorders>
            <w:shd w:val="clear" w:color="auto" w:fill="FFFFFF" w:themeFill="background1"/>
            <w:vAlign w:val="center"/>
          </w:tcPr>
          <w:p w14:paraId="42E9F8B5" w14:textId="77777777" w:rsidR="00302889" w:rsidRPr="00B16E6B" w:rsidRDefault="00535F15" w:rsidP="009613E1">
            <w:pPr>
              <w:spacing w:before="20" w:after="20" w:line="271" w:lineRule="auto"/>
              <w:rPr>
                <w:rFonts w:cs="Arial"/>
                <w:sz w:val="20"/>
                <w:szCs w:val="20"/>
              </w:rPr>
            </w:pPr>
            <w:r w:rsidRPr="00B16E6B">
              <w:rPr>
                <w:rFonts w:cs="Arial"/>
                <w:sz w:val="20"/>
                <w:szCs w:val="20"/>
              </w:rPr>
              <w:t>Submissions from industry indicated either agreement or did not disagree that there will be nil cost impact to industry</w:t>
            </w:r>
          </w:p>
        </w:tc>
      </w:tr>
      <w:tr w:rsidR="001E2C8D" w:rsidRPr="00B16E6B" w14:paraId="105ED321" w14:textId="77777777" w:rsidTr="00877704">
        <w:trPr>
          <w:tblHeader/>
        </w:trPr>
        <w:tc>
          <w:tcPr>
            <w:tcW w:w="3309" w:type="dxa"/>
            <w:tcBorders>
              <w:top w:val="single" w:sz="4" w:space="0" w:color="BFBFBF" w:themeColor="background2" w:themeShade="BF"/>
              <w:left w:val="nil"/>
              <w:bottom w:val="single" w:sz="4" w:space="0" w:color="BFBFBF" w:themeColor="background2" w:themeShade="BF"/>
              <w:right w:val="single" w:sz="4" w:space="0" w:color="BFBFBF" w:themeColor="background2" w:themeShade="BF"/>
            </w:tcBorders>
            <w:shd w:val="clear" w:color="auto" w:fill="F2F2F2" w:themeFill="background2" w:themeFillShade="F2"/>
            <w:vAlign w:val="center"/>
          </w:tcPr>
          <w:p w14:paraId="334B7E56" w14:textId="0D1F692D" w:rsidR="001E2C8D" w:rsidRPr="00B16E6B" w:rsidRDefault="001E2C8D" w:rsidP="009613E1">
            <w:pPr>
              <w:pStyle w:val="Heading3"/>
              <w:spacing w:before="20" w:after="20" w:line="271" w:lineRule="auto"/>
              <w:outlineLvl w:val="2"/>
              <w:rPr>
                <w:rFonts w:asciiTheme="minorHAnsi" w:hAnsiTheme="minorHAnsi" w:cs="Arial"/>
                <w:b/>
                <w:color w:val="auto"/>
                <w:sz w:val="20"/>
                <w:szCs w:val="20"/>
              </w:rPr>
            </w:pPr>
            <w:r w:rsidRPr="00B16E6B">
              <w:rPr>
                <w:rFonts w:asciiTheme="minorHAnsi" w:hAnsiTheme="minorHAnsi" w:cs="Arial"/>
                <w:b/>
                <w:bCs/>
                <w:color w:val="auto"/>
                <w:sz w:val="20"/>
                <w:szCs w:val="20"/>
              </w:rPr>
              <w:t>Measure 14:</w:t>
            </w:r>
            <w:r w:rsidRPr="00B16E6B">
              <w:rPr>
                <w:rFonts w:asciiTheme="minorHAnsi" w:hAnsiTheme="minorHAnsi" w:cs="Arial"/>
                <w:color w:val="1C2B39" w:themeColor="dark1"/>
                <w:kern w:val="24"/>
                <w:lang w:eastAsia="en-AU"/>
              </w:rPr>
              <w:t xml:space="preserve"> </w:t>
            </w:r>
            <w:r w:rsidRPr="00B16E6B">
              <w:rPr>
                <w:rFonts w:asciiTheme="minorHAnsi" w:hAnsiTheme="minorHAnsi" w:cs="Arial"/>
                <w:color w:val="auto"/>
                <w:sz w:val="20"/>
                <w:szCs w:val="20"/>
              </w:rPr>
              <w:t>Replace ‘sex’ with ‘gender</w:t>
            </w:r>
            <w:r w:rsidR="00555F30" w:rsidRPr="00B16E6B">
              <w:rPr>
                <w:rFonts w:asciiTheme="minorHAnsi" w:hAnsiTheme="minorHAnsi" w:cs="Arial"/>
                <w:color w:val="auto"/>
                <w:sz w:val="20"/>
                <w:szCs w:val="20"/>
              </w:rPr>
              <w:t>,</w:t>
            </w:r>
            <w:r w:rsidRPr="00B16E6B">
              <w:rPr>
                <w:rFonts w:asciiTheme="minorHAnsi" w:hAnsiTheme="minorHAnsi" w:cs="Arial"/>
                <w:color w:val="auto"/>
                <w:sz w:val="20"/>
                <w:szCs w:val="20"/>
              </w:rPr>
              <w:t xml:space="preserve"> if practicable’ </w:t>
            </w:r>
          </w:p>
        </w:tc>
        <w:tc>
          <w:tcPr>
            <w:tcW w:w="6614"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vAlign w:val="center"/>
          </w:tcPr>
          <w:p w14:paraId="723A67E1" w14:textId="77777777" w:rsidR="001E2C8D" w:rsidRPr="00B16E6B" w:rsidRDefault="001E2C8D" w:rsidP="009613E1">
            <w:pPr>
              <w:spacing w:before="120" w:after="120" w:line="271" w:lineRule="auto"/>
              <w:rPr>
                <w:rFonts w:eastAsiaTheme="majorEastAsia" w:cs="Arial"/>
                <w:sz w:val="20"/>
                <w:szCs w:val="20"/>
              </w:rPr>
            </w:pPr>
            <w:r w:rsidRPr="00B16E6B">
              <w:rPr>
                <w:rFonts w:cs="Arial"/>
                <w:sz w:val="20"/>
                <w:szCs w:val="20"/>
              </w:rPr>
              <w:t>It is expected there will be a nil impact to industry participants as a result of this change</w:t>
            </w:r>
          </w:p>
        </w:tc>
        <w:tc>
          <w:tcPr>
            <w:tcW w:w="4253" w:type="dxa"/>
            <w:tcBorders>
              <w:top w:val="single" w:sz="4" w:space="0" w:color="BFBFBF" w:themeColor="background2" w:themeShade="BF"/>
              <w:left w:val="single" w:sz="4" w:space="0" w:color="BFBFBF" w:themeColor="background2" w:themeShade="BF"/>
              <w:bottom w:val="single" w:sz="4" w:space="0" w:color="BFBFBF" w:themeColor="background2" w:themeShade="BF"/>
              <w:right w:val="nil"/>
            </w:tcBorders>
            <w:vAlign w:val="center"/>
          </w:tcPr>
          <w:p w14:paraId="45B01D3F" w14:textId="77777777" w:rsidR="001E2C8D" w:rsidRPr="00B16E6B" w:rsidRDefault="001E2C8D" w:rsidP="009613E1">
            <w:pPr>
              <w:spacing w:before="20" w:after="20" w:line="271" w:lineRule="auto"/>
              <w:rPr>
                <w:rFonts w:cs="Arial"/>
                <w:sz w:val="20"/>
                <w:szCs w:val="20"/>
              </w:rPr>
            </w:pPr>
            <w:r w:rsidRPr="00B16E6B">
              <w:rPr>
                <w:rFonts w:cs="Arial"/>
                <w:sz w:val="20"/>
                <w:szCs w:val="20"/>
              </w:rPr>
              <w:t>Submissions from industry indicated either agreement or did not disagree that there will be nil cost impact to industry</w:t>
            </w:r>
          </w:p>
        </w:tc>
      </w:tr>
      <w:tr w:rsidR="001E2C8D" w:rsidRPr="00B16E6B" w14:paraId="34284499" w14:textId="77777777" w:rsidTr="00877704">
        <w:trPr>
          <w:tblHeader/>
        </w:trPr>
        <w:tc>
          <w:tcPr>
            <w:tcW w:w="3309" w:type="dxa"/>
            <w:tcBorders>
              <w:top w:val="single" w:sz="4" w:space="0" w:color="BFBFBF" w:themeColor="background2" w:themeShade="BF"/>
              <w:left w:val="nil"/>
              <w:bottom w:val="single" w:sz="4" w:space="0" w:color="BFBFBF" w:themeColor="background2" w:themeShade="BF"/>
              <w:right w:val="single" w:sz="4" w:space="0" w:color="BFBFBF" w:themeColor="background2" w:themeShade="BF"/>
            </w:tcBorders>
            <w:shd w:val="clear" w:color="auto" w:fill="F2F2F2" w:themeFill="background2" w:themeFillShade="F2"/>
            <w:vAlign w:val="center"/>
          </w:tcPr>
          <w:p w14:paraId="20D65947" w14:textId="36F660EB" w:rsidR="001E2C8D" w:rsidRPr="00B16E6B" w:rsidRDefault="001E2C8D" w:rsidP="00555F30">
            <w:pPr>
              <w:pStyle w:val="Heading3"/>
              <w:spacing w:before="20" w:after="20" w:line="271" w:lineRule="auto"/>
              <w:outlineLvl w:val="2"/>
              <w:rPr>
                <w:rFonts w:asciiTheme="minorHAnsi" w:hAnsiTheme="minorHAnsi" w:cs="Arial"/>
                <w:b/>
                <w:color w:val="auto"/>
                <w:sz w:val="20"/>
                <w:szCs w:val="20"/>
              </w:rPr>
            </w:pPr>
            <w:r w:rsidRPr="00B16E6B">
              <w:rPr>
                <w:rFonts w:asciiTheme="minorHAnsi" w:hAnsiTheme="minorHAnsi" w:cs="Arial"/>
                <w:b/>
                <w:bCs/>
                <w:color w:val="auto"/>
                <w:sz w:val="20"/>
                <w:szCs w:val="20"/>
              </w:rPr>
              <w:t xml:space="preserve">Measure 15: </w:t>
            </w:r>
            <w:r w:rsidR="00555F30" w:rsidRPr="00B16E6B">
              <w:rPr>
                <w:rFonts w:asciiTheme="minorHAnsi" w:hAnsiTheme="minorHAnsi" w:cs="Arial"/>
                <w:color w:val="auto"/>
                <w:sz w:val="20"/>
                <w:szCs w:val="20"/>
              </w:rPr>
              <w:t>Remove references to ‘fax’</w:t>
            </w:r>
          </w:p>
        </w:tc>
        <w:tc>
          <w:tcPr>
            <w:tcW w:w="6614" w:type="dxa"/>
            <w:tc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tcBorders>
            <w:vAlign w:val="center"/>
          </w:tcPr>
          <w:p w14:paraId="5A2BCCC9" w14:textId="77777777" w:rsidR="001E2C8D" w:rsidRPr="00B16E6B" w:rsidRDefault="001E2C8D" w:rsidP="009613E1">
            <w:pPr>
              <w:spacing w:before="120" w:after="120" w:line="271" w:lineRule="auto"/>
              <w:rPr>
                <w:rFonts w:eastAsiaTheme="majorEastAsia" w:cs="Arial"/>
                <w:sz w:val="20"/>
                <w:szCs w:val="20"/>
              </w:rPr>
            </w:pPr>
            <w:r w:rsidRPr="00B16E6B">
              <w:rPr>
                <w:rFonts w:cs="Arial"/>
                <w:sz w:val="20"/>
                <w:szCs w:val="20"/>
              </w:rPr>
              <w:t>It is expected that expanding the available technology would allow for better communication and a minor reduction in business costs</w:t>
            </w:r>
          </w:p>
        </w:tc>
        <w:tc>
          <w:tcPr>
            <w:tcW w:w="4253" w:type="dxa"/>
            <w:tcBorders>
              <w:top w:val="single" w:sz="4" w:space="0" w:color="BFBFBF" w:themeColor="background2" w:themeShade="BF"/>
              <w:left w:val="single" w:sz="4" w:space="0" w:color="BFBFBF" w:themeColor="background2" w:themeShade="BF"/>
              <w:bottom w:val="single" w:sz="4" w:space="0" w:color="BFBFBF" w:themeColor="background2" w:themeShade="BF"/>
              <w:right w:val="nil"/>
            </w:tcBorders>
            <w:vAlign w:val="center"/>
          </w:tcPr>
          <w:p w14:paraId="5D5C2C9C" w14:textId="77777777" w:rsidR="001E2C8D" w:rsidRPr="00B16E6B" w:rsidRDefault="001E2C8D" w:rsidP="009613E1">
            <w:pPr>
              <w:spacing w:before="20" w:after="20" w:line="271" w:lineRule="auto"/>
              <w:rPr>
                <w:rFonts w:cs="Arial"/>
                <w:sz w:val="20"/>
                <w:szCs w:val="20"/>
              </w:rPr>
            </w:pPr>
            <w:r w:rsidRPr="00B16E6B">
              <w:rPr>
                <w:rFonts w:cs="Arial"/>
                <w:sz w:val="20"/>
                <w:szCs w:val="20"/>
              </w:rPr>
              <w:t>Submissions from industry indicated either agreement or did not disagree that there will be nil cost impact to industry</w:t>
            </w:r>
          </w:p>
        </w:tc>
      </w:tr>
    </w:tbl>
    <w:p w14:paraId="07DC78F4" w14:textId="77777777" w:rsidR="00E208F2" w:rsidRPr="00B16E6B" w:rsidRDefault="00E208F2" w:rsidP="009613E1">
      <w:pPr>
        <w:spacing w:line="271" w:lineRule="auto"/>
      </w:pPr>
    </w:p>
    <w:p w14:paraId="3018D42D" w14:textId="77777777" w:rsidR="00E208F2" w:rsidRPr="00B16E6B" w:rsidRDefault="00E208F2" w:rsidP="009613E1">
      <w:pPr>
        <w:spacing w:line="271" w:lineRule="auto"/>
        <w:sectPr w:rsidR="00E208F2" w:rsidRPr="00B16E6B" w:rsidSect="0009185B">
          <w:pgSz w:w="16838" w:h="11906" w:orient="landscape"/>
          <w:pgMar w:top="1134" w:right="1701" w:bottom="1134" w:left="1843" w:header="993" w:footer="709" w:gutter="0"/>
          <w:cols w:space="708"/>
          <w:titlePg/>
          <w:docGrid w:linePitch="360"/>
        </w:sectPr>
      </w:pPr>
    </w:p>
    <w:p w14:paraId="43908A47" w14:textId="7BC63E6B" w:rsidR="00DB3135" w:rsidRPr="00B16E6B" w:rsidRDefault="00DB3135" w:rsidP="009613E1">
      <w:pPr>
        <w:spacing w:line="271" w:lineRule="auto"/>
      </w:pPr>
      <w:r w:rsidRPr="00B16E6B">
        <w:lastRenderedPageBreak/>
        <w:t xml:space="preserve">Cost submissions </w:t>
      </w:r>
      <w:r w:rsidR="00302889" w:rsidRPr="00B16E6B">
        <w:t xml:space="preserve">in relation to </w:t>
      </w:r>
      <w:r w:rsidR="002C5755" w:rsidRPr="00B16E6B">
        <w:t>measure</w:t>
      </w:r>
      <w:r w:rsidR="00302889" w:rsidRPr="00B16E6B">
        <w:t xml:space="preserve">s 1 and 2 </w:t>
      </w:r>
      <w:r w:rsidRPr="00B16E6B">
        <w:t xml:space="preserve">were received from </w:t>
      </w:r>
      <w:r w:rsidR="00090407" w:rsidRPr="00B16E6B">
        <w:t>3</w:t>
      </w:r>
      <w:r w:rsidRPr="00B16E6B">
        <w:t xml:space="preserve"> </w:t>
      </w:r>
      <w:r w:rsidR="00985D9F" w:rsidRPr="00B16E6B">
        <w:t>industry participants</w:t>
      </w:r>
      <w:r w:rsidRPr="00B16E6B">
        <w:t xml:space="preserve"> from the aviation sector. These responses were from entities representing approximately 40% of the total </w:t>
      </w:r>
      <w:r w:rsidR="00302889" w:rsidRPr="00B16E6B">
        <w:t xml:space="preserve">aviation transport </w:t>
      </w:r>
      <w:r w:rsidRPr="00B16E6B">
        <w:t xml:space="preserve">market. Cost submissions were received from 1 </w:t>
      </w:r>
      <w:r w:rsidR="0003647E" w:rsidRPr="00B16E6B">
        <w:t>industry participant</w:t>
      </w:r>
      <w:r w:rsidRPr="00B16E6B">
        <w:t xml:space="preserve"> for the maritime sector. This response was from an entity representing approximately 9% of the total </w:t>
      </w:r>
      <w:r w:rsidR="00302889" w:rsidRPr="00B16E6B">
        <w:t xml:space="preserve">maritime </w:t>
      </w:r>
      <w:r w:rsidRPr="00B16E6B">
        <w:t xml:space="preserve">market. An indicative costing of </w:t>
      </w:r>
      <w:r w:rsidR="002C5755" w:rsidRPr="00B16E6B">
        <w:t>measure</w:t>
      </w:r>
      <w:r w:rsidRPr="00B16E6B">
        <w:t>s</w:t>
      </w:r>
      <w:r w:rsidR="00A378FF" w:rsidRPr="00B16E6B">
        <w:t xml:space="preserve"> 1 and 2</w:t>
      </w:r>
      <w:r w:rsidRPr="00B16E6B">
        <w:t xml:space="preserve"> is provided below.</w:t>
      </w:r>
    </w:p>
    <w:p w14:paraId="1B15AE05" w14:textId="77777777" w:rsidR="00DB3135" w:rsidRPr="00B16E6B" w:rsidRDefault="00DB3135" w:rsidP="009613E1">
      <w:pPr>
        <w:spacing w:line="271" w:lineRule="auto"/>
      </w:pPr>
      <w:r w:rsidRPr="00B16E6B">
        <w:t xml:space="preserve">There are multiple factors affecting the </w:t>
      </w:r>
      <w:r w:rsidR="009F4AFD" w:rsidRPr="00B16E6B">
        <w:t>cost impact</w:t>
      </w:r>
      <w:r w:rsidRPr="00B16E6B">
        <w:t xml:space="preserve"> for each entity, including their existing risk management practices and capabilities, the nature of the critical assets they operate and the size of their operations. In collecting cost information from entities across the aviation and maritime sectors, this variance in cost impact has been captured and reflected in the estimates of total cost across the asset classes included in this IA.</w:t>
      </w:r>
    </w:p>
    <w:p w14:paraId="29C1C2B2" w14:textId="77777777" w:rsidR="00DB3135" w:rsidRPr="00B16E6B" w:rsidRDefault="00DB3135" w:rsidP="009613E1">
      <w:pPr>
        <w:spacing w:line="271" w:lineRule="auto"/>
      </w:pPr>
      <w:r w:rsidRPr="00B16E6B">
        <w:t>When estimating the cost of compliance with option 4, an expected and a high-cost estimate has been included. The high-cost estimate was provided as a way to measure the uncertainty associated with an entities estimate and the highest feasible cost of option 4. The expected estimate was used as the basis for determining the net benefit of option 4 in section 4.</w:t>
      </w:r>
    </w:p>
    <w:p w14:paraId="0956E815" w14:textId="77777777" w:rsidR="00DB3135" w:rsidRPr="00B16E6B" w:rsidRDefault="00DB3135" w:rsidP="009613E1">
      <w:pPr>
        <w:spacing w:line="271" w:lineRule="auto"/>
      </w:pPr>
      <w:r w:rsidRPr="00B16E6B">
        <w:t xml:space="preserve">Using the expected and high estimates as a range, the </w:t>
      </w:r>
      <w:r w:rsidR="003F32AA" w:rsidRPr="00B16E6B">
        <w:t xml:space="preserve">direct </w:t>
      </w:r>
      <w:r w:rsidRPr="00B16E6B">
        <w:t>cost of compliance is as follows:</w:t>
      </w:r>
    </w:p>
    <w:p w14:paraId="661210B1" w14:textId="7DFDDF05" w:rsidR="00DB3135" w:rsidRPr="00B16E6B" w:rsidRDefault="00DB3135" w:rsidP="00A11AF5">
      <w:pPr>
        <w:pStyle w:val="ListParagraph"/>
        <w:numPr>
          <w:ilvl w:val="0"/>
          <w:numId w:val="21"/>
        </w:numPr>
        <w:spacing w:line="271" w:lineRule="auto"/>
        <w:ind w:left="714" w:hanging="357"/>
        <w:contextualSpacing w:val="0"/>
        <w:rPr>
          <w:bCs/>
          <w:lang w:val="en-US"/>
        </w:rPr>
      </w:pPr>
      <w:r w:rsidRPr="00B16E6B">
        <w:rPr>
          <w:bCs/>
          <w:lang w:val="en-US"/>
        </w:rPr>
        <w:t xml:space="preserve">A one-off </w:t>
      </w:r>
      <w:r w:rsidR="003F32AA" w:rsidRPr="00B16E6B">
        <w:rPr>
          <w:bCs/>
          <w:lang w:val="en-US"/>
        </w:rPr>
        <w:t xml:space="preserve">(establishment) </w:t>
      </w:r>
      <w:r w:rsidRPr="00B16E6B">
        <w:rPr>
          <w:bCs/>
          <w:lang w:val="en-US"/>
        </w:rPr>
        <w:t>regulatory cost between $190</w:t>
      </w:r>
      <w:r w:rsidR="00C97AD2" w:rsidRPr="00B16E6B">
        <w:rPr>
          <w:bCs/>
          <w:lang w:val="en-US"/>
        </w:rPr>
        <w:t xml:space="preserve"> million</w:t>
      </w:r>
      <w:r w:rsidRPr="00B16E6B">
        <w:rPr>
          <w:bCs/>
          <w:lang w:val="en-US"/>
        </w:rPr>
        <w:t xml:space="preserve"> (expected) and $33</w:t>
      </w:r>
      <w:r w:rsidR="005E1AA6" w:rsidRPr="00B16E6B">
        <w:rPr>
          <w:bCs/>
          <w:lang w:val="en-US"/>
        </w:rPr>
        <w:t>6</w:t>
      </w:r>
      <w:r w:rsidRPr="00B16E6B">
        <w:rPr>
          <w:bCs/>
          <w:lang w:val="en-US"/>
        </w:rPr>
        <w:t xml:space="preserve"> million (high estimate), across the aviation and maritime sectors.</w:t>
      </w:r>
    </w:p>
    <w:p w14:paraId="5E1756CD" w14:textId="2A9380FE" w:rsidR="00DB3135" w:rsidRPr="00B16E6B" w:rsidRDefault="00DB3135" w:rsidP="00A11AF5">
      <w:pPr>
        <w:pStyle w:val="ListParagraph"/>
        <w:numPr>
          <w:ilvl w:val="0"/>
          <w:numId w:val="21"/>
        </w:numPr>
        <w:spacing w:line="271" w:lineRule="auto"/>
        <w:ind w:left="714" w:hanging="357"/>
        <w:contextualSpacing w:val="0"/>
        <w:rPr>
          <w:bCs/>
          <w:lang w:val="en-US"/>
        </w:rPr>
      </w:pPr>
      <w:r w:rsidRPr="00B16E6B">
        <w:rPr>
          <w:bCs/>
          <w:lang w:val="en-US"/>
        </w:rPr>
        <w:t>An ongoing cost between $115</w:t>
      </w:r>
      <w:r w:rsidR="00C97AD2" w:rsidRPr="00B16E6B">
        <w:rPr>
          <w:bCs/>
          <w:lang w:val="en-US"/>
        </w:rPr>
        <w:t xml:space="preserve"> million</w:t>
      </w:r>
      <w:r w:rsidRPr="00B16E6B">
        <w:rPr>
          <w:bCs/>
          <w:lang w:val="en-US"/>
        </w:rPr>
        <w:t xml:space="preserve"> (expected) and $203 million (high estimate)</w:t>
      </w:r>
      <w:r w:rsidR="001E2C8D" w:rsidRPr="00B16E6B">
        <w:rPr>
          <w:bCs/>
          <w:lang w:val="en-US"/>
        </w:rPr>
        <w:t xml:space="preserve"> per year</w:t>
      </w:r>
      <w:r w:rsidRPr="00B16E6B">
        <w:rPr>
          <w:bCs/>
          <w:lang w:val="en-US"/>
        </w:rPr>
        <w:t>, across the aviation and maritime sectors.</w:t>
      </w:r>
    </w:p>
    <w:p w14:paraId="4069E405" w14:textId="7E6A1339" w:rsidR="00434282" w:rsidRDefault="00DB3135" w:rsidP="009613E1">
      <w:pPr>
        <w:spacing w:line="271" w:lineRule="auto"/>
      </w:pPr>
      <w:r w:rsidRPr="00B16E6B">
        <w:t xml:space="preserve">The cost of regulation will be borne by entities responsible for aviation and maritime sectors who meet the relevant thresholds. Community organisations and individuals will not be directly affected but there will likely be indirect costs passed onto consumers. For the purposes of this IA, the cost of regulation in the table below will only include the </w:t>
      </w:r>
      <w:r w:rsidR="00E5769C" w:rsidRPr="00B16E6B">
        <w:t xml:space="preserve">direct </w:t>
      </w:r>
      <w:r w:rsidRPr="00B16E6B">
        <w:t xml:space="preserve">costs associated with regulation. The indirect cost to consumers and communities has been addressed in the economic analysis through consideration of indirect cost to the wider economy because of the proposed </w:t>
      </w:r>
      <w:r w:rsidR="00E71FA8" w:rsidRPr="00B16E6B">
        <w:t>legislative amendments</w:t>
      </w:r>
      <w:r w:rsidRPr="00B16E6B">
        <w:t>.</w:t>
      </w:r>
    </w:p>
    <w:p w14:paraId="46706852" w14:textId="77777777" w:rsidR="00434282" w:rsidRDefault="00434282">
      <w:pPr>
        <w:spacing w:after="200" w:line="288" w:lineRule="auto"/>
      </w:pPr>
      <w:r>
        <w:br w:type="page"/>
      </w:r>
    </w:p>
    <w:p w14:paraId="395D5CB9" w14:textId="38C1D198" w:rsidR="00DB3135" w:rsidRPr="00B16E6B" w:rsidRDefault="00DB3135" w:rsidP="009613E1">
      <w:pPr>
        <w:pStyle w:val="Caption"/>
        <w:spacing w:after="60" w:line="271" w:lineRule="auto"/>
        <w:rPr>
          <w:rFonts w:eastAsia="Times New Roman" w:cs="Arial"/>
          <w:i/>
          <w:iCs/>
          <w:smallCaps w:val="0"/>
          <w:color w:val="44546A"/>
          <w:sz w:val="18"/>
          <w:szCs w:val="18"/>
          <w:lang w:eastAsia="en-AU"/>
        </w:rPr>
      </w:pPr>
      <w:r w:rsidRPr="00B16E6B">
        <w:rPr>
          <w:rFonts w:eastAsia="Times New Roman" w:cs="Arial"/>
          <w:i/>
          <w:iCs/>
          <w:smallCaps w:val="0"/>
          <w:color w:val="44546A"/>
          <w:sz w:val="18"/>
          <w:szCs w:val="18"/>
          <w:lang w:eastAsia="en-AU"/>
        </w:rPr>
        <w:lastRenderedPageBreak/>
        <w:t xml:space="preserve">Table </w:t>
      </w:r>
      <w:r w:rsidR="00A027FB" w:rsidRPr="00B16E6B">
        <w:rPr>
          <w:rFonts w:eastAsia="Times New Roman" w:cs="Arial"/>
          <w:i/>
          <w:iCs/>
          <w:smallCaps w:val="0"/>
          <w:color w:val="44546A"/>
          <w:sz w:val="18"/>
          <w:szCs w:val="18"/>
          <w:lang w:eastAsia="en-AU"/>
        </w:rPr>
        <w:t>15</w:t>
      </w:r>
      <w:r w:rsidRPr="00B16E6B">
        <w:rPr>
          <w:rFonts w:eastAsia="Times New Roman" w:cs="Arial"/>
          <w:i/>
          <w:iCs/>
          <w:smallCaps w:val="0"/>
          <w:color w:val="44546A"/>
          <w:sz w:val="18"/>
          <w:szCs w:val="18"/>
          <w:lang w:eastAsia="en-AU"/>
        </w:rPr>
        <w:t xml:space="preserve">: </w:t>
      </w:r>
      <w:r w:rsidRPr="00B16E6B">
        <w:rPr>
          <w:rFonts w:eastAsia="Times New Roman" w:cs="Arial"/>
          <w:b w:val="0"/>
          <w:i/>
          <w:iCs/>
          <w:smallCaps w:val="0"/>
          <w:color w:val="44546A"/>
          <w:sz w:val="18"/>
          <w:szCs w:val="18"/>
          <w:lang w:eastAsia="en-AU"/>
        </w:rPr>
        <w:t>Regulatory cost estimate</w:t>
      </w:r>
      <w:r w:rsidR="003F32AA" w:rsidRPr="00B16E6B">
        <w:rPr>
          <w:rFonts w:eastAsia="Times New Roman" w:cs="Arial"/>
          <w:b w:val="0"/>
          <w:i/>
          <w:iCs/>
          <w:smallCaps w:val="0"/>
          <w:color w:val="44546A"/>
          <w:sz w:val="18"/>
          <w:szCs w:val="18"/>
          <w:lang w:eastAsia="en-AU"/>
        </w:rPr>
        <w:t xml:space="preserve"> (expected)</w:t>
      </w:r>
    </w:p>
    <w:tbl>
      <w:tblPr>
        <w:tblStyle w:val="TableGrid"/>
        <w:tblW w:w="9567" w:type="dxa"/>
        <w:tblInd w:w="71"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93"/>
        <w:gridCol w:w="1581"/>
        <w:gridCol w:w="1733"/>
        <w:gridCol w:w="1701"/>
        <w:gridCol w:w="1705"/>
        <w:gridCol w:w="1554"/>
      </w:tblGrid>
      <w:tr w:rsidR="00B83234" w:rsidRPr="00B16E6B" w14:paraId="7BBB4B75" w14:textId="77777777" w:rsidTr="00E117E0">
        <w:tc>
          <w:tcPr>
            <w:tcW w:w="1293" w:type="dxa"/>
            <w:tcBorders>
              <w:top w:val="nil"/>
              <w:bottom w:val="nil"/>
              <w:right w:val="nil"/>
            </w:tcBorders>
            <w:shd w:val="clear" w:color="auto" w:fill="1C2B39" w:themeFill="accent1"/>
            <w:vAlign w:val="center"/>
          </w:tcPr>
          <w:p w14:paraId="4DBAF4EE" w14:textId="1C6941A4" w:rsidR="00B83234" w:rsidRPr="00B16E6B" w:rsidRDefault="00B83234" w:rsidP="009613E1">
            <w:pPr>
              <w:spacing w:before="20" w:after="20" w:line="271" w:lineRule="auto"/>
              <w:jc w:val="center"/>
              <w:rPr>
                <w:rFonts w:cs="Arial"/>
                <w:b/>
                <w:bCs/>
                <w:sz w:val="18"/>
                <w:szCs w:val="20"/>
              </w:rPr>
            </w:pPr>
          </w:p>
        </w:tc>
        <w:tc>
          <w:tcPr>
            <w:tcW w:w="1581" w:type="dxa"/>
            <w:tcBorders>
              <w:top w:val="nil"/>
              <w:left w:val="nil"/>
              <w:bottom w:val="nil"/>
              <w:right w:val="nil"/>
            </w:tcBorders>
            <w:shd w:val="clear" w:color="auto" w:fill="1C2B39" w:themeFill="accent1"/>
            <w:vAlign w:val="center"/>
            <w:hideMark/>
          </w:tcPr>
          <w:p w14:paraId="1853327E" w14:textId="25FF0D95" w:rsidR="00B83234" w:rsidRPr="00B16E6B" w:rsidRDefault="00B83234" w:rsidP="009613E1">
            <w:pPr>
              <w:spacing w:before="20" w:after="20" w:line="271" w:lineRule="auto"/>
              <w:jc w:val="center"/>
              <w:rPr>
                <w:rFonts w:cs="Arial"/>
                <w:b/>
                <w:bCs/>
                <w:sz w:val="18"/>
                <w:szCs w:val="20"/>
              </w:rPr>
            </w:pPr>
          </w:p>
        </w:tc>
        <w:tc>
          <w:tcPr>
            <w:tcW w:w="1733" w:type="dxa"/>
            <w:tcBorders>
              <w:left w:val="nil"/>
            </w:tcBorders>
            <w:shd w:val="clear" w:color="auto" w:fill="1C2B39" w:themeFill="accent1"/>
            <w:vAlign w:val="center"/>
            <w:hideMark/>
          </w:tcPr>
          <w:p w14:paraId="55CBF544" w14:textId="4A608B09" w:rsidR="00B83234" w:rsidRPr="00B16E6B" w:rsidRDefault="00E117E0" w:rsidP="009613E1">
            <w:pPr>
              <w:spacing w:before="60" w:after="60" w:line="271" w:lineRule="auto"/>
              <w:jc w:val="center"/>
              <w:rPr>
                <w:rFonts w:cs="Arial"/>
                <w:b/>
                <w:bCs/>
                <w:sz w:val="18"/>
                <w:szCs w:val="20"/>
              </w:rPr>
            </w:pPr>
            <w:r>
              <w:rPr>
                <w:rFonts w:cs="Arial"/>
                <w:b/>
                <w:bCs/>
                <w:sz w:val="18"/>
                <w:szCs w:val="20"/>
              </w:rPr>
              <w:t xml:space="preserve">Industry </w:t>
            </w:r>
            <w:r w:rsidR="00B83234" w:rsidRPr="00B16E6B">
              <w:rPr>
                <w:rFonts w:cs="Arial"/>
                <w:b/>
                <w:bCs/>
                <w:sz w:val="18"/>
                <w:szCs w:val="20"/>
              </w:rPr>
              <w:t>Costs ($ million)</w:t>
            </w:r>
          </w:p>
        </w:tc>
        <w:tc>
          <w:tcPr>
            <w:tcW w:w="1701" w:type="dxa"/>
            <w:tcBorders>
              <w:left w:val="nil"/>
            </w:tcBorders>
            <w:shd w:val="clear" w:color="auto" w:fill="1C2B39" w:themeFill="accent1"/>
            <w:vAlign w:val="center"/>
          </w:tcPr>
          <w:p w14:paraId="0C8D1789" w14:textId="4ECC5904" w:rsidR="00B83234" w:rsidRPr="00B16E6B" w:rsidRDefault="00E117E0" w:rsidP="009613E1">
            <w:pPr>
              <w:spacing w:before="60" w:after="60" w:line="271" w:lineRule="auto"/>
              <w:jc w:val="center"/>
              <w:rPr>
                <w:rFonts w:cs="Arial"/>
                <w:b/>
                <w:bCs/>
                <w:sz w:val="18"/>
                <w:szCs w:val="20"/>
              </w:rPr>
            </w:pPr>
            <w:r>
              <w:rPr>
                <w:rFonts w:cs="Arial"/>
                <w:b/>
                <w:bCs/>
                <w:sz w:val="18"/>
                <w:szCs w:val="20"/>
              </w:rPr>
              <w:t xml:space="preserve">Community </w:t>
            </w:r>
            <w:r w:rsidRPr="00B16E6B">
              <w:rPr>
                <w:rFonts w:cs="Arial"/>
                <w:b/>
                <w:bCs/>
                <w:sz w:val="18"/>
                <w:szCs w:val="20"/>
              </w:rPr>
              <w:t>Costs ($ million)</w:t>
            </w:r>
          </w:p>
        </w:tc>
        <w:tc>
          <w:tcPr>
            <w:tcW w:w="1705" w:type="dxa"/>
            <w:tcBorders>
              <w:left w:val="nil"/>
            </w:tcBorders>
            <w:shd w:val="clear" w:color="auto" w:fill="1C2B39" w:themeFill="accent1"/>
            <w:vAlign w:val="center"/>
          </w:tcPr>
          <w:p w14:paraId="1BCC907A" w14:textId="5CBB00CC" w:rsidR="00B83234" w:rsidRPr="00B16E6B" w:rsidRDefault="00E117E0" w:rsidP="009613E1">
            <w:pPr>
              <w:spacing w:before="60" w:after="60" w:line="271" w:lineRule="auto"/>
              <w:jc w:val="center"/>
              <w:rPr>
                <w:rFonts w:cs="Arial"/>
                <w:b/>
                <w:bCs/>
                <w:sz w:val="18"/>
                <w:szCs w:val="20"/>
              </w:rPr>
            </w:pPr>
            <w:r>
              <w:rPr>
                <w:rFonts w:cs="Arial"/>
                <w:b/>
                <w:bCs/>
                <w:sz w:val="18"/>
                <w:szCs w:val="20"/>
              </w:rPr>
              <w:t xml:space="preserve">Individuals </w:t>
            </w:r>
            <w:r w:rsidRPr="00B16E6B">
              <w:rPr>
                <w:rFonts w:cs="Arial"/>
                <w:b/>
                <w:bCs/>
                <w:sz w:val="18"/>
                <w:szCs w:val="20"/>
              </w:rPr>
              <w:t>Costs ($ million)</w:t>
            </w:r>
          </w:p>
        </w:tc>
        <w:tc>
          <w:tcPr>
            <w:tcW w:w="1554" w:type="dxa"/>
            <w:tcBorders>
              <w:left w:val="nil"/>
            </w:tcBorders>
            <w:shd w:val="clear" w:color="auto" w:fill="1C2B39" w:themeFill="accent1"/>
            <w:vAlign w:val="center"/>
          </w:tcPr>
          <w:p w14:paraId="4AC4D20E" w14:textId="02D89215" w:rsidR="00B83234" w:rsidRPr="00B16E6B" w:rsidRDefault="00BE5A24" w:rsidP="009613E1">
            <w:pPr>
              <w:spacing w:before="60" w:after="60" w:line="271" w:lineRule="auto"/>
              <w:jc w:val="center"/>
              <w:rPr>
                <w:rFonts w:cs="Arial"/>
                <w:b/>
                <w:bCs/>
                <w:sz w:val="18"/>
                <w:szCs w:val="20"/>
              </w:rPr>
            </w:pPr>
            <w:r>
              <w:rPr>
                <w:rFonts w:cs="Arial"/>
                <w:b/>
                <w:bCs/>
                <w:sz w:val="18"/>
                <w:szCs w:val="20"/>
              </w:rPr>
              <w:t xml:space="preserve">Total </w:t>
            </w:r>
            <w:r w:rsidR="00E117E0" w:rsidRPr="00B16E6B">
              <w:rPr>
                <w:rFonts w:cs="Arial"/>
                <w:b/>
                <w:bCs/>
                <w:sz w:val="18"/>
                <w:szCs w:val="20"/>
              </w:rPr>
              <w:t>Costs ($ million)</w:t>
            </w:r>
          </w:p>
        </w:tc>
      </w:tr>
      <w:tr w:rsidR="00367A87" w:rsidRPr="00B16E6B" w14:paraId="157A5AEF" w14:textId="77777777" w:rsidTr="00E117E0">
        <w:tc>
          <w:tcPr>
            <w:tcW w:w="1293" w:type="dxa"/>
            <w:tcBorders>
              <w:top w:val="nil"/>
              <w:bottom w:val="nil"/>
              <w:right w:val="nil"/>
            </w:tcBorders>
            <w:shd w:val="clear" w:color="auto" w:fill="1C2B39" w:themeFill="accent1"/>
          </w:tcPr>
          <w:p w14:paraId="5B4AC8AE" w14:textId="0D07EF12" w:rsidR="00367A87" w:rsidRPr="00B16E6B" w:rsidRDefault="00F83E4B" w:rsidP="00F83E4B">
            <w:pPr>
              <w:spacing w:before="20" w:after="20" w:line="271" w:lineRule="auto"/>
              <w:jc w:val="center"/>
              <w:rPr>
                <w:rFonts w:cs="Arial"/>
                <w:b/>
                <w:bCs/>
                <w:sz w:val="18"/>
                <w:szCs w:val="20"/>
              </w:rPr>
            </w:pPr>
            <w:r w:rsidRPr="00B16E6B">
              <w:rPr>
                <w:rFonts w:cs="Arial"/>
                <w:b/>
                <w:bCs/>
                <w:sz w:val="18"/>
                <w:szCs w:val="20"/>
              </w:rPr>
              <w:t>Sector</w:t>
            </w:r>
          </w:p>
        </w:tc>
        <w:tc>
          <w:tcPr>
            <w:tcW w:w="1581" w:type="dxa"/>
            <w:tcBorders>
              <w:top w:val="nil"/>
              <w:left w:val="nil"/>
              <w:bottom w:val="nil"/>
              <w:right w:val="nil"/>
            </w:tcBorders>
            <w:shd w:val="clear" w:color="auto" w:fill="1C2B39" w:themeFill="accent1"/>
            <w:vAlign w:val="center"/>
            <w:hideMark/>
          </w:tcPr>
          <w:p w14:paraId="5F019ABE" w14:textId="44B8DFED" w:rsidR="00367A87" w:rsidRPr="00B16E6B" w:rsidRDefault="00F83E4B" w:rsidP="00F83E4B">
            <w:pPr>
              <w:spacing w:before="20" w:after="20" w:line="271" w:lineRule="auto"/>
              <w:jc w:val="center"/>
              <w:rPr>
                <w:rFonts w:cs="Arial"/>
                <w:b/>
                <w:bCs/>
                <w:sz w:val="18"/>
                <w:szCs w:val="20"/>
              </w:rPr>
            </w:pPr>
            <w:r w:rsidRPr="00B16E6B">
              <w:rPr>
                <w:rFonts w:cs="Arial"/>
                <w:b/>
                <w:bCs/>
                <w:sz w:val="18"/>
                <w:szCs w:val="20"/>
              </w:rPr>
              <w:t>Cost type</w:t>
            </w:r>
          </w:p>
        </w:tc>
        <w:tc>
          <w:tcPr>
            <w:tcW w:w="1733" w:type="dxa"/>
            <w:tcBorders>
              <w:left w:val="nil"/>
              <w:bottom w:val="single" w:sz="12" w:space="0" w:color="auto"/>
            </w:tcBorders>
            <w:shd w:val="clear" w:color="auto" w:fill="E1E9F0" w:themeFill="accent1" w:themeFillTint="1A"/>
            <w:vAlign w:val="center"/>
            <w:hideMark/>
          </w:tcPr>
          <w:p w14:paraId="5B9A5B90" w14:textId="77777777" w:rsidR="00367A87" w:rsidRPr="00B16E6B" w:rsidRDefault="00367A87" w:rsidP="009613E1">
            <w:pPr>
              <w:spacing w:before="20" w:after="20" w:line="271" w:lineRule="auto"/>
              <w:jc w:val="center"/>
              <w:rPr>
                <w:rFonts w:cs="Arial"/>
                <w:sz w:val="18"/>
                <w:szCs w:val="20"/>
              </w:rPr>
            </w:pPr>
            <w:r w:rsidRPr="00B16E6B">
              <w:rPr>
                <w:rFonts w:cs="Arial"/>
                <w:sz w:val="18"/>
                <w:szCs w:val="20"/>
              </w:rPr>
              <w:t>Industry</w:t>
            </w:r>
          </w:p>
        </w:tc>
        <w:tc>
          <w:tcPr>
            <w:tcW w:w="1701" w:type="dxa"/>
            <w:tcBorders>
              <w:bottom w:val="single" w:sz="12" w:space="0" w:color="auto"/>
            </w:tcBorders>
            <w:shd w:val="clear" w:color="auto" w:fill="E1E9F0" w:themeFill="accent1" w:themeFillTint="1A"/>
            <w:vAlign w:val="center"/>
            <w:hideMark/>
          </w:tcPr>
          <w:p w14:paraId="4BB79CC5" w14:textId="77777777" w:rsidR="00367A87" w:rsidRPr="00B16E6B" w:rsidRDefault="00367A87" w:rsidP="009613E1">
            <w:pPr>
              <w:spacing w:before="20" w:after="20" w:line="271" w:lineRule="auto"/>
              <w:jc w:val="center"/>
              <w:rPr>
                <w:rFonts w:cs="Arial"/>
                <w:sz w:val="18"/>
                <w:szCs w:val="20"/>
              </w:rPr>
            </w:pPr>
            <w:r w:rsidRPr="00B16E6B">
              <w:rPr>
                <w:rFonts w:cs="Arial"/>
                <w:sz w:val="18"/>
                <w:szCs w:val="20"/>
              </w:rPr>
              <w:t>Community</w:t>
            </w:r>
          </w:p>
        </w:tc>
        <w:tc>
          <w:tcPr>
            <w:tcW w:w="1705" w:type="dxa"/>
            <w:tcBorders>
              <w:bottom w:val="single" w:sz="12" w:space="0" w:color="auto"/>
            </w:tcBorders>
            <w:shd w:val="clear" w:color="auto" w:fill="E1E9F0" w:themeFill="accent1" w:themeFillTint="1A"/>
            <w:vAlign w:val="center"/>
            <w:hideMark/>
          </w:tcPr>
          <w:p w14:paraId="5E061C43" w14:textId="77777777" w:rsidR="00367A87" w:rsidRPr="00B16E6B" w:rsidRDefault="00367A87" w:rsidP="009613E1">
            <w:pPr>
              <w:spacing w:before="20" w:after="20" w:line="271" w:lineRule="auto"/>
              <w:jc w:val="center"/>
              <w:rPr>
                <w:rFonts w:cs="Arial"/>
                <w:sz w:val="18"/>
                <w:szCs w:val="20"/>
              </w:rPr>
            </w:pPr>
            <w:r w:rsidRPr="00B16E6B">
              <w:rPr>
                <w:rFonts w:cs="Arial"/>
                <w:sz w:val="18"/>
                <w:szCs w:val="20"/>
              </w:rPr>
              <w:t>Individuals</w:t>
            </w:r>
          </w:p>
        </w:tc>
        <w:tc>
          <w:tcPr>
            <w:tcW w:w="1554" w:type="dxa"/>
            <w:tcBorders>
              <w:bottom w:val="single" w:sz="12" w:space="0" w:color="auto"/>
            </w:tcBorders>
            <w:shd w:val="clear" w:color="auto" w:fill="E1E9F0" w:themeFill="accent1" w:themeFillTint="1A"/>
            <w:vAlign w:val="center"/>
            <w:hideMark/>
          </w:tcPr>
          <w:p w14:paraId="2B77295B" w14:textId="77777777" w:rsidR="00367A87" w:rsidRPr="00B16E6B" w:rsidRDefault="00367A87" w:rsidP="009613E1">
            <w:pPr>
              <w:spacing w:before="20" w:after="20" w:line="271" w:lineRule="auto"/>
              <w:jc w:val="center"/>
              <w:rPr>
                <w:rFonts w:cs="Arial"/>
                <w:sz w:val="18"/>
                <w:szCs w:val="20"/>
              </w:rPr>
            </w:pPr>
            <w:r w:rsidRPr="00B16E6B">
              <w:rPr>
                <w:rFonts w:cs="Arial"/>
                <w:sz w:val="18"/>
                <w:szCs w:val="20"/>
              </w:rPr>
              <w:t>Total cost</w:t>
            </w:r>
          </w:p>
        </w:tc>
      </w:tr>
      <w:tr w:rsidR="0003647E" w:rsidRPr="00B16E6B" w14:paraId="657E5D6C" w14:textId="77777777" w:rsidTr="00E117E0">
        <w:tc>
          <w:tcPr>
            <w:tcW w:w="1293" w:type="dxa"/>
            <w:tcBorders>
              <w:top w:val="nil"/>
            </w:tcBorders>
            <w:shd w:val="clear" w:color="auto" w:fill="F2F2F2"/>
          </w:tcPr>
          <w:p w14:paraId="11FF3242" w14:textId="77777777" w:rsidR="0003647E" w:rsidRPr="00B16E6B" w:rsidRDefault="0003647E" w:rsidP="009613E1">
            <w:pPr>
              <w:spacing w:before="20" w:after="20" w:line="271" w:lineRule="auto"/>
              <w:rPr>
                <w:rFonts w:cs="Arial"/>
                <w:sz w:val="18"/>
                <w:szCs w:val="20"/>
              </w:rPr>
            </w:pPr>
            <w:r w:rsidRPr="00B16E6B">
              <w:rPr>
                <w:rFonts w:cs="Arial"/>
                <w:sz w:val="18"/>
                <w:szCs w:val="20"/>
              </w:rPr>
              <w:t>Aviation</w:t>
            </w:r>
          </w:p>
        </w:tc>
        <w:tc>
          <w:tcPr>
            <w:tcW w:w="1581" w:type="dxa"/>
            <w:tcBorders>
              <w:top w:val="nil"/>
            </w:tcBorders>
            <w:shd w:val="clear" w:color="auto" w:fill="F2F2F2"/>
            <w:vAlign w:val="center"/>
            <w:hideMark/>
          </w:tcPr>
          <w:p w14:paraId="0637C0A2" w14:textId="77777777" w:rsidR="0003647E" w:rsidRPr="00B16E6B" w:rsidRDefault="0003647E" w:rsidP="009613E1">
            <w:pPr>
              <w:spacing w:before="20" w:after="20" w:line="271" w:lineRule="auto"/>
              <w:rPr>
                <w:rFonts w:cs="Arial"/>
                <w:sz w:val="18"/>
                <w:szCs w:val="20"/>
              </w:rPr>
            </w:pPr>
            <w:r w:rsidRPr="00B16E6B">
              <w:rPr>
                <w:rFonts w:cs="Arial"/>
                <w:sz w:val="18"/>
                <w:szCs w:val="20"/>
              </w:rPr>
              <w:t xml:space="preserve">One-off </w:t>
            </w:r>
          </w:p>
        </w:tc>
        <w:tc>
          <w:tcPr>
            <w:tcW w:w="1733" w:type="dxa"/>
            <w:tcBorders>
              <w:top w:val="single" w:sz="12" w:space="0" w:color="auto"/>
            </w:tcBorders>
            <w:shd w:val="clear" w:color="auto" w:fill="FFFFFF" w:themeFill="background1"/>
            <w:vAlign w:val="center"/>
          </w:tcPr>
          <w:p w14:paraId="23E5B23D" w14:textId="77777777" w:rsidR="0003647E" w:rsidRPr="00B16E6B" w:rsidRDefault="0003647E" w:rsidP="009613E1">
            <w:pPr>
              <w:spacing w:before="20" w:after="20" w:line="271" w:lineRule="auto"/>
              <w:jc w:val="center"/>
              <w:rPr>
                <w:rFonts w:cs="Arial"/>
                <w:sz w:val="18"/>
                <w:szCs w:val="20"/>
              </w:rPr>
            </w:pPr>
            <w:r w:rsidRPr="00B16E6B">
              <w:rPr>
                <w:rFonts w:cs="Arial"/>
                <w:sz w:val="18"/>
                <w:szCs w:val="20"/>
              </w:rPr>
              <w:t>61</w:t>
            </w:r>
          </w:p>
        </w:tc>
        <w:tc>
          <w:tcPr>
            <w:tcW w:w="1701" w:type="dxa"/>
            <w:tcBorders>
              <w:top w:val="single" w:sz="12" w:space="0" w:color="auto"/>
            </w:tcBorders>
            <w:shd w:val="clear" w:color="auto" w:fill="FFFFFF" w:themeFill="background1"/>
            <w:vAlign w:val="center"/>
          </w:tcPr>
          <w:p w14:paraId="3DF38828" w14:textId="77777777" w:rsidR="0003647E" w:rsidRPr="00B16E6B" w:rsidRDefault="0003647E" w:rsidP="009613E1">
            <w:pPr>
              <w:spacing w:before="20" w:after="20" w:line="271" w:lineRule="auto"/>
              <w:jc w:val="center"/>
              <w:rPr>
                <w:rFonts w:cs="Arial"/>
                <w:sz w:val="18"/>
                <w:szCs w:val="20"/>
              </w:rPr>
            </w:pPr>
            <w:r w:rsidRPr="00B16E6B">
              <w:rPr>
                <w:rFonts w:cs="Arial"/>
                <w:sz w:val="18"/>
                <w:szCs w:val="20"/>
              </w:rPr>
              <w:t>Nil</w:t>
            </w:r>
          </w:p>
        </w:tc>
        <w:tc>
          <w:tcPr>
            <w:tcW w:w="1705" w:type="dxa"/>
            <w:tcBorders>
              <w:top w:val="single" w:sz="12" w:space="0" w:color="auto"/>
            </w:tcBorders>
            <w:shd w:val="clear" w:color="auto" w:fill="FFFFFF" w:themeFill="background1"/>
            <w:vAlign w:val="center"/>
          </w:tcPr>
          <w:p w14:paraId="42BB30A3" w14:textId="77777777" w:rsidR="0003647E" w:rsidRPr="00B16E6B" w:rsidRDefault="0003647E" w:rsidP="009613E1">
            <w:pPr>
              <w:spacing w:before="20" w:after="20" w:line="271" w:lineRule="auto"/>
              <w:jc w:val="center"/>
              <w:rPr>
                <w:rFonts w:cs="Arial"/>
                <w:sz w:val="18"/>
                <w:szCs w:val="20"/>
              </w:rPr>
            </w:pPr>
            <w:r w:rsidRPr="00B16E6B">
              <w:rPr>
                <w:rFonts w:cs="Arial"/>
                <w:sz w:val="18"/>
                <w:szCs w:val="20"/>
              </w:rPr>
              <w:t>Nil</w:t>
            </w:r>
          </w:p>
        </w:tc>
        <w:tc>
          <w:tcPr>
            <w:tcW w:w="1554" w:type="dxa"/>
            <w:tcBorders>
              <w:top w:val="single" w:sz="12" w:space="0" w:color="auto"/>
            </w:tcBorders>
            <w:shd w:val="clear" w:color="auto" w:fill="FFFFFF" w:themeFill="background1"/>
            <w:vAlign w:val="center"/>
          </w:tcPr>
          <w:p w14:paraId="2245A958" w14:textId="77777777" w:rsidR="0003647E" w:rsidRPr="00B16E6B" w:rsidRDefault="0003647E" w:rsidP="009613E1">
            <w:pPr>
              <w:spacing w:before="20" w:after="20" w:line="271" w:lineRule="auto"/>
              <w:jc w:val="center"/>
              <w:rPr>
                <w:rFonts w:cs="Arial"/>
                <w:sz w:val="18"/>
                <w:szCs w:val="20"/>
              </w:rPr>
            </w:pPr>
            <w:r w:rsidRPr="00B16E6B">
              <w:rPr>
                <w:rFonts w:cs="Arial"/>
                <w:sz w:val="18"/>
                <w:szCs w:val="20"/>
              </w:rPr>
              <w:t>61</w:t>
            </w:r>
          </w:p>
        </w:tc>
      </w:tr>
      <w:tr w:rsidR="0003647E" w:rsidRPr="00B16E6B" w14:paraId="39CC863B" w14:textId="77777777" w:rsidTr="00E117E0">
        <w:tc>
          <w:tcPr>
            <w:tcW w:w="1293" w:type="dxa"/>
            <w:tcBorders>
              <w:bottom w:val="single" w:sz="4" w:space="0" w:color="808080" w:themeColor="background1" w:themeShade="80"/>
            </w:tcBorders>
            <w:shd w:val="clear" w:color="auto" w:fill="F2F2F2"/>
          </w:tcPr>
          <w:p w14:paraId="3BD2EAE0" w14:textId="77777777" w:rsidR="0003647E" w:rsidRPr="00B16E6B" w:rsidRDefault="0003647E" w:rsidP="009613E1">
            <w:pPr>
              <w:spacing w:before="20" w:after="20" w:line="271" w:lineRule="auto"/>
              <w:rPr>
                <w:rFonts w:cs="Arial"/>
                <w:sz w:val="18"/>
                <w:szCs w:val="20"/>
              </w:rPr>
            </w:pPr>
          </w:p>
        </w:tc>
        <w:tc>
          <w:tcPr>
            <w:tcW w:w="1581" w:type="dxa"/>
            <w:tcBorders>
              <w:bottom w:val="single" w:sz="4" w:space="0" w:color="808080" w:themeColor="background1" w:themeShade="80"/>
            </w:tcBorders>
            <w:shd w:val="clear" w:color="auto" w:fill="F2F2F2"/>
            <w:vAlign w:val="center"/>
            <w:hideMark/>
          </w:tcPr>
          <w:p w14:paraId="258969C5" w14:textId="77777777" w:rsidR="0003647E" w:rsidRPr="00B16E6B" w:rsidRDefault="0003647E" w:rsidP="009613E1">
            <w:pPr>
              <w:spacing w:before="20" w:after="20" w:line="271" w:lineRule="auto"/>
              <w:rPr>
                <w:rFonts w:cs="Arial"/>
                <w:sz w:val="18"/>
                <w:szCs w:val="20"/>
              </w:rPr>
            </w:pPr>
            <w:r w:rsidRPr="00B16E6B">
              <w:rPr>
                <w:rFonts w:cs="Arial"/>
                <w:sz w:val="18"/>
                <w:szCs w:val="20"/>
              </w:rPr>
              <w:t>Ongoing (per year)</w:t>
            </w:r>
          </w:p>
        </w:tc>
        <w:tc>
          <w:tcPr>
            <w:tcW w:w="1733" w:type="dxa"/>
            <w:tcBorders>
              <w:bottom w:val="single" w:sz="4" w:space="0" w:color="808080" w:themeColor="background1" w:themeShade="80"/>
            </w:tcBorders>
            <w:shd w:val="clear" w:color="auto" w:fill="FFFFFF" w:themeFill="background1"/>
            <w:vAlign w:val="center"/>
          </w:tcPr>
          <w:p w14:paraId="23AB6E9A" w14:textId="77777777" w:rsidR="0003647E" w:rsidRPr="00B16E6B" w:rsidRDefault="0003647E" w:rsidP="009613E1">
            <w:pPr>
              <w:spacing w:before="20" w:after="20" w:line="271" w:lineRule="auto"/>
              <w:jc w:val="center"/>
              <w:rPr>
                <w:rFonts w:cs="Arial"/>
                <w:sz w:val="18"/>
                <w:szCs w:val="20"/>
              </w:rPr>
            </w:pPr>
            <w:r w:rsidRPr="00B16E6B">
              <w:rPr>
                <w:rFonts w:cs="Arial"/>
                <w:sz w:val="18"/>
                <w:szCs w:val="20"/>
              </w:rPr>
              <w:t>59</w:t>
            </w:r>
          </w:p>
        </w:tc>
        <w:tc>
          <w:tcPr>
            <w:tcW w:w="1701" w:type="dxa"/>
            <w:tcBorders>
              <w:bottom w:val="single" w:sz="4" w:space="0" w:color="808080" w:themeColor="background1" w:themeShade="80"/>
            </w:tcBorders>
            <w:shd w:val="clear" w:color="auto" w:fill="FFFFFF" w:themeFill="background1"/>
            <w:vAlign w:val="center"/>
          </w:tcPr>
          <w:p w14:paraId="02BEE117" w14:textId="77777777" w:rsidR="0003647E" w:rsidRPr="00B16E6B" w:rsidRDefault="0003647E" w:rsidP="009613E1">
            <w:pPr>
              <w:spacing w:before="20" w:after="20" w:line="271" w:lineRule="auto"/>
              <w:jc w:val="center"/>
              <w:rPr>
                <w:rFonts w:cs="Arial"/>
                <w:sz w:val="18"/>
                <w:szCs w:val="20"/>
              </w:rPr>
            </w:pPr>
            <w:r w:rsidRPr="00B16E6B">
              <w:rPr>
                <w:rFonts w:cs="Arial"/>
                <w:sz w:val="18"/>
                <w:szCs w:val="20"/>
              </w:rPr>
              <w:t>Nil</w:t>
            </w:r>
          </w:p>
        </w:tc>
        <w:tc>
          <w:tcPr>
            <w:tcW w:w="1705" w:type="dxa"/>
            <w:tcBorders>
              <w:bottom w:val="single" w:sz="4" w:space="0" w:color="808080" w:themeColor="background1" w:themeShade="80"/>
            </w:tcBorders>
            <w:shd w:val="clear" w:color="auto" w:fill="FFFFFF" w:themeFill="background1"/>
            <w:vAlign w:val="center"/>
          </w:tcPr>
          <w:p w14:paraId="6FCDEC58" w14:textId="77777777" w:rsidR="0003647E" w:rsidRPr="00B16E6B" w:rsidRDefault="0003647E" w:rsidP="009613E1">
            <w:pPr>
              <w:spacing w:before="20" w:after="20" w:line="271" w:lineRule="auto"/>
              <w:jc w:val="center"/>
              <w:rPr>
                <w:rFonts w:cs="Arial"/>
                <w:sz w:val="18"/>
                <w:szCs w:val="20"/>
              </w:rPr>
            </w:pPr>
            <w:r w:rsidRPr="00B16E6B">
              <w:rPr>
                <w:rFonts w:cs="Arial"/>
                <w:sz w:val="18"/>
                <w:szCs w:val="20"/>
              </w:rPr>
              <w:t>Nil</w:t>
            </w:r>
          </w:p>
        </w:tc>
        <w:tc>
          <w:tcPr>
            <w:tcW w:w="1554" w:type="dxa"/>
            <w:tcBorders>
              <w:bottom w:val="single" w:sz="4" w:space="0" w:color="808080" w:themeColor="background1" w:themeShade="80"/>
            </w:tcBorders>
            <w:shd w:val="clear" w:color="auto" w:fill="FFFFFF" w:themeFill="background1"/>
            <w:vAlign w:val="center"/>
          </w:tcPr>
          <w:p w14:paraId="49F0E6A1" w14:textId="77777777" w:rsidR="0003647E" w:rsidRPr="00B16E6B" w:rsidRDefault="0003647E" w:rsidP="009613E1">
            <w:pPr>
              <w:spacing w:before="20" w:after="20" w:line="271" w:lineRule="auto"/>
              <w:jc w:val="center"/>
              <w:rPr>
                <w:rFonts w:cs="Arial"/>
                <w:sz w:val="18"/>
                <w:szCs w:val="20"/>
              </w:rPr>
            </w:pPr>
            <w:r w:rsidRPr="00B16E6B">
              <w:rPr>
                <w:rFonts w:cs="Arial"/>
                <w:sz w:val="18"/>
                <w:szCs w:val="20"/>
              </w:rPr>
              <w:t>59</w:t>
            </w:r>
          </w:p>
        </w:tc>
      </w:tr>
      <w:tr w:rsidR="00C50264" w:rsidRPr="00B16E6B" w14:paraId="6329F1FE" w14:textId="77777777" w:rsidTr="00E117E0">
        <w:tc>
          <w:tcPr>
            <w:tcW w:w="1293" w:type="dxa"/>
            <w:tcBorders>
              <w:top w:val="single" w:sz="4" w:space="0" w:color="808080" w:themeColor="background1" w:themeShade="80"/>
            </w:tcBorders>
            <w:shd w:val="clear" w:color="auto" w:fill="F2F2F2"/>
          </w:tcPr>
          <w:p w14:paraId="764653CE" w14:textId="77777777" w:rsidR="00C50264" w:rsidRPr="00B16E6B" w:rsidRDefault="00C50264" w:rsidP="009613E1">
            <w:pPr>
              <w:spacing w:before="20" w:after="20" w:line="271" w:lineRule="auto"/>
              <w:rPr>
                <w:rFonts w:cs="Arial"/>
                <w:sz w:val="18"/>
                <w:szCs w:val="20"/>
              </w:rPr>
            </w:pPr>
            <w:r w:rsidRPr="00B16E6B">
              <w:rPr>
                <w:rFonts w:cs="Arial"/>
                <w:sz w:val="18"/>
                <w:szCs w:val="20"/>
              </w:rPr>
              <w:t>Maritime</w:t>
            </w:r>
          </w:p>
        </w:tc>
        <w:tc>
          <w:tcPr>
            <w:tcW w:w="1581" w:type="dxa"/>
            <w:tcBorders>
              <w:top w:val="single" w:sz="4" w:space="0" w:color="808080" w:themeColor="background1" w:themeShade="80"/>
            </w:tcBorders>
            <w:shd w:val="clear" w:color="auto" w:fill="F2F2F2"/>
            <w:vAlign w:val="center"/>
          </w:tcPr>
          <w:p w14:paraId="030A05E4" w14:textId="77777777" w:rsidR="00C50264" w:rsidRPr="00B16E6B" w:rsidRDefault="00C50264" w:rsidP="009613E1">
            <w:pPr>
              <w:spacing w:before="20" w:after="20" w:line="271" w:lineRule="auto"/>
              <w:rPr>
                <w:rFonts w:cs="Arial"/>
                <w:sz w:val="18"/>
                <w:szCs w:val="20"/>
              </w:rPr>
            </w:pPr>
            <w:r w:rsidRPr="00B16E6B">
              <w:rPr>
                <w:rFonts w:cs="Arial"/>
                <w:sz w:val="18"/>
                <w:szCs w:val="20"/>
              </w:rPr>
              <w:t>One-off</w:t>
            </w:r>
          </w:p>
        </w:tc>
        <w:tc>
          <w:tcPr>
            <w:tcW w:w="1733" w:type="dxa"/>
            <w:tcBorders>
              <w:top w:val="single" w:sz="4" w:space="0" w:color="808080" w:themeColor="background1" w:themeShade="80"/>
            </w:tcBorders>
            <w:shd w:val="clear" w:color="auto" w:fill="FFFFFF" w:themeFill="background1"/>
            <w:vAlign w:val="center"/>
          </w:tcPr>
          <w:p w14:paraId="3290BFA4"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129</w:t>
            </w:r>
          </w:p>
        </w:tc>
        <w:tc>
          <w:tcPr>
            <w:tcW w:w="1701" w:type="dxa"/>
            <w:tcBorders>
              <w:top w:val="single" w:sz="4" w:space="0" w:color="808080" w:themeColor="background1" w:themeShade="80"/>
            </w:tcBorders>
            <w:shd w:val="clear" w:color="auto" w:fill="FFFFFF" w:themeFill="background1"/>
            <w:vAlign w:val="center"/>
          </w:tcPr>
          <w:p w14:paraId="7614B8D0"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Nil</w:t>
            </w:r>
          </w:p>
        </w:tc>
        <w:tc>
          <w:tcPr>
            <w:tcW w:w="1705" w:type="dxa"/>
            <w:tcBorders>
              <w:top w:val="single" w:sz="4" w:space="0" w:color="808080" w:themeColor="background1" w:themeShade="80"/>
            </w:tcBorders>
            <w:shd w:val="clear" w:color="auto" w:fill="FFFFFF" w:themeFill="background1"/>
            <w:vAlign w:val="center"/>
          </w:tcPr>
          <w:p w14:paraId="14030A49"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Nil</w:t>
            </w:r>
          </w:p>
        </w:tc>
        <w:tc>
          <w:tcPr>
            <w:tcW w:w="1554" w:type="dxa"/>
            <w:tcBorders>
              <w:top w:val="single" w:sz="4" w:space="0" w:color="808080" w:themeColor="background1" w:themeShade="80"/>
            </w:tcBorders>
            <w:shd w:val="clear" w:color="auto" w:fill="FFFFFF" w:themeFill="background1"/>
            <w:vAlign w:val="center"/>
          </w:tcPr>
          <w:p w14:paraId="53AE5CC6"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129</w:t>
            </w:r>
          </w:p>
        </w:tc>
      </w:tr>
      <w:tr w:rsidR="00C50264" w:rsidRPr="00B16E6B" w14:paraId="3EABD456" w14:textId="77777777" w:rsidTr="00E117E0">
        <w:tc>
          <w:tcPr>
            <w:tcW w:w="1293" w:type="dxa"/>
            <w:tcBorders>
              <w:bottom w:val="single" w:sz="4" w:space="0" w:color="808080" w:themeColor="background1" w:themeShade="80"/>
            </w:tcBorders>
            <w:shd w:val="clear" w:color="auto" w:fill="F2F2F2"/>
          </w:tcPr>
          <w:p w14:paraId="5B3583D9" w14:textId="77777777" w:rsidR="00C50264" w:rsidRPr="00B16E6B" w:rsidRDefault="00C50264" w:rsidP="009613E1">
            <w:pPr>
              <w:spacing w:before="20" w:after="20" w:line="271" w:lineRule="auto"/>
              <w:rPr>
                <w:rFonts w:cs="Arial"/>
                <w:sz w:val="18"/>
                <w:szCs w:val="20"/>
              </w:rPr>
            </w:pPr>
          </w:p>
        </w:tc>
        <w:tc>
          <w:tcPr>
            <w:tcW w:w="1581" w:type="dxa"/>
            <w:tcBorders>
              <w:bottom w:val="single" w:sz="4" w:space="0" w:color="808080" w:themeColor="background1" w:themeShade="80"/>
            </w:tcBorders>
            <w:shd w:val="clear" w:color="auto" w:fill="F2F2F2"/>
            <w:vAlign w:val="center"/>
          </w:tcPr>
          <w:p w14:paraId="2F100F39" w14:textId="77777777" w:rsidR="00C50264" w:rsidRPr="00B16E6B" w:rsidRDefault="00C50264" w:rsidP="009613E1">
            <w:pPr>
              <w:spacing w:before="20" w:after="20" w:line="271" w:lineRule="auto"/>
              <w:rPr>
                <w:rFonts w:cs="Arial"/>
                <w:sz w:val="18"/>
                <w:szCs w:val="20"/>
              </w:rPr>
            </w:pPr>
            <w:r w:rsidRPr="00B16E6B">
              <w:rPr>
                <w:rFonts w:cs="Arial"/>
                <w:sz w:val="18"/>
                <w:szCs w:val="20"/>
              </w:rPr>
              <w:t>Ongoing (per year)</w:t>
            </w:r>
          </w:p>
        </w:tc>
        <w:tc>
          <w:tcPr>
            <w:tcW w:w="1733" w:type="dxa"/>
            <w:tcBorders>
              <w:bottom w:val="single" w:sz="4" w:space="0" w:color="808080" w:themeColor="background1" w:themeShade="80"/>
            </w:tcBorders>
            <w:shd w:val="clear" w:color="auto" w:fill="FFFFFF" w:themeFill="background1"/>
            <w:vAlign w:val="center"/>
          </w:tcPr>
          <w:p w14:paraId="1624CD0F"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56</w:t>
            </w:r>
          </w:p>
        </w:tc>
        <w:tc>
          <w:tcPr>
            <w:tcW w:w="1701" w:type="dxa"/>
            <w:tcBorders>
              <w:bottom w:val="single" w:sz="4" w:space="0" w:color="808080" w:themeColor="background1" w:themeShade="80"/>
            </w:tcBorders>
            <w:shd w:val="clear" w:color="auto" w:fill="FFFFFF" w:themeFill="background1"/>
            <w:vAlign w:val="center"/>
          </w:tcPr>
          <w:p w14:paraId="1CDB79A4"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Nil</w:t>
            </w:r>
          </w:p>
        </w:tc>
        <w:tc>
          <w:tcPr>
            <w:tcW w:w="1705" w:type="dxa"/>
            <w:tcBorders>
              <w:bottom w:val="single" w:sz="4" w:space="0" w:color="808080" w:themeColor="background1" w:themeShade="80"/>
            </w:tcBorders>
            <w:shd w:val="clear" w:color="auto" w:fill="FFFFFF" w:themeFill="background1"/>
            <w:vAlign w:val="center"/>
          </w:tcPr>
          <w:p w14:paraId="2AD63D1B"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Nil</w:t>
            </w:r>
          </w:p>
        </w:tc>
        <w:tc>
          <w:tcPr>
            <w:tcW w:w="1554" w:type="dxa"/>
            <w:tcBorders>
              <w:bottom w:val="single" w:sz="4" w:space="0" w:color="808080" w:themeColor="background1" w:themeShade="80"/>
            </w:tcBorders>
            <w:shd w:val="clear" w:color="auto" w:fill="FFFFFF" w:themeFill="background1"/>
            <w:vAlign w:val="center"/>
          </w:tcPr>
          <w:p w14:paraId="77F2F4F2"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56</w:t>
            </w:r>
          </w:p>
        </w:tc>
      </w:tr>
      <w:tr w:rsidR="00C50264" w:rsidRPr="00B16E6B" w14:paraId="19CE6481" w14:textId="77777777" w:rsidTr="00E117E0">
        <w:tc>
          <w:tcPr>
            <w:tcW w:w="1293" w:type="dxa"/>
            <w:tcBorders>
              <w:top w:val="single" w:sz="4" w:space="0" w:color="808080" w:themeColor="background1" w:themeShade="80"/>
            </w:tcBorders>
            <w:shd w:val="clear" w:color="auto" w:fill="F2F2F2"/>
          </w:tcPr>
          <w:p w14:paraId="60FDBAC9" w14:textId="77777777" w:rsidR="00C50264" w:rsidRPr="00B16E6B" w:rsidRDefault="00C50264" w:rsidP="009613E1">
            <w:pPr>
              <w:spacing w:before="20" w:after="20" w:line="271" w:lineRule="auto"/>
              <w:rPr>
                <w:rFonts w:cs="Arial"/>
                <w:sz w:val="18"/>
                <w:szCs w:val="20"/>
              </w:rPr>
            </w:pPr>
            <w:r w:rsidRPr="00B16E6B">
              <w:rPr>
                <w:rFonts w:cs="Arial"/>
                <w:sz w:val="18"/>
                <w:szCs w:val="20"/>
              </w:rPr>
              <w:t>Total Transport</w:t>
            </w:r>
          </w:p>
        </w:tc>
        <w:tc>
          <w:tcPr>
            <w:tcW w:w="1581" w:type="dxa"/>
            <w:tcBorders>
              <w:top w:val="single" w:sz="4" w:space="0" w:color="808080" w:themeColor="background1" w:themeShade="80"/>
            </w:tcBorders>
            <w:shd w:val="clear" w:color="auto" w:fill="F2F2F2"/>
            <w:vAlign w:val="center"/>
          </w:tcPr>
          <w:p w14:paraId="00F39F2B" w14:textId="77777777" w:rsidR="00C50264" w:rsidRPr="00B16E6B" w:rsidRDefault="00C50264" w:rsidP="009613E1">
            <w:pPr>
              <w:spacing w:before="20" w:after="20" w:line="271" w:lineRule="auto"/>
              <w:rPr>
                <w:rFonts w:cs="Arial"/>
                <w:sz w:val="18"/>
                <w:szCs w:val="20"/>
              </w:rPr>
            </w:pPr>
            <w:r w:rsidRPr="00B16E6B">
              <w:rPr>
                <w:rFonts w:cs="Arial"/>
                <w:sz w:val="18"/>
                <w:szCs w:val="20"/>
              </w:rPr>
              <w:t>One-off</w:t>
            </w:r>
          </w:p>
        </w:tc>
        <w:tc>
          <w:tcPr>
            <w:tcW w:w="1733" w:type="dxa"/>
            <w:tcBorders>
              <w:top w:val="single" w:sz="4" w:space="0" w:color="808080" w:themeColor="background1" w:themeShade="80"/>
            </w:tcBorders>
            <w:shd w:val="clear" w:color="auto" w:fill="FFFFFF" w:themeFill="background1"/>
            <w:vAlign w:val="center"/>
          </w:tcPr>
          <w:p w14:paraId="1D2DE88D"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190</w:t>
            </w:r>
          </w:p>
        </w:tc>
        <w:tc>
          <w:tcPr>
            <w:tcW w:w="1701" w:type="dxa"/>
            <w:tcBorders>
              <w:top w:val="single" w:sz="4" w:space="0" w:color="808080" w:themeColor="background1" w:themeShade="80"/>
            </w:tcBorders>
            <w:shd w:val="clear" w:color="auto" w:fill="FFFFFF" w:themeFill="background1"/>
            <w:vAlign w:val="center"/>
          </w:tcPr>
          <w:p w14:paraId="053F17FC"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Nil</w:t>
            </w:r>
          </w:p>
        </w:tc>
        <w:tc>
          <w:tcPr>
            <w:tcW w:w="1705" w:type="dxa"/>
            <w:tcBorders>
              <w:top w:val="single" w:sz="4" w:space="0" w:color="808080" w:themeColor="background1" w:themeShade="80"/>
            </w:tcBorders>
            <w:shd w:val="clear" w:color="auto" w:fill="FFFFFF" w:themeFill="background1"/>
            <w:vAlign w:val="center"/>
          </w:tcPr>
          <w:p w14:paraId="6087C459"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Nil</w:t>
            </w:r>
          </w:p>
        </w:tc>
        <w:tc>
          <w:tcPr>
            <w:tcW w:w="1554" w:type="dxa"/>
            <w:tcBorders>
              <w:top w:val="single" w:sz="4" w:space="0" w:color="808080" w:themeColor="background1" w:themeShade="80"/>
            </w:tcBorders>
            <w:shd w:val="clear" w:color="auto" w:fill="FFFFFF" w:themeFill="background1"/>
            <w:vAlign w:val="center"/>
          </w:tcPr>
          <w:p w14:paraId="53846974"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190</w:t>
            </w:r>
          </w:p>
        </w:tc>
      </w:tr>
      <w:tr w:rsidR="00C50264" w:rsidRPr="00B16E6B" w14:paraId="2378A696" w14:textId="77777777" w:rsidTr="00E117E0">
        <w:tc>
          <w:tcPr>
            <w:tcW w:w="1293" w:type="dxa"/>
            <w:shd w:val="clear" w:color="auto" w:fill="F2F2F2"/>
          </w:tcPr>
          <w:p w14:paraId="1DF268C8" w14:textId="77777777" w:rsidR="00C50264" w:rsidRPr="00B16E6B" w:rsidRDefault="00C50264" w:rsidP="009613E1">
            <w:pPr>
              <w:spacing w:before="20" w:after="20" w:line="271" w:lineRule="auto"/>
              <w:rPr>
                <w:rFonts w:cs="Arial"/>
                <w:sz w:val="18"/>
                <w:szCs w:val="20"/>
              </w:rPr>
            </w:pPr>
          </w:p>
        </w:tc>
        <w:tc>
          <w:tcPr>
            <w:tcW w:w="1581" w:type="dxa"/>
            <w:shd w:val="clear" w:color="auto" w:fill="F2F2F2"/>
            <w:vAlign w:val="center"/>
          </w:tcPr>
          <w:p w14:paraId="77AA71CE" w14:textId="77777777" w:rsidR="00C50264" w:rsidRPr="00B16E6B" w:rsidRDefault="00C50264" w:rsidP="009613E1">
            <w:pPr>
              <w:spacing w:before="20" w:after="20" w:line="271" w:lineRule="auto"/>
              <w:rPr>
                <w:rFonts w:cs="Arial"/>
                <w:sz w:val="18"/>
                <w:szCs w:val="20"/>
              </w:rPr>
            </w:pPr>
            <w:r w:rsidRPr="00B16E6B">
              <w:rPr>
                <w:rFonts w:cs="Arial"/>
                <w:sz w:val="18"/>
                <w:szCs w:val="20"/>
              </w:rPr>
              <w:t>Ongoing</w:t>
            </w:r>
          </w:p>
        </w:tc>
        <w:tc>
          <w:tcPr>
            <w:tcW w:w="1733" w:type="dxa"/>
            <w:shd w:val="clear" w:color="auto" w:fill="FFFFFF" w:themeFill="background1"/>
            <w:vAlign w:val="center"/>
          </w:tcPr>
          <w:p w14:paraId="60DCF208"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115</w:t>
            </w:r>
          </w:p>
        </w:tc>
        <w:tc>
          <w:tcPr>
            <w:tcW w:w="1701" w:type="dxa"/>
            <w:shd w:val="clear" w:color="auto" w:fill="FFFFFF" w:themeFill="background1"/>
            <w:vAlign w:val="center"/>
          </w:tcPr>
          <w:p w14:paraId="173E0309"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Nil</w:t>
            </w:r>
          </w:p>
        </w:tc>
        <w:tc>
          <w:tcPr>
            <w:tcW w:w="1705" w:type="dxa"/>
            <w:shd w:val="clear" w:color="auto" w:fill="FFFFFF" w:themeFill="background1"/>
            <w:vAlign w:val="center"/>
          </w:tcPr>
          <w:p w14:paraId="410739D9"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Nil</w:t>
            </w:r>
          </w:p>
        </w:tc>
        <w:tc>
          <w:tcPr>
            <w:tcW w:w="1554" w:type="dxa"/>
            <w:shd w:val="clear" w:color="auto" w:fill="FFFFFF" w:themeFill="background1"/>
            <w:vAlign w:val="center"/>
          </w:tcPr>
          <w:p w14:paraId="4D4321E8" w14:textId="77777777" w:rsidR="00C50264" w:rsidRPr="00B16E6B" w:rsidRDefault="00C50264" w:rsidP="009613E1">
            <w:pPr>
              <w:spacing w:before="20" w:after="20" w:line="271" w:lineRule="auto"/>
              <w:jc w:val="center"/>
              <w:rPr>
                <w:rFonts w:cs="Arial"/>
                <w:sz w:val="18"/>
                <w:szCs w:val="20"/>
              </w:rPr>
            </w:pPr>
            <w:r w:rsidRPr="00B16E6B">
              <w:rPr>
                <w:rFonts w:cs="Arial"/>
                <w:sz w:val="18"/>
                <w:szCs w:val="20"/>
              </w:rPr>
              <w:t>115</w:t>
            </w:r>
          </w:p>
        </w:tc>
      </w:tr>
    </w:tbl>
    <w:p w14:paraId="669B9225" w14:textId="578407D8" w:rsidR="00DB3135" w:rsidRPr="00B16E6B" w:rsidRDefault="00DB3135" w:rsidP="009613E1">
      <w:pPr>
        <w:spacing w:before="120" w:after="120" w:line="271" w:lineRule="auto"/>
      </w:pPr>
      <w:r w:rsidRPr="00B16E6B">
        <w:t xml:space="preserve">Based on the industry submissions made during consultations, costs </w:t>
      </w:r>
      <w:r w:rsidR="00EF4EA4" w:rsidRPr="00B16E6B">
        <w:t xml:space="preserve">of this reform </w:t>
      </w:r>
      <w:r w:rsidRPr="00B16E6B">
        <w:t xml:space="preserve">will be highest for obligations associated with measure 2 and most notably, </w:t>
      </w:r>
      <w:r w:rsidR="00292BA9" w:rsidRPr="00B16E6B">
        <w:t xml:space="preserve">personnel, </w:t>
      </w:r>
      <w:r w:rsidR="00376FB4" w:rsidRPr="00B16E6B">
        <w:t xml:space="preserve">supply chain, </w:t>
      </w:r>
      <w:r w:rsidRPr="00B16E6B">
        <w:t xml:space="preserve">cyber security, </w:t>
      </w:r>
      <w:r w:rsidR="00C26FBF" w:rsidRPr="00B16E6B">
        <w:t xml:space="preserve">and </w:t>
      </w:r>
      <w:r w:rsidRPr="00B16E6B">
        <w:t xml:space="preserve">natural hazards </w:t>
      </w:r>
      <w:r w:rsidR="000C7A5A" w:rsidRPr="00B16E6B">
        <w:t>(</w:t>
      </w:r>
      <w:r w:rsidR="000C7A5A" w:rsidRPr="00B16E6B">
        <w:rPr>
          <w:szCs w:val="22"/>
        </w:rPr>
        <w:t>noting o</w:t>
      </w:r>
      <w:r w:rsidR="000C7A5A" w:rsidRPr="00B16E6B">
        <w:rPr>
          <w:rFonts w:cs="Arial"/>
          <w:szCs w:val="22"/>
        </w:rPr>
        <w:t>bligations will apply differently across industry participants and hazard domains</w:t>
      </w:r>
      <w:r w:rsidR="004829E9" w:rsidRPr="00B16E6B">
        <w:rPr>
          <w:rFonts w:cs="Arial"/>
          <w:szCs w:val="22"/>
        </w:rPr>
        <w:t xml:space="preserve"> –</w:t>
      </w:r>
      <w:r w:rsidR="00376FB4" w:rsidRPr="00B16E6B">
        <w:rPr>
          <w:rFonts w:cs="Arial"/>
          <w:szCs w:val="22"/>
        </w:rPr>
        <w:t xml:space="preserve"> see </w:t>
      </w:r>
      <w:r w:rsidR="00362888" w:rsidRPr="00B16E6B">
        <w:t xml:space="preserve">Appendix </w:t>
      </w:r>
      <w:r w:rsidR="00362888" w:rsidRPr="00B16E6B">
        <w:rPr>
          <w:szCs w:val="22"/>
        </w:rPr>
        <w:t>B</w:t>
      </w:r>
      <w:r w:rsidR="00362888" w:rsidRPr="00B16E6B">
        <w:rPr>
          <w:rFonts w:cs="Arial"/>
          <w:szCs w:val="22"/>
        </w:rPr>
        <w:t xml:space="preserve"> </w:t>
      </w:r>
      <w:r w:rsidR="00E23E3A" w:rsidRPr="00B16E6B">
        <w:rPr>
          <w:rFonts w:cs="Arial"/>
          <w:szCs w:val="22"/>
        </w:rPr>
        <w:t>f</w:t>
      </w:r>
      <w:r w:rsidR="000C7A5A" w:rsidRPr="00B16E6B">
        <w:rPr>
          <w:rFonts w:cs="Arial"/>
          <w:szCs w:val="22"/>
        </w:rPr>
        <w:t>or a proposed structure of all hazard obligations by entity)</w:t>
      </w:r>
      <w:r w:rsidRPr="00B16E6B">
        <w:rPr>
          <w:szCs w:val="22"/>
        </w:rPr>
        <w:t>.</w:t>
      </w:r>
      <w:r w:rsidR="001E2C8D" w:rsidRPr="00B16E6B">
        <w:t xml:space="preserve"> </w:t>
      </w:r>
      <w:r w:rsidRPr="00B16E6B">
        <w:t xml:space="preserve">These costs represent approximately </w:t>
      </w:r>
      <w:r w:rsidR="00E23E3A" w:rsidRPr="00B16E6B">
        <w:t>82</w:t>
      </w:r>
      <w:r w:rsidRPr="00B16E6B">
        <w:t>% of the total cost of implementing th</w:t>
      </w:r>
      <w:r w:rsidR="00EF4EA4" w:rsidRPr="00B16E6B">
        <w:t>is reform</w:t>
      </w:r>
      <w:r w:rsidRPr="00B16E6B">
        <w:t>.</w:t>
      </w:r>
      <w:r w:rsidR="00EF4EA4" w:rsidRPr="00B16E6B">
        <w:t xml:space="preserve"> </w:t>
      </w:r>
      <w:r w:rsidR="00275C03" w:rsidRPr="00B16E6B">
        <w:t xml:space="preserve">This emphasis on measure 2 costs (and </w:t>
      </w:r>
      <w:r w:rsidR="00C26FBF" w:rsidRPr="00B16E6B">
        <w:t>personnel, supply chain, cyber security, and natural hazards</w:t>
      </w:r>
      <w:r w:rsidR="00275C03" w:rsidRPr="00B16E6B">
        <w:t xml:space="preserve"> in particular) is </w:t>
      </w:r>
      <w:r w:rsidR="004829E9" w:rsidRPr="00B16E6B">
        <w:t xml:space="preserve">because </w:t>
      </w:r>
      <w:r w:rsidR="00AE00AF" w:rsidRPr="00B16E6B">
        <w:t xml:space="preserve">some </w:t>
      </w:r>
      <w:r w:rsidR="00275C03" w:rsidRPr="00B16E6B">
        <w:t>aspects of the</w:t>
      </w:r>
      <w:r w:rsidR="00EF4EA4" w:rsidRPr="00B16E6B">
        <w:t xml:space="preserve"> </w:t>
      </w:r>
      <w:r w:rsidR="00AE00AF" w:rsidRPr="00B16E6B">
        <w:t xml:space="preserve">reforms </w:t>
      </w:r>
      <w:r w:rsidR="004829E9" w:rsidRPr="00B16E6B">
        <w:t xml:space="preserve">are </w:t>
      </w:r>
      <w:r w:rsidR="00AE00AF" w:rsidRPr="00B16E6B">
        <w:t xml:space="preserve">already </w:t>
      </w:r>
      <w:r w:rsidR="00EF4EA4" w:rsidRPr="00B16E6B">
        <w:t>capt</w:t>
      </w:r>
      <w:r w:rsidR="00AE00AF" w:rsidRPr="00B16E6B">
        <w:t xml:space="preserve">ured under the existing </w:t>
      </w:r>
      <w:r w:rsidR="00E71FA8" w:rsidRPr="00B16E6B">
        <w:t>transport security legislative framework</w:t>
      </w:r>
      <w:r w:rsidR="00FB467C" w:rsidRPr="00B16E6B">
        <w:t>s</w:t>
      </w:r>
      <w:r w:rsidR="00E71FA8" w:rsidRPr="00B16E6B">
        <w:t xml:space="preserve"> (</w:t>
      </w:r>
      <w:r w:rsidR="0096274B" w:rsidRPr="00B16E6B">
        <w:t>including</w:t>
      </w:r>
      <w:r w:rsidR="00E71FA8" w:rsidRPr="00B16E6B">
        <w:t xml:space="preserve"> special security directions, and screening requirements)</w:t>
      </w:r>
      <w:r w:rsidR="007E2DB5" w:rsidRPr="00B16E6B">
        <w:t xml:space="preserve">. </w:t>
      </w:r>
      <w:r w:rsidR="0096274B" w:rsidRPr="00B16E6B">
        <w:t>I</w:t>
      </w:r>
      <w:r w:rsidR="00AE00AF" w:rsidRPr="00B16E6B">
        <w:t>ndustry</w:t>
      </w:r>
      <w:r w:rsidR="00EF4EA4" w:rsidRPr="00B16E6B">
        <w:t xml:space="preserve"> already incur </w:t>
      </w:r>
      <w:r w:rsidR="004829E9" w:rsidRPr="00B16E6B">
        <w:t xml:space="preserve">the </w:t>
      </w:r>
      <w:r w:rsidR="0096274B" w:rsidRPr="00B16E6B">
        <w:t xml:space="preserve">compliance </w:t>
      </w:r>
      <w:r w:rsidR="00EF4EA4" w:rsidRPr="00B16E6B">
        <w:t xml:space="preserve">costs </w:t>
      </w:r>
      <w:r w:rsidR="0096274B" w:rsidRPr="00B16E6B">
        <w:t xml:space="preserve">of </w:t>
      </w:r>
      <w:r w:rsidR="00EF4EA4" w:rsidRPr="00B16E6B">
        <w:t xml:space="preserve">these </w:t>
      </w:r>
      <w:r w:rsidR="00AE00AF" w:rsidRPr="00B16E6B">
        <w:t xml:space="preserve">existing </w:t>
      </w:r>
      <w:r w:rsidR="0096274B" w:rsidRPr="00B16E6B">
        <w:t xml:space="preserve">obligations and so no additional uplift in capability (or cost) will be required to address these new requirements. </w:t>
      </w:r>
    </w:p>
    <w:p w14:paraId="7942847B" w14:textId="407833D9" w:rsidR="001E2C8D" w:rsidRPr="00B16E6B" w:rsidRDefault="001E2C8D" w:rsidP="009613E1">
      <w:pPr>
        <w:spacing w:before="120" w:after="120" w:line="271" w:lineRule="auto"/>
      </w:pPr>
      <w:r w:rsidRPr="00B16E6B">
        <w:t>The cost estimates provided will be smaller in practice once considering that numerous mature industry participants are already operating at a level that would make them compliant with the proposed obligations for measure 2. This include</w:t>
      </w:r>
      <w:r w:rsidR="00EA37D5" w:rsidRPr="00B16E6B">
        <w:t>s</w:t>
      </w:r>
      <w:r w:rsidRPr="00B16E6B">
        <w:t xml:space="preserve"> </w:t>
      </w:r>
      <w:r w:rsidR="00EA37D5" w:rsidRPr="00B16E6B">
        <w:t>a cohort of</w:t>
      </w:r>
      <w:r w:rsidRPr="00B16E6B">
        <w:t xml:space="preserve"> entities that </w:t>
      </w:r>
      <w:r w:rsidR="0096274B" w:rsidRPr="00B16E6B">
        <w:t>will</w:t>
      </w:r>
      <w:r w:rsidR="00EA37D5" w:rsidRPr="00B16E6B">
        <w:t xml:space="preserve"> be subject to cyber security and supply chain obligations. </w:t>
      </w:r>
    </w:p>
    <w:p w14:paraId="07E16A3C" w14:textId="67E7C287" w:rsidR="00517446" w:rsidRPr="00B16E6B" w:rsidRDefault="00517446" w:rsidP="009613E1">
      <w:pPr>
        <w:pStyle w:val="Caption"/>
        <w:spacing w:after="60" w:line="271" w:lineRule="auto"/>
        <w:rPr>
          <w:rFonts w:eastAsia="Times New Roman" w:cs="Arial"/>
          <w:b w:val="0"/>
          <w:i/>
          <w:iCs/>
          <w:smallCaps w:val="0"/>
          <w:color w:val="44546A"/>
          <w:sz w:val="18"/>
          <w:szCs w:val="18"/>
          <w:lang w:eastAsia="en-AU"/>
        </w:rPr>
      </w:pPr>
      <w:r w:rsidRPr="00B16E6B">
        <w:rPr>
          <w:rFonts w:eastAsia="Times New Roman" w:cs="Arial"/>
          <w:i/>
          <w:iCs/>
          <w:smallCaps w:val="0"/>
          <w:color w:val="44546A"/>
          <w:sz w:val="18"/>
          <w:szCs w:val="18"/>
          <w:lang w:eastAsia="en-AU"/>
        </w:rPr>
        <w:t>Table 1</w:t>
      </w:r>
      <w:r w:rsidR="00A027FB" w:rsidRPr="00B16E6B">
        <w:rPr>
          <w:rFonts w:eastAsia="Times New Roman" w:cs="Arial"/>
          <w:i/>
          <w:iCs/>
          <w:smallCaps w:val="0"/>
          <w:color w:val="44546A"/>
          <w:sz w:val="18"/>
          <w:szCs w:val="18"/>
          <w:lang w:eastAsia="en-AU"/>
        </w:rPr>
        <w:t>6</w:t>
      </w:r>
      <w:r w:rsidRPr="00B16E6B">
        <w:rPr>
          <w:rFonts w:eastAsia="Times New Roman" w:cs="Arial"/>
          <w:i/>
          <w:iCs/>
          <w:smallCaps w:val="0"/>
          <w:color w:val="44546A"/>
          <w:sz w:val="18"/>
          <w:szCs w:val="18"/>
          <w:lang w:eastAsia="en-AU"/>
        </w:rPr>
        <w:t xml:space="preserve">: </w:t>
      </w:r>
      <w:r w:rsidRPr="00B16E6B">
        <w:rPr>
          <w:rFonts w:eastAsia="Times New Roman" w:cs="Arial"/>
          <w:b w:val="0"/>
          <w:i/>
          <w:iCs/>
          <w:smallCaps w:val="0"/>
          <w:color w:val="44546A"/>
          <w:sz w:val="18"/>
          <w:szCs w:val="18"/>
          <w:lang w:eastAsia="en-AU"/>
        </w:rPr>
        <w:t>Regulatory cost estimate (expected) cost by measure</w:t>
      </w:r>
    </w:p>
    <w:tbl>
      <w:tblPr>
        <w:tblW w:w="9500" w:type="dxa"/>
        <w:tblLook w:val="04A0" w:firstRow="1" w:lastRow="0" w:firstColumn="1" w:lastColumn="0" w:noHBand="0" w:noVBand="1"/>
      </w:tblPr>
      <w:tblGrid>
        <w:gridCol w:w="5100"/>
        <w:gridCol w:w="2200"/>
        <w:gridCol w:w="61"/>
        <w:gridCol w:w="2139"/>
      </w:tblGrid>
      <w:tr w:rsidR="00517446" w:rsidRPr="00B16E6B" w14:paraId="60DE2162" w14:textId="77777777" w:rsidTr="00434282">
        <w:trPr>
          <w:trHeight w:val="244"/>
        </w:trPr>
        <w:tc>
          <w:tcPr>
            <w:tcW w:w="5100" w:type="dxa"/>
            <w:tcBorders>
              <w:top w:val="nil"/>
              <w:left w:val="single" w:sz="8" w:space="0" w:color="D9D9D9"/>
              <w:bottom w:val="nil"/>
              <w:right w:val="single" w:sz="8" w:space="0" w:color="D9D9D9"/>
            </w:tcBorders>
            <w:shd w:val="clear" w:color="auto" w:fill="1C2B39" w:themeFill="accent1"/>
            <w:vAlign w:val="center"/>
            <w:hideMark/>
          </w:tcPr>
          <w:p w14:paraId="6DB52389" w14:textId="77777777" w:rsidR="00517446" w:rsidRPr="00B16E6B" w:rsidRDefault="00517446" w:rsidP="009613E1">
            <w:pPr>
              <w:pStyle w:val="Heading4"/>
              <w:spacing w:line="271" w:lineRule="auto"/>
              <w:rPr>
                <w:rFonts w:asciiTheme="minorHAnsi" w:eastAsia="Times New Roman" w:hAnsiTheme="minorHAnsi" w:cs="Arial"/>
                <w:b/>
                <w:bCs/>
                <w:color w:val="FFFFFF" w:themeColor="background1"/>
                <w:sz w:val="20"/>
                <w:szCs w:val="20"/>
                <w:lang w:eastAsia="en-AU"/>
              </w:rPr>
            </w:pPr>
            <w:r w:rsidRPr="00B16E6B">
              <w:rPr>
                <w:rFonts w:asciiTheme="minorHAnsi" w:eastAsia="Times New Roman" w:hAnsiTheme="minorHAnsi" w:cs="Arial"/>
                <w:b/>
                <w:bCs/>
                <w:color w:val="FFFFFF" w:themeColor="background1"/>
                <w:sz w:val="20"/>
                <w:szCs w:val="20"/>
                <w:lang w:eastAsia="en-AU"/>
              </w:rPr>
              <w:t>Sector Costs by measure</w:t>
            </w:r>
          </w:p>
        </w:tc>
        <w:tc>
          <w:tcPr>
            <w:tcW w:w="2200" w:type="dxa"/>
            <w:tcBorders>
              <w:top w:val="nil"/>
              <w:left w:val="nil"/>
              <w:bottom w:val="single" w:sz="8" w:space="0" w:color="D9D9D9"/>
              <w:right w:val="nil"/>
            </w:tcBorders>
            <w:shd w:val="clear" w:color="auto" w:fill="1C2B39" w:themeFill="accent1"/>
            <w:vAlign w:val="center"/>
            <w:hideMark/>
          </w:tcPr>
          <w:p w14:paraId="59213142" w14:textId="77777777" w:rsidR="00517446" w:rsidRPr="00B16E6B" w:rsidRDefault="00517446" w:rsidP="009613E1">
            <w:pPr>
              <w:pStyle w:val="Heading4"/>
              <w:spacing w:line="271" w:lineRule="auto"/>
              <w:jc w:val="center"/>
              <w:rPr>
                <w:rFonts w:asciiTheme="minorHAnsi" w:eastAsia="Times New Roman" w:hAnsiTheme="minorHAnsi" w:cs="Arial"/>
                <w:b/>
                <w:bCs/>
                <w:color w:val="FFFFFF" w:themeColor="background1"/>
                <w:sz w:val="20"/>
                <w:szCs w:val="20"/>
                <w:lang w:eastAsia="en-AU"/>
              </w:rPr>
            </w:pPr>
            <w:r w:rsidRPr="00B16E6B">
              <w:rPr>
                <w:rFonts w:asciiTheme="minorHAnsi" w:eastAsia="Times New Roman" w:hAnsiTheme="minorHAnsi" w:cs="Arial"/>
                <w:b/>
                <w:bCs/>
                <w:color w:val="FFFFFF" w:themeColor="background1"/>
                <w:sz w:val="20"/>
                <w:szCs w:val="20"/>
                <w:lang w:eastAsia="en-AU"/>
              </w:rPr>
              <w:t>One-off</w:t>
            </w:r>
          </w:p>
        </w:tc>
        <w:tc>
          <w:tcPr>
            <w:tcW w:w="2200" w:type="dxa"/>
            <w:gridSpan w:val="2"/>
            <w:tcBorders>
              <w:top w:val="nil"/>
              <w:left w:val="nil"/>
              <w:bottom w:val="single" w:sz="8" w:space="0" w:color="D9D9D9"/>
              <w:right w:val="nil"/>
            </w:tcBorders>
            <w:shd w:val="clear" w:color="auto" w:fill="1C2B39" w:themeFill="accent1"/>
            <w:vAlign w:val="center"/>
            <w:hideMark/>
          </w:tcPr>
          <w:p w14:paraId="696B9FCB" w14:textId="77777777" w:rsidR="00517446" w:rsidRPr="00B16E6B" w:rsidRDefault="00517446" w:rsidP="009613E1">
            <w:pPr>
              <w:pStyle w:val="Heading4"/>
              <w:spacing w:line="271" w:lineRule="auto"/>
              <w:jc w:val="center"/>
              <w:rPr>
                <w:rFonts w:asciiTheme="minorHAnsi" w:eastAsia="Times New Roman" w:hAnsiTheme="minorHAnsi" w:cs="Arial"/>
                <w:b/>
                <w:bCs/>
                <w:color w:val="FFFFFF" w:themeColor="background1"/>
                <w:sz w:val="20"/>
                <w:szCs w:val="20"/>
                <w:lang w:eastAsia="en-AU"/>
              </w:rPr>
            </w:pPr>
            <w:r w:rsidRPr="00B16E6B">
              <w:rPr>
                <w:rFonts w:asciiTheme="minorHAnsi" w:eastAsia="Times New Roman" w:hAnsiTheme="minorHAnsi" w:cs="Arial"/>
                <w:b/>
                <w:bCs/>
                <w:color w:val="FFFFFF" w:themeColor="background1"/>
                <w:sz w:val="20"/>
                <w:szCs w:val="20"/>
                <w:lang w:eastAsia="en-AU"/>
              </w:rPr>
              <w:t>Ongoing (per year)</w:t>
            </w:r>
          </w:p>
        </w:tc>
      </w:tr>
      <w:tr w:rsidR="00517446" w:rsidRPr="00B16E6B" w14:paraId="3B74F275" w14:textId="77777777" w:rsidTr="00B36BC3">
        <w:trPr>
          <w:trHeight w:val="315"/>
        </w:trPr>
        <w:tc>
          <w:tcPr>
            <w:tcW w:w="9500" w:type="dxa"/>
            <w:gridSpan w:val="4"/>
            <w:tcBorders>
              <w:top w:val="single" w:sz="8" w:space="0" w:color="808080"/>
              <w:left w:val="nil"/>
              <w:bottom w:val="single" w:sz="8" w:space="0" w:color="D9D9D9"/>
              <w:right w:val="nil"/>
            </w:tcBorders>
            <w:shd w:val="clear" w:color="auto" w:fill="E1E9F0" w:themeFill="accent1" w:themeFillTint="1A"/>
            <w:vAlign w:val="center"/>
            <w:hideMark/>
          </w:tcPr>
          <w:p w14:paraId="44B3A95B"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Measure 1 - Unlawful Interference</w:t>
            </w:r>
          </w:p>
        </w:tc>
      </w:tr>
      <w:tr w:rsidR="00517446" w:rsidRPr="00B16E6B" w14:paraId="2A3E3205" w14:textId="77777777" w:rsidTr="00AF063C">
        <w:trPr>
          <w:trHeight w:val="675"/>
        </w:trPr>
        <w:tc>
          <w:tcPr>
            <w:tcW w:w="5100" w:type="dxa"/>
            <w:tcBorders>
              <w:top w:val="nil"/>
              <w:left w:val="nil"/>
              <w:bottom w:val="single" w:sz="8" w:space="0" w:color="D9D9D9"/>
              <w:right w:val="single" w:sz="8" w:space="0" w:color="D9D9D9"/>
            </w:tcBorders>
            <w:shd w:val="clear" w:color="000000" w:fill="F2F2F2"/>
            <w:vAlign w:val="center"/>
            <w:hideMark/>
          </w:tcPr>
          <w:p w14:paraId="108649A6" w14:textId="77777777" w:rsidR="00517446" w:rsidRPr="00B16E6B" w:rsidRDefault="00517446" w:rsidP="009613E1">
            <w:pPr>
              <w:spacing w:after="0" w:line="271" w:lineRule="auto"/>
              <w:rPr>
                <w:rFonts w:eastAsia="Times New Roman" w:cs="Arial"/>
                <w:color w:val="000000"/>
                <w:sz w:val="20"/>
                <w:szCs w:val="20"/>
                <w:lang w:eastAsia="en-AU"/>
              </w:rPr>
            </w:pPr>
            <w:r w:rsidRPr="00B16E6B">
              <w:rPr>
                <w:rFonts w:eastAsia="Times New Roman" w:cs="Arial"/>
                <w:color w:val="000000"/>
                <w:sz w:val="20"/>
                <w:szCs w:val="20"/>
                <w:lang w:eastAsia="en-AU"/>
              </w:rPr>
              <w:t>Expand Definition of Unlawful Interference and reporting requirements</w:t>
            </w:r>
          </w:p>
        </w:tc>
        <w:tc>
          <w:tcPr>
            <w:tcW w:w="2261" w:type="dxa"/>
            <w:gridSpan w:val="2"/>
            <w:tcBorders>
              <w:top w:val="nil"/>
              <w:left w:val="nil"/>
              <w:bottom w:val="single" w:sz="8" w:space="0" w:color="D9D9D9"/>
              <w:right w:val="single" w:sz="8" w:space="0" w:color="D9D9D9"/>
            </w:tcBorders>
            <w:shd w:val="clear" w:color="000000" w:fill="FFFFFF"/>
            <w:vAlign w:val="center"/>
            <w:hideMark/>
          </w:tcPr>
          <w:p w14:paraId="0AC4224D"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5%</w:t>
            </w:r>
          </w:p>
        </w:tc>
        <w:tc>
          <w:tcPr>
            <w:tcW w:w="2139" w:type="dxa"/>
            <w:tcBorders>
              <w:top w:val="nil"/>
              <w:left w:val="nil"/>
              <w:bottom w:val="single" w:sz="8" w:space="0" w:color="D9D9D9"/>
              <w:right w:val="single" w:sz="8" w:space="0" w:color="D9D9D9"/>
            </w:tcBorders>
            <w:shd w:val="clear" w:color="000000" w:fill="FFFFFF"/>
            <w:vAlign w:val="center"/>
            <w:hideMark/>
          </w:tcPr>
          <w:p w14:paraId="216491E8"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8%</w:t>
            </w:r>
          </w:p>
        </w:tc>
      </w:tr>
      <w:tr w:rsidR="00517446" w:rsidRPr="00B16E6B" w14:paraId="572FD9D7" w14:textId="77777777" w:rsidTr="00B36BC3">
        <w:trPr>
          <w:trHeight w:val="330"/>
        </w:trPr>
        <w:tc>
          <w:tcPr>
            <w:tcW w:w="9500" w:type="dxa"/>
            <w:gridSpan w:val="4"/>
            <w:tcBorders>
              <w:top w:val="single" w:sz="8" w:space="0" w:color="808080"/>
              <w:left w:val="nil"/>
              <w:bottom w:val="single" w:sz="8" w:space="0" w:color="D9D9D9"/>
              <w:right w:val="nil"/>
            </w:tcBorders>
            <w:shd w:val="clear" w:color="auto" w:fill="E1E9F0" w:themeFill="accent1" w:themeFillTint="1A"/>
            <w:vAlign w:val="center"/>
            <w:hideMark/>
          </w:tcPr>
          <w:p w14:paraId="2F11C142"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Measure 2 - All hazards security framework</w:t>
            </w:r>
          </w:p>
        </w:tc>
      </w:tr>
      <w:tr w:rsidR="00517446" w:rsidRPr="00B16E6B" w14:paraId="13E51A88" w14:textId="77777777" w:rsidTr="00AF063C">
        <w:trPr>
          <w:trHeight w:val="330"/>
        </w:trPr>
        <w:tc>
          <w:tcPr>
            <w:tcW w:w="5100" w:type="dxa"/>
            <w:tcBorders>
              <w:top w:val="nil"/>
              <w:left w:val="nil"/>
              <w:bottom w:val="single" w:sz="8" w:space="0" w:color="D9D9D9"/>
              <w:right w:val="single" w:sz="8" w:space="0" w:color="D9D9D9"/>
            </w:tcBorders>
            <w:shd w:val="clear" w:color="000000" w:fill="F2F2F2"/>
            <w:vAlign w:val="center"/>
            <w:hideMark/>
          </w:tcPr>
          <w:p w14:paraId="61C4F747" w14:textId="77777777" w:rsidR="00517446" w:rsidRPr="00B16E6B" w:rsidRDefault="00517446" w:rsidP="009613E1">
            <w:pPr>
              <w:spacing w:after="0" w:line="271" w:lineRule="auto"/>
              <w:rPr>
                <w:rFonts w:eastAsia="Times New Roman" w:cs="Arial"/>
                <w:color w:val="000000"/>
                <w:sz w:val="20"/>
                <w:szCs w:val="20"/>
                <w:lang w:eastAsia="en-AU"/>
              </w:rPr>
            </w:pPr>
            <w:r w:rsidRPr="00B16E6B">
              <w:rPr>
                <w:rFonts w:eastAsia="Times New Roman" w:cs="Arial"/>
                <w:color w:val="000000"/>
                <w:sz w:val="20"/>
                <w:szCs w:val="20"/>
                <w:lang w:eastAsia="en-AU"/>
              </w:rPr>
              <w:t>Personnel Security*</w:t>
            </w:r>
          </w:p>
        </w:tc>
        <w:tc>
          <w:tcPr>
            <w:tcW w:w="2261" w:type="dxa"/>
            <w:gridSpan w:val="2"/>
            <w:tcBorders>
              <w:top w:val="nil"/>
              <w:left w:val="nil"/>
              <w:bottom w:val="single" w:sz="8" w:space="0" w:color="D9D9D9"/>
              <w:right w:val="single" w:sz="8" w:space="0" w:color="D9D9D9"/>
            </w:tcBorders>
            <w:shd w:val="clear" w:color="000000" w:fill="FFFFFF"/>
            <w:vAlign w:val="center"/>
            <w:hideMark/>
          </w:tcPr>
          <w:p w14:paraId="5C4F4764"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33%</w:t>
            </w:r>
          </w:p>
        </w:tc>
        <w:tc>
          <w:tcPr>
            <w:tcW w:w="2139" w:type="dxa"/>
            <w:tcBorders>
              <w:top w:val="nil"/>
              <w:left w:val="nil"/>
              <w:bottom w:val="single" w:sz="8" w:space="0" w:color="D9D9D9"/>
              <w:right w:val="single" w:sz="8" w:space="0" w:color="D9D9D9"/>
            </w:tcBorders>
            <w:shd w:val="clear" w:color="000000" w:fill="FFFFFF"/>
            <w:vAlign w:val="center"/>
            <w:hideMark/>
          </w:tcPr>
          <w:p w14:paraId="6872B70B"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28%</w:t>
            </w:r>
          </w:p>
        </w:tc>
      </w:tr>
      <w:tr w:rsidR="00517446" w:rsidRPr="00B16E6B" w14:paraId="48B50E7E" w14:textId="77777777" w:rsidTr="00434282">
        <w:trPr>
          <w:trHeight w:val="201"/>
        </w:trPr>
        <w:tc>
          <w:tcPr>
            <w:tcW w:w="5100" w:type="dxa"/>
            <w:tcBorders>
              <w:top w:val="nil"/>
              <w:left w:val="nil"/>
              <w:bottom w:val="single" w:sz="8" w:space="0" w:color="D9D9D9"/>
              <w:right w:val="single" w:sz="8" w:space="0" w:color="D9D9D9"/>
            </w:tcBorders>
            <w:shd w:val="clear" w:color="000000" w:fill="F2F2F2"/>
            <w:vAlign w:val="center"/>
            <w:hideMark/>
          </w:tcPr>
          <w:p w14:paraId="57379EB5" w14:textId="77777777" w:rsidR="00517446" w:rsidRPr="00B16E6B" w:rsidRDefault="00517446" w:rsidP="009613E1">
            <w:pPr>
              <w:spacing w:after="0" w:line="271" w:lineRule="auto"/>
              <w:rPr>
                <w:rFonts w:eastAsia="Times New Roman" w:cs="Arial"/>
                <w:color w:val="000000"/>
                <w:sz w:val="20"/>
                <w:szCs w:val="20"/>
                <w:lang w:eastAsia="en-AU"/>
              </w:rPr>
            </w:pPr>
            <w:r w:rsidRPr="00B16E6B">
              <w:rPr>
                <w:rFonts w:eastAsia="Times New Roman" w:cs="Arial"/>
                <w:color w:val="000000"/>
                <w:sz w:val="20"/>
                <w:szCs w:val="20"/>
                <w:lang w:eastAsia="en-AU"/>
              </w:rPr>
              <w:t>Cyber Security</w:t>
            </w:r>
          </w:p>
        </w:tc>
        <w:tc>
          <w:tcPr>
            <w:tcW w:w="2261" w:type="dxa"/>
            <w:gridSpan w:val="2"/>
            <w:tcBorders>
              <w:top w:val="nil"/>
              <w:left w:val="nil"/>
              <w:bottom w:val="single" w:sz="8" w:space="0" w:color="D9D9D9"/>
              <w:right w:val="single" w:sz="8" w:space="0" w:color="D9D9D9"/>
            </w:tcBorders>
            <w:shd w:val="clear" w:color="000000" w:fill="FFFFFF"/>
            <w:vAlign w:val="center"/>
            <w:hideMark/>
          </w:tcPr>
          <w:p w14:paraId="0BD074A7"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16%</w:t>
            </w:r>
          </w:p>
        </w:tc>
        <w:tc>
          <w:tcPr>
            <w:tcW w:w="2139" w:type="dxa"/>
            <w:tcBorders>
              <w:top w:val="nil"/>
              <w:left w:val="nil"/>
              <w:bottom w:val="single" w:sz="8" w:space="0" w:color="D9D9D9"/>
              <w:right w:val="single" w:sz="8" w:space="0" w:color="D9D9D9"/>
            </w:tcBorders>
            <w:shd w:val="clear" w:color="000000" w:fill="FFFFFF"/>
            <w:vAlign w:val="center"/>
            <w:hideMark/>
          </w:tcPr>
          <w:p w14:paraId="5717D78D"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25%</w:t>
            </w:r>
          </w:p>
        </w:tc>
      </w:tr>
      <w:tr w:rsidR="00517446" w:rsidRPr="00B16E6B" w14:paraId="0496C97F" w14:textId="77777777" w:rsidTr="00434282">
        <w:trPr>
          <w:trHeight w:val="278"/>
        </w:trPr>
        <w:tc>
          <w:tcPr>
            <w:tcW w:w="5100" w:type="dxa"/>
            <w:tcBorders>
              <w:top w:val="nil"/>
              <w:left w:val="nil"/>
              <w:bottom w:val="single" w:sz="8" w:space="0" w:color="D9D9D9"/>
              <w:right w:val="single" w:sz="8" w:space="0" w:color="D9D9D9"/>
            </w:tcBorders>
            <w:shd w:val="clear" w:color="000000" w:fill="F2F2F2"/>
            <w:vAlign w:val="center"/>
            <w:hideMark/>
          </w:tcPr>
          <w:p w14:paraId="64F9E28B" w14:textId="77777777" w:rsidR="00517446" w:rsidRPr="00B16E6B" w:rsidRDefault="00517446" w:rsidP="009613E1">
            <w:pPr>
              <w:spacing w:after="0" w:line="271" w:lineRule="auto"/>
              <w:rPr>
                <w:rFonts w:eastAsia="Times New Roman" w:cs="Arial"/>
                <w:color w:val="000000"/>
                <w:sz w:val="20"/>
                <w:szCs w:val="20"/>
                <w:lang w:eastAsia="en-AU"/>
              </w:rPr>
            </w:pPr>
            <w:r w:rsidRPr="00B16E6B">
              <w:rPr>
                <w:rFonts w:eastAsia="Times New Roman" w:cs="Arial"/>
                <w:color w:val="000000"/>
                <w:sz w:val="20"/>
                <w:szCs w:val="20"/>
                <w:lang w:eastAsia="en-AU"/>
              </w:rPr>
              <w:t>Supply Chain</w:t>
            </w:r>
          </w:p>
        </w:tc>
        <w:tc>
          <w:tcPr>
            <w:tcW w:w="2261" w:type="dxa"/>
            <w:gridSpan w:val="2"/>
            <w:tcBorders>
              <w:top w:val="nil"/>
              <w:left w:val="nil"/>
              <w:bottom w:val="single" w:sz="8" w:space="0" w:color="D9D9D9"/>
              <w:right w:val="single" w:sz="8" w:space="0" w:color="D9D9D9"/>
            </w:tcBorders>
            <w:shd w:val="clear" w:color="000000" w:fill="FFFFFF"/>
            <w:vAlign w:val="center"/>
            <w:hideMark/>
          </w:tcPr>
          <w:p w14:paraId="6174E87A"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20%</w:t>
            </w:r>
          </w:p>
        </w:tc>
        <w:tc>
          <w:tcPr>
            <w:tcW w:w="2139" w:type="dxa"/>
            <w:tcBorders>
              <w:top w:val="nil"/>
              <w:left w:val="nil"/>
              <w:bottom w:val="single" w:sz="8" w:space="0" w:color="D9D9D9"/>
              <w:right w:val="single" w:sz="8" w:space="0" w:color="D9D9D9"/>
            </w:tcBorders>
            <w:shd w:val="clear" w:color="000000" w:fill="FFFFFF"/>
            <w:vAlign w:val="center"/>
            <w:hideMark/>
          </w:tcPr>
          <w:p w14:paraId="5D07856F"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17%</w:t>
            </w:r>
          </w:p>
        </w:tc>
      </w:tr>
      <w:tr w:rsidR="00517446" w:rsidRPr="00B16E6B" w14:paraId="71747AE7" w14:textId="77777777" w:rsidTr="00434282">
        <w:trPr>
          <w:trHeight w:val="211"/>
        </w:trPr>
        <w:tc>
          <w:tcPr>
            <w:tcW w:w="5100" w:type="dxa"/>
            <w:tcBorders>
              <w:top w:val="nil"/>
              <w:left w:val="nil"/>
              <w:bottom w:val="single" w:sz="8" w:space="0" w:color="D9D9D9"/>
              <w:right w:val="single" w:sz="8" w:space="0" w:color="D9D9D9"/>
            </w:tcBorders>
            <w:shd w:val="clear" w:color="000000" w:fill="F2F2F2"/>
            <w:vAlign w:val="center"/>
            <w:hideMark/>
          </w:tcPr>
          <w:p w14:paraId="27BCBC45" w14:textId="77777777" w:rsidR="00517446" w:rsidRPr="00B16E6B" w:rsidRDefault="00517446" w:rsidP="009613E1">
            <w:pPr>
              <w:spacing w:after="0" w:line="271" w:lineRule="auto"/>
              <w:rPr>
                <w:rFonts w:eastAsia="Times New Roman" w:cs="Arial"/>
                <w:color w:val="000000"/>
                <w:sz w:val="20"/>
                <w:szCs w:val="20"/>
                <w:lang w:eastAsia="en-AU"/>
              </w:rPr>
            </w:pPr>
            <w:r w:rsidRPr="00B16E6B">
              <w:rPr>
                <w:rFonts w:eastAsia="Times New Roman" w:cs="Arial"/>
                <w:color w:val="000000"/>
                <w:sz w:val="20"/>
                <w:szCs w:val="20"/>
                <w:lang w:eastAsia="en-AU"/>
              </w:rPr>
              <w:t>Natural Hazards</w:t>
            </w:r>
          </w:p>
        </w:tc>
        <w:tc>
          <w:tcPr>
            <w:tcW w:w="2261" w:type="dxa"/>
            <w:gridSpan w:val="2"/>
            <w:tcBorders>
              <w:top w:val="nil"/>
              <w:left w:val="nil"/>
              <w:bottom w:val="single" w:sz="8" w:space="0" w:color="D9D9D9"/>
              <w:right w:val="single" w:sz="8" w:space="0" w:color="D9D9D9"/>
            </w:tcBorders>
            <w:shd w:val="clear" w:color="000000" w:fill="FFFFFF"/>
            <w:vAlign w:val="center"/>
            <w:hideMark/>
          </w:tcPr>
          <w:p w14:paraId="0E8F6036"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13%</w:t>
            </w:r>
          </w:p>
        </w:tc>
        <w:tc>
          <w:tcPr>
            <w:tcW w:w="2139" w:type="dxa"/>
            <w:tcBorders>
              <w:top w:val="nil"/>
              <w:left w:val="nil"/>
              <w:bottom w:val="single" w:sz="8" w:space="0" w:color="D9D9D9"/>
              <w:right w:val="single" w:sz="8" w:space="0" w:color="D9D9D9"/>
            </w:tcBorders>
            <w:shd w:val="clear" w:color="000000" w:fill="FFFFFF"/>
            <w:vAlign w:val="center"/>
            <w:hideMark/>
          </w:tcPr>
          <w:p w14:paraId="2D6AB37D"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10%</w:t>
            </w:r>
          </w:p>
        </w:tc>
      </w:tr>
      <w:tr w:rsidR="00517446" w:rsidRPr="00B16E6B" w14:paraId="3C15A9A3" w14:textId="77777777" w:rsidTr="00434282">
        <w:trPr>
          <w:trHeight w:val="371"/>
        </w:trPr>
        <w:tc>
          <w:tcPr>
            <w:tcW w:w="5100" w:type="dxa"/>
            <w:tcBorders>
              <w:top w:val="nil"/>
              <w:left w:val="nil"/>
              <w:bottom w:val="nil"/>
              <w:right w:val="single" w:sz="8" w:space="0" w:color="D9D9D9"/>
            </w:tcBorders>
            <w:shd w:val="clear" w:color="000000" w:fill="F2F2F2"/>
            <w:vAlign w:val="center"/>
            <w:hideMark/>
          </w:tcPr>
          <w:p w14:paraId="1C9BEE79" w14:textId="77777777" w:rsidR="00517446" w:rsidRPr="00B16E6B" w:rsidRDefault="00517446" w:rsidP="009613E1">
            <w:pPr>
              <w:spacing w:after="0" w:line="271" w:lineRule="auto"/>
              <w:rPr>
                <w:rFonts w:eastAsia="Times New Roman" w:cs="Arial"/>
                <w:color w:val="000000"/>
                <w:sz w:val="20"/>
                <w:szCs w:val="20"/>
                <w:lang w:eastAsia="en-AU"/>
              </w:rPr>
            </w:pPr>
            <w:r w:rsidRPr="00B16E6B">
              <w:rPr>
                <w:rFonts w:eastAsia="Times New Roman" w:cs="Arial"/>
                <w:color w:val="000000"/>
                <w:sz w:val="20"/>
                <w:szCs w:val="20"/>
                <w:lang w:eastAsia="en-AU"/>
              </w:rPr>
              <w:t xml:space="preserve">All Hazards Risk Assessment &amp; Attestation </w:t>
            </w:r>
          </w:p>
        </w:tc>
        <w:tc>
          <w:tcPr>
            <w:tcW w:w="2261" w:type="dxa"/>
            <w:gridSpan w:val="2"/>
            <w:tcBorders>
              <w:top w:val="nil"/>
              <w:left w:val="nil"/>
              <w:bottom w:val="nil"/>
              <w:right w:val="single" w:sz="8" w:space="0" w:color="D9D9D9"/>
            </w:tcBorders>
            <w:shd w:val="clear" w:color="000000" w:fill="FFFFFF"/>
            <w:vAlign w:val="center"/>
            <w:hideMark/>
          </w:tcPr>
          <w:p w14:paraId="251869DB"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14%</w:t>
            </w:r>
          </w:p>
        </w:tc>
        <w:tc>
          <w:tcPr>
            <w:tcW w:w="2139" w:type="dxa"/>
            <w:tcBorders>
              <w:top w:val="nil"/>
              <w:left w:val="nil"/>
              <w:bottom w:val="nil"/>
              <w:right w:val="single" w:sz="8" w:space="0" w:color="D9D9D9"/>
            </w:tcBorders>
            <w:shd w:val="clear" w:color="000000" w:fill="FFFFFF"/>
            <w:vAlign w:val="center"/>
            <w:hideMark/>
          </w:tcPr>
          <w:p w14:paraId="34A1BE7E" w14:textId="77777777" w:rsidR="00517446" w:rsidRPr="00B16E6B" w:rsidRDefault="00517446" w:rsidP="009613E1">
            <w:pPr>
              <w:spacing w:after="0" w:line="271" w:lineRule="auto"/>
              <w:jc w:val="center"/>
              <w:rPr>
                <w:rFonts w:eastAsia="Times New Roman" w:cs="Arial"/>
                <w:color w:val="000000"/>
                <w:sz w:val="20"/>
                <w:szCs w:val="20"/>
                <w:lang w:eastAsia="en-AU"/>
              </w:rPr>
            </w:pPr>
            <w:r w:rsidRPr="00B16E6B">
              <w:rPr>
                <w:rFonts w:eastAsia="Times New Roman" w:cs="Arial"/>
                <w:color w:val="000000"/>
                <w:sz w:val="20"/>
                <w:szCs w:val="20"/>
                <w:lang w:eastAsia="en-AU"/>
              </w:rPr>
              <w:t>11%</w:t>
            </w:r>
          </w:p>
        </w:tc>
      </w:tr>
      <w:tr w:rsidR="00EA37D5" w:rsidRPr="00B16E6B" w14:paraId="601054CB" w14:textId="77777777" w:rsidTr="00434282">
        <w:trPr>
          <w:trHeight w:val="138"/>
        </w:trPr>
        <w:tc>
          <w:tcPr>
            <w:tcW w:w="5100" w:type="dxa"/>
            <w:tcBorders>
              <w:top w:val="nil"/>
              <w:left w:val="nil"/>
              <w:bottom w:val="single" w:sz="8" w:space="0" w:color="D9D9D9"/>
              <w:right w:val="single" w:sz="8" w:space="0" w:color="D9D9D9"/>
            </w:tcBorders>
            <w:shd w:val="clear" w:color="auto" w:fill="1C2B39" w:themeFill="accent1"/>
            <w:vAlign w:val="center"/>
          </w:tcPr>
          <w:p w14:paraId="26199F18" w14:textId="77777777" w:rsidR="00EA37D5" w:rsidRPr="00B16E6B" w:rsidRDefault="00EA37D5" w:rsidP="009613E1">
            <w:pPr>
              <w:spacing w:after="0" w:line="271" w:lineRule="auto"/>
              <w:rPr>
                <w:rFonts w:eastAsia="Times New Roman" w:cs="Arial"/>
                <w:color w:val="FFFFFF" w:themeColor="background1"/>
                <w:sz w:val="20"/>
                <w:szCs w:val="20"/>
                <w:lang w:eastAsia="en-AU"/>
              </w:rPr>
            </w:pPr>
            <w:r w:rsidRPr="00B16E6B">
              <w:rPr>
                <w:rFonts w:eastAsia="Times New Roman" w:cs="Arial"/>
                <w:color w:val="FFFFFF" w:themeColor="background1"/>
                <w:sz w:val="20"/>
                <w:szCs w:val="20"/>
                <w:lang w:eastAsia="en-AU"/>
              </w:rPr>
              <w:t>Total cost ($ million)</w:t>
            </w:r>
          </w:p>
        </w:tc>
        <w:tc>
          <w:tcPr>
            <w:tcW w:w="2261" w:type="dxa"/>
            <w:gridSpan w:val="2"/>
            <w:tcBorders>
              <w:top w:val="nil"/>
              <w:left w:val="nil"/>
              <w:bottom w:val="single" w:sz="8" w:space="0" w:color="D9D9D9"/>
              <w:right w:val="single" w:sz="8" w:space="0" w:color="D9D9D9"/>
            </w:tcBorders>
            <w:shd w:val="clear" w:color="auto" w:fill="1C2B39" w:themeFill="accent1"/>
            <w:vAlign w:val="center"/>
          </w:tcPr>
          <w:p w14:paraId="3FF91D22" w14:textId="77777777" w:rsidR="00EA37D5" w:rsidRPr="00B16E6B" w:rsidRDefault="00EA37D5" w:rsidP="009613E1">
            <w:pPr>
              <w:spacing w:after="0" w:line="271" w:lineRule="auto"/>
              <w:jc w:val="center"/>
              <w:rPr>
                <w:rFonts w:eastAsia="Times New Roman" w:cs="Arial"/>
                <w:color w:val="FFFFFF" w:themeColor="background1"/>
                <w:sz w:val="20"/>
                <w:szCs w:val="20"/>
                <w:lang w:eastAsia="en-AU"/>
              </w:rPr>
            </w:pPr>
            <w:r w:rsidRPr="00B16E6B">
              <w:rPr>
                <w:rFonts w:eastAsia="Times New Roman" w:cs="Arial"/>
                <w:color w:val="FFFFFF" w:themeColor="background1"/>
                <w:sz w:val="20"/>
                <w:szCs w:val="20"/>
                <w:lang w:eastAsia="en-AU"/>
              </w:rPr>
              <w:t>190</w:t>
            </w:r>
          </w:p>
        </w:tc>
        <w:tc>
          <w:tcPr>
            <w:tcW w:w="2139" w:type="dxa"/>
            <w:tcBorders>
              <w:top w:val="nil"/>
              <w:left w:val="nil"/>
              <w:bottom w:val="single" w:sz="8" w:space="0" w:color="D9D9D9"/>
              <w:right w:val="single" w:sz="8" w:space="0" w:color="D9D9D9"/>
            </w:tcBorders>
            <w:shd w:val="clear" w:color="auto" w:fill="1C2B39" w:themeFill="accent1"/>
            <w:vAlign w:val="center"/>
          </w:tcPr>
          <w:p w14:paraId="52DF6AC8" w14:textId="77777777" w:rsidR="00EA37D5" w:rsidRPr="00B16E6B" w:rsidRDefault="00EA37D5" w:rsidP="009613E1">
            <w:pPr>
              <w:spacing w:after="0" w:line="271" w:lineRule="auto"/>
              <w:jc w:val="center"/>
              <w:rPr>
                <w:rFonts w:eastAsia="Times New Roman" w:cs="Arial"/>
                <w:color w:val="FFFFFF" w:themeColor="background1"/>
                <w:sz w:val="20"/>
                <w:szCs w:val="20"/>
                <w:lang w:eastAsia="en-AU"/>
              </w:rPr>
            </w:pPr>
            <w:r w:rsidRPr="00B16E6B">
              <w:rPr>
                <w:rFonts w:eastAsia="Times New Roman" w:cs="Arial"/>
                <w:color w:val="FFFFFF" w:themeColor="background1"/>
                <w:sz w:val="20"/>
                <w:szCs w:val="20"/>
                <w:lang w:eastAsia="en-AU"/>
              </w:rPr>
              <w:t>115</w:t>
            </w:r>
          </w:p>
        </w:tc>
      </w:tr>
    </w:tbl>
    <w:p w14:paraId="6D91DD4A" w14:textId="77777777" w:rsidR="004838AA" w:rsidRPr="00B16E6B" w:rsidRDefault="004838AA" w:rsidP="009613E1">
      <w:pPr>
        <w:pStyle w:val="Heading4"/>
        <w:spacing w:line="271" w:lineRule="auto"/>
        <w:rPr>
          <w:rFonts w:asciiTheme="minorHAnsi" w:eastAsiaTheme="minorEastAsia" w:hAnsiTheme="minorHAnsi" w:cstheme="minorBidi"/>
          <w:color w:val="auto"/>
          <w:sz w:val="18"/>
          <w:szCs w:val="21"/>
        </w:rPr>
      </w:pPr>
      <w:r w:rsidRPr="00B16E6B">
        <w:rPr>
          <w:rFonts w:asciiTheme="minorHAnsi" w:eastAsiaTheme="minorEastAsia" w:hAnsiTheme="minorHAnsi" w:cstheme="minorBidi"/>
          <w:color w:val="auto"/>
          <w:sz w:val="18"/>
          <w:szCs w:val="21"/>
        </w:rPr>
        <w:lastRenderedPageBreak/>
        <w:t>*Note: The costs of personnel security obligations would vary based on the size and complexity of the entity affected. Industry submissions which provided an estimate of the costs of compliance with proposed personnel security obligations suggested a correlation between the cost of the personnel security function and the size of the entity (measured in full time equivalents). Smaller entities reported lower anticipated compliance costs than larger entities with complex, remote roles with can affect the function of secure zones. Submissions also suggested that entities with no requirement to perform security functions or to control access to security zones remotely would not incur any additional costs from the security controlled activity measure.</w:t>
      </w:r>
    </w:p>
    <w:p w14:paraId="0FE34F28" w14:textId="18F287A7" w:rsidR="00EA37D5" w:rsidRPr="00B16E6B" w:rsidRDefault="00EA37D5" w:rsidP="009613E1">
      <w:pPr>
        <w:spacing w:after="200" w:line="271" w:lineRule="auto"/>
        <w:rPr>
          <w:rFonts w:asciiTheme="majorHAnsi" w:eastAsiaTheme="majorEastAsia" w:hAnsiTheme="majorHAnsi" w:cstheme="minorHAnsi"/>
          <w:color w:val="1C2B39" w:themeColor="accent1"/>
          <w:sz w:val="24"/>
          <w:szCs w:val="24"/>
        </w:rPr>
      </w:pPr>
      <w:r w:rsidRPr="00B16E6B">
        <w:t xml:space="preserve">The information </w:t>
      </w:r>
      <w:r w:rsidR="0096274B" w:rsidRPr="00B16E6B">
        <w:t xml:space="preserve">presented </w:t>
      </w:r>
      <w:r w:rsidRPr="00B16E6B">
        <w:t>in table</w:t>
      </w:r>
      <w:r w:rsidR="00206328" w:rsidRPr="00B16E6B">
        <w:t>s</w:t>
      </w:r>
      <w:r w:rsidRPr="00B16E6B">
        <w:t xml:space="preserve"> </w:t>
      </w:r>
      <w:r w:rsidR="00A027FB" w:rsidRPr="00B16E6B">
        <w:t xml:space="preserve">15 </w:t>
      </w:r>
      <w:r w:rsidRPr="00B16E6B">
        <w:t xml:space="preserve">and </w:t>
      </w:r>
      <w:r w:rsidR="00A027FB" w:rsidRPr="00B16E6B">
        <w:t xml:space="preserve">16 </w:t>
      </w:r>
      <w:r w:rsidRPr="00B16E6B">
        <w:t xml:space="preserve">is </w:t>
      </w:r>
      <w:r w:rsidR="0096274B" w:rsidRPr="00B16E6B">
        <w:t xml:space="preserve">disaggregated to the greatest extent possible while not </w:t>
      </w:r>
      <w:r w:rsidRPr="00B16E6B">
        <w:t>identif</w:t>
      </w:r>
      <w:r w:rsidR="0096274B" w:rsidRPr="00B16E6B">
        <w:t>ying</w:t>
      </w:r>
      <w:r w:rsidRPr="00B16E6B">
        <w:t xml:space="preserve"> the entities who submitted </w:t>
      </w:r>
      <w:r w:rsidR="0096274B" w:rsidRPr="00B16E6B">
        <w:t>information to the department</w:t>
      </w:r>
      <w:r w:rsidRPr="00B16E6B">
        <w:t xml:space="preserve">.  </w:t>
      </w:r>
      <w:r w:rsidRPr="00B16E6B">
        <w:br w:type="page"/>
      </w:r>
    </w:p>
    <w:p w14:paraId="1E605AF8" w14:textId="0300C747" w:rsidR="005450B9" w:rsidRPr="00B16E6B" w:rsidRDefault="005450B9" w:rsidP="009613E1">
      <w:pPr>
        <w:pStyle w:val="Heading3"/>
        <w:spacing w:line="271" w:lineRule="auto"/>
      </w:pPr>
      <w:r w:rsidRPr="00B16E6B">
        <w:lastRenderedPageBreak/>
        <w:t xml:space="preserve">4.5.2 Benefits of </w:t>
      </w:r>
      <w:r w:rsidR="00460973" w:rsidRPr="00B16E6B">
        <w:t>option</w:t>
      </w:r>
      <w:r w:rsidRPr="00B16E6B">
        <w:t xml:space="preserve"> 4</w:t>
      </w:r>
      <w:bookmarkEnd w:id="27"/>
    </w:p>
    <w:p w14:paraId="718EA0BA" w14:textId="77777777" w:rsidR="00C26FBF" w:rsidRPr="00B16E6B" w:rsidRDefault="005450B9" w:rsidP="009613E1">
      <w:pPr>
        <w:spacing w:after="120" w:line="271" w:lineRule="auto"/>
        <w:textAlignment w:val="baseline"/>
        <w:rPr>
          <w:sz w:val="20"/>
          <w:szCs w:val="20"/>
        </w:rPr>
      </w:pPr>
      <w:r w:rsidRPr="00B16E6B">
        <w:rPr>
          <w:lang w:val="en-US"/>
        </w:rPr>
        <w:t>Disruption to supply, compromise of operation, or other impacts on the transport sector can have a significant cost to the economy. Bespoke reforms can address the frequency and impact of any disruption to</w:t>
      </w:r>
      <w:r w:rsidR="00EA37D5" w:rsidRPr="00B16E6B">
        <w:rPr>
          <w:lang w:val="en-US"/>
        </w:rPr>
        <w:t xml:space="preserve"> the</w:t>
      </w:r>
      <w:r w:rsidRPr="00B16E6B">
        <w:rPr>
          <w:lang w:val="en-US"/>
        </w:rPr>
        <w:t xml:space="preserve"> availability, integrity, reliability, or confidentiality of Australia’s transport sector. There is also a direct link between implementation of option 4 and the achievement of key objectives including </w:t>
      </w:r>
      <w:r w:rsidR="00CD1EF0" w:rsidRPr="00B16E6B">
        <w:rPr>
          <w:lang w:val="en-US"/>
        </w:rPr>
        <w:t xml:space="preserve">ensuring </w:t>
      </w:r>
      <w:r w:rsidR="00487C6A" w:rsidRPr="00B16E6B">
        <w:rPr>
          <w:lang w:val="en-US"/>
        </w:rPr>
        <w:t>government</w:t>
      </w:r>
      <w:r w:rsidR="00CD1EF0" w:rsidRPr="00B16E6B">
        <w:rPr>
          <w:lang w:val="en-US"/>
        </w:rPr>
        <w:t xml:space="preserve"> and industry are equipped to respond to curr</w:t>
      </w:r>
      <w:r w:rsidR="00C26FBF" w:rsidRPr="00B16E6B">
        <w:rPr>
          <w:lang w:val="en-US"/>
        </w:rPr>
        <w:t>ent and emerging threats; ensuring</w:t>
      </w:r>
      <w:r w:rsidR="00CD1EF0" w:rsidRPr="00B16E6B">
        <w:rPr>
          <w:lang w:val="en-US"/>
        </w:rPr>
        <w:t xml:space="preserve"> industry can meet desired security outcomes, including through identifying, mitigating, and responding to all hazards threats; and ensuring Australia is proactive and adaptive to evolving international obligations, to remain compliant and stay informed of global standards and developments relating to aviation and maritime security</w:t>
      </w:r>
      <w:r w:rsidRPr="00B16E6B">
        <w:rPr>
          <w:lang w:val="en-US"/>
        </w:rPr>
        <w:t>. Together, these objectives will ensure des</w:t>
      </w:r>
      <w:r w:rsidR="00517446" w:rsidRPr="00B16E6B">
        <w:rPr>
          <w:lang w:val="en-US"/>
        </w:rPr>
        <w:t>ired security outcomes are met.</w:t>
      </w:r>
    </w:p>
    <w:p w14:paraId="07B8E819" w14:textId="77777777" w:rsidR="005450B9" w:rsidRPr="00B16E6B" w:rsidRDefault="005450B9" w:rsidP="009613E1">
      <w:pPr>
        <w:spacing w:line="271" w:lineRule="auto"/>
        <w:rPr>
          <w:lang w:val="en-US"/>
        </w:rPr>
      </w:pPr>
      <w:r w:rsidRPr="00B16E6B">
        <w:rPr>
          <w:lang w:val="en-US"/>
        </w:rPr>
        <w:t xml:space="preserve">Other benefits associated with option 4 may include: </w:t>
      </w:r>
    </w:p>
    <w:p w14:paraId="03964EF4" w14:textId="4F359351" w:rsidR="00B96086" w:rsidRPr="00B16E6B" w:rsidRDefault="00B96086" w:rsidP="00A11AF5">
      <w:pPr>
        <w:pStyle w:val="ListParagraph"/>
        <w:numPr>
          <w:ilvl w:val="0"/>
          <w:numId w:val="25"/>
        </w:numPr>
        <w:spacing w:after="120" w:line="271" w:lineRule="auto"/>
        <w:ind w:left="714" w:hanging="357"/>
        <w:contextualSpacing w:val="0"/>
      </w:pPr>
      <w:r w:rsidRPr="00B16E6B">
        <w:t>increased protection for the transport sector from all hazards security risks that may disrupt operations</w:t>
      </w:r>
    </w:p>
    <w:p w14:paraId="0EBCB7C2" w14:textId="77777777" w:rsidR="005450B9" w:rsidRPr="00B16E6B" w:rsidRDefault="005C6C15" w:rsidP="00A11AF5">
      <w:pPr>
        <w:pStyle w:val="ListParagraph"/>
        <w:numPr>
          <w:ilvl w:val="0"/>
          <w:numId w:val="25"/>
        </w:numPr>
        <w:spacing w:after="120" w:line="271" w:lineRule="auto"/>
        <w:ind w:left="714" w:hanging="357"/>
        <w:contextualSpacing w:val="0"/>
      </w:pPr>
      <w:r w:rsidRPr="00B16E6B">
        <w:t>r</w:t>
      </w:r>
      <w:r w:rsidR="005450B9" w:rsidRPr="00B16E6B">
        <w:t>educed likelihood and severity of all hazard</w:t>
      </w:r>
      <w:r w:rsidR="009A1932" w:rsidRPr="00B16E6B">
        <w:t>s events, such as cyber-attacks</w:t>
      </w:r>
    </w:p>
    <w:p w14:paraId="78E25448" w14:textId="77777777" w:rsidR="005450B9" w:rsidRPr="00B16E6B" w:rsidRDefault="00E75DD1" w:rsidP="00A11AF5">
      <w:pPr>
        <w:pStyle w:val="ListParagraph"/>
        <w:numPr>
          <w:ilvl w:val="0"/>
          <w:numId w:val="25"/>
        </w:numPr>
        <w:spacing w:after="120" w:line="271" w:lineRule="auto"/>
        <w:ind w:left="714" w:hanging="357"/>
        <w:contextualSpacing w:val="0"/>
      </w:pPr>
      <w:r w:rsidRPr="00B16E6B">
        <w:t>a</w:t>
      </w:r>
      <w:r w:rsidR="005450B9" w:rsidRPr="00B16E6B">
        <w:t xml:space="preserve">ssistance for industry, including </w:t>
      </w:r>
      <w:r w:rsidR="00487C6A" w:rsidRPr="00B16E6B">
        <w:t>government</w:t>
      </w:r>
      <w:r w:rsidR="005450B9" w:rsidRPr="00B16E6B">
        <w:t xml:space="preserve"> intervention where appropriate, to mitigate the consequences of these incidents </w:t>
      </w:r>
      <w:r w:rsidR="009A1932" w:rsidRPr="00B16E6B">
        <w:t>on Australia’s transport sector</w:t>
      </w:r>
    </w:p>
    <w:p w14:paraId="1DC840F3" w14:textId="1080C545" w:rsidR="005450B9" w:rsidRPr="00B16E6B" w:rsidRDefault="005C6C15" w:rsidP="00A11AF5">
      <w:pPr>
        <w:pStyle w:val="ListParagraph"/>
        <w:numPr>
          <w:ilvl w:val="0"/>
          <w:numId w:val="25"/>
        </w:numPr>
        <w:spacing w:after="120" w:line="271" w:lineRule="auto"/>
        <w:ind w:left="714" w:hanging="357"/>
        <w:contextualSpacing w:val="0"/>
      </w:pPr>
      <w:r w:rsidRPr="00B16E6B">
        <w:t>s</w:t>
      </w:r>
      <w:r w:rsidR="005450B9" w:rsidRPr="00B16E6B">
        <w:t xml:space="preserve">upport from </w:t>
      </w:r>
      <w:r w:rsidR="00487C6A" w:rsidRPr="00B16E6B">
        <w:t>government</w:t>
      </w:r>
      <w:r w:rsidR="005450B9" w:rsidRPr="00B16E6B">
        <w:t xml:space="preserve"> to seamlessly</w:t>
      </w:r>
      <w:r w:rsidR="009A1932" w:rsidRPr="00B16E6B">
        <w:t xml:space="preserve"> coordinate </w:t>
      </w:r>
      <w:r w:rsidR="00B96086" w:rsidRPr="00B16E6B">
        <w:t xml:space="preserve">cyber security </w:t>
      </w:r>
      <w:r w:rsidR="009A1932" w:rsidRPr="00B16E6B">
        <w:t>incident responses</w:t>
      </w:r>
    </w:p>
    <w:p w14:paraId="2670683F" w14:textId="77777777" w:rsidR="005450B9" w:rsidRPr="00B16E6B" w:rsidRDefault="005C6C15" w:rsidP="00A11AF5">
      <w:pPr>
        <w:pStyle w:val="ListParagraph"/>
        <w:numPr>
          <w:ilvl w:val="0"/>
          <w:numId w:val="25"/>
        </w:numPr>
        <w:spacing w:after="120" w:line="271" w:lineRule="auto"/>
        <w:ind w:left="714" w:hanging="357"/>
        <w:contextualSpacing w:val="0"/>
      </w:pPr>
      <w:r w:rsidRPr="00B16E6B">
        <w:t>f</w:t>
      </w:r>
      <w:r w:rsidR="005450B9" w:rsidRPr="00B16E6B">
        <w:t>lexibility in responding to evolving threats and the potentially significant impact of an all hazards event on the Australi</w:t>
      </w:r>
      <w:r w:rsidR="009A1932" w:rsidRPr="00B16E6B">
        <w:t>an economy and community</w:t>
      </w:r>
      <w:r w:rsidR="005450B9" w:rsidRPr="00B16E6B">
        <w:t xml:space="preserve"> </w:t>
      </w:r>
    </w:p>
    <w:p w14:paraId="4BCFDDB8" w14:textId="77777777" w:rsidR="00B96086" w:rsidRPr="00B16E6B" w:rsidRDefault="005C6C15" w:rsidP="00A11AF5">
      <w:pPr>
        <w:pStyle w:val="ListParagraph"/>
        <w:numPr>
          <w:ilvl w:val="0"/>
          <w:numId w:val="25"/>
        </w:numPr>
        <w:spacing w:after="120" w:line="271" w:lineRule="auto"/>
        <w:ind w:left="714" w:hanging="357"/>
        <w:contextualSpacing w:val="0"/>
      </w:pPr>
      <w:r w:rsidRPr="00B16E6B">
        <w:t>p</w:t>
      </w:r>
      <w:r w:rsidR="005450B9" w:rsidRPr="00B16E6B">
        <w:t>roactively addressing and mitigating any risks which an entity may become aware of when conducting risk management activities</w:t>
      </w:r>
    </w:p>
    <w:p w14:paraId="415BF4AE" w14:textId="611D9CAF" w:rsidR="005450B9" w:rsidRPr="00B16E6B" w:rsidRDefault="00B96086" w:rsidP="00A11AF5">
      <w:pPr>
        <w:pStyle w:val="ListParagraph"/>
        <w:numPr>
          <w:ilvl w:val="0"/>
          <w:numId w:val="25"/>
        </w:numPr>
        <w:spacing w:after="120" w:line="271" w:lineRule="auto"/>
        <w:ind w:left="714" w:hanging="357"/>
        <w:contextualSpacing w:val="0"/>
      </w:pPr>
      <w:r w:rsidRPr="00B16E6B">
        <w:t>complete adherence to the requirements of ICAO and the IMO.</w:t>
      </w:r>
    </w:p>
    <w:p w14:paraId="7FC68F19" w14:textId="05EFA3A7" w:rsidR="00DB3135" w:rsidRPr="00B16E6B" w:rsidRDefault="00DB3135" w:rsidP="009613E1">
      <w:pPr>
        <w:pStyle w:val="Heading2"/>
        <w:spacing w:line="271" w:lineRule="auto"/>
      </w:pPr>
      <w:r w:rsidRPr="00B16E6B">
        <w:t xml:space="preserve">Economic impacts of disruptions to aviation and maritime </w:t>
      </w:r>
      <w:r w:rsidR="00A76E48" w:rsidRPr="00B16E6B">
        <w:t>sectors</w:t>
      </w:r>
    </w:p>
    <w:p w14:paraId="7F6CB4C1" w14:textId="184B19C6" w:rsidR="00DB3135" w:rsidRPr="00B16E6B" w:rsidRDefault="00DB3135" w:rsidP="009613E1">
      <w:pPr>
        <w:spacing w:line="271" w:lineRule="auto"/>
      </w:pPr>
      <w:r w:rsidRPr="00B16E6B">
        <w:t xml:space="preserve">Disruptions that affect the transport sector can subsequently disrupt the flow of goods across the economy, </w:t>
      </w:r>
      <w:r w:rsidR="00FB467C" w:rsidRPr="00B16E6B">
        <w:t xml:space="preserve">which can </w:t>
      </w:r>
      <w:r w:rsidRPr="00B16E6B">
        <w:t xml:space="preserve">affect business and households. </w:t>
      </w:r>
      <w:r w:rsidR="00CD1EF0" w:rsidRPr="00B16E6B">
        <w:t>Even small disruptions to major transport control systems can quickly cascade into significant sector and nation-wide economic disruption</w:t>
      </w:r>
      <w:r w:rsidR="00FB467C" w:rsidRPr="00B16E6B">
        <w:t>s</w:t>
      </w:r>
      <w:r w:rsidR="00CD1EF0" w:rsidRPr="00B16E6B">
        <w:t xml:space="preserve">. </w:t>
      </w:r>
      <w:r w:rsidRPr="00B16E6B">
        <w:t>These events can generate costly immediate and longer-term impacts on the Australian economy. Immediate impacts of an aviation or maritime disruption are those associated with the transport of goods across the supply chain and can cause upstream and downstream impacts, such as:</w:t>
      </w:r>
    </w:p>
    <w:p w14:paraId="085F47ED" w14:textId="77777777" w:rsidR="00DB3135" w:rsidRPr="00B16E6B" w:rsidRDefault="00381947" w:rsidP="00A11AF5">
      <w:pPr>
        <w:pStyle w:val="ListParagraph"/>
        <w:numPr>
          <w:ilvl w:val="0"/>
          <w:numId w:val="25"/>
        </w:numPr>
        <w:spacing w:after="120" w:line="271" w:lineRule="auto"/>
        <w:ind w:left="714" w:hanging="357"/>
        <w:contextualSpacing w:val="0"/>
      </w:pPr>
      <w:r w:rsidRPr="00B16E6B">
        <w:t>l</w:t>
      </w:r>
      <w:r w:rsidR="00DB3135" w:rsidRPr="00B16E6B">
        <w:t>oss of productivity as a result of disrupted economic activity (e.g. workers may be idle whilst continuing to receive wages)</w:t>
      </w:r>
    </w:p>
    <w:p w14:paraId="4A5713A8" w14:textId="77777777" w:rsidR="00DB3135" w:rsidRPr="00B16E6B" w:rsidRDefault="00381947" w:rsidP="00A11AF5">
      <w:pPr>
        <w:pStyle w:val="ListParagraph"/>
        <w:numPr>
          <w:ilvl w:val="0"/>
          <w:numId w:val="25"/>
        </w:numPr>
        <w:spacing w:after="120" w:line="271" w:lineRule="auto"/>
        <w:ind w:left="714" w:hanging="357"/>
        <w:contextualSpacing w:val="0"/>
      </w:pPr>
      <w:r w:rsidRPr="00B16E6B">
        <w:t>l</w:t>
      </w:r>
      <w:r w:rsidR="00DB3135" w:rsidRPr="00B16E6B">
        <w:t>ost wages (e.g. workers may be sent home or unable to go to work)</w:t>
      </w:r>
    </w:p>
    <w:p w14:paraId="0999F597" w14:textId="77777777" w:rsidR="00DB3135" w:rsidRPr="00B16E6B" w:rsidRDefault="00381947" w:rsidP="00A11AF5">
      <w:pPr>
        <w:pStyle w:val="ListParagraph"/>
        <w:numPr>
          <w:ilvl w:val="0"/>
          <w:numId w:val="25"/>
        </w:numPr>
        <w:spacing w:after="120" w:line="271" w:lineRule="auto"/>
        <w:ind w:left="714" w:hanging="357"/>
        <w:contextualSpacing w:val="0"/>
      </w:pPr>
      <w:r w:rsidRPr="00B16E6B">
        <w:t>d</w:t>
      </w:r>
      <w:r w:rsidR="00DB3135" w:rsidRPr="00B16E6B">
        <w:t>elays in public aviation transport (e.g. hotel costs, meal vouchers, rescheduling costs)</w:t>
      </w:r>
    </w:p>
    <w:p w14:paraId="726F685C" w14:textId="77777777" w:rsidR="00DB3135" w:rsidRPr="00B16E6B" w:rsidRDefault="00381947" w:rsidP="00A11AF5">
      <w:pPr>
        <w:pStyle w:val="ListParagraph"/>
        <w:numPr>
          <w:ilvl w:val="0"/>
          <w:numId w:val="25"/>
        </w:numPr>
        <w:spacing w:after="120" w:line="271" w:lineRule="auto"/>
        <w:ind w:left="714" w:hanging="357"/>
        <w:contextualSpacing w:val="0"/>
      </w:pPr>
      <w:r w:rsidRPr="00B16E6B">
        <w:t>s</w:t>
      </w:r>
      <w:r w:rsidR="00DB3135" w:rsidRPr="00B16E6B">
        <w:t>poiled goods (e.g. goods that may have a short shelf life, such as produce)</w:t>
      </w:r>
    </w:p>
    <w:p w14:paraId="37038EB4" w14:textId="77777777" w:rsidR="00DB3135" w:rsidRPr="00B16E6B" w:rsidRDefault="00381947" w:rsidP="00A11AF5">
      <w:pPr>
        <w:pStyle w:val="ListParagraph"/>
        <w:numPr>
          <w:ilvl w:val="0"/>
          <w:numId w:val="25"/>
        </w:numPr>
        <w:spacing w:after="120" w:line="271" w:lineRule="auto"/>
        <w:ind w:left="714" w:hanging="357"/>
        <w:contextualSpacing w:val="0"/>
      </w:pPr>
      <w:r w:rsidRPr="00B16E6B">
        <w:lastRenderedPageBreak/>
        <w:t>a</w:t>
      </w:r>
      <w:r w:rsidR="00DB3135" w:rsidRPr="00B16E6B">
        <w:t>dditional holding costs (e.g. storing refrigerated goods for longer periods of time)</w:t>
      </w:r>
    </w:p>
    <w:p w14:paraId="1E865DD8" w14:textId="77777777" w:rsidR="002F2AD9" w:rsidRPr="00B16E6B" w:rsidRDefault="00381947" w:rsidP="00A11AF5">
      <w:pPr>
        <w:pStyle w:val="ListParagraph"/>
        <w:numPr>
          <w:ilvl w:val="0"/>
          <w:numId w:val="25"/>
        </w:numPr>
        <w:spacing w:after="120" w:line="271" w:lineRule="auto"/>
        <w:ind w:left="714" w:hanging="357"/>
        <w:contextualSpacing w:val="0"/>
      </w:pPr>
      <w:r w:rsidRPr="00B16E6B">
        <w:t>d</w:t>
      </w:r>
      <w:r w:rsidR="00CD1EF0" w:rsidRPr="00B16E6B">
        <w:t xml:space="preserve">isruptions to transport services can result in </w:t>
      </w:r>
      <w:r w:rsidR="002F2AD9" w:rsidRPr="00B16E6B">
        <w:t xml:space="preserve">supply shortages for the food and grocery sector, and in available medicines </w:t>
      </w:r>
    </w:p>
    <w:p w14:paraId="23CAE1C4" w14:textId="77777777" w:rsidR="002F2AD9" w:rsidRPr="00B16E6B" w:rsidRDefault="00381947" w:rsidP="00A11AF5">
      <w:pPr>
        <w:pStyle w:val="ListParagraph"/>
        <w:numPr>
          <w:ilvl w:val="0"/>
          <w:numId w:val="25"/>
        </w:numPr>
        <w:spacing w:after="120" w:line="271" w:lineRule="auto"/>
        <w:ind w:left="714" w:hanging="357"/>
        <w:contextualSpacing w:val="0"/>
      </w:pPr>
      <w:r w:rsidRPr="00B16E6B">
        <w:t>o</w:t>
      </w:r>
      <w:r w:rsidR="002F2AD9" w:rsidRPr="00B16E6B">
        <w:t>ther critical infrastructure sectors such as the energy sector and data storage or processing rely of transport services to remain operatable, risking widesp</w:t>
      </w:r>
      <w:r w:rsidR="00C26FBF" w:rsidRPr="00B16E6B">
        <w:t>read outages or inoperability of</w:t>
      </w:r>
      <w:r w:rsidR="002F2AD9" w:rsidRPr="00B16E6B">
        <w:t xml:space="preserve"> essential services. </w:t>
      </w:r>
    </w:p>
    <w:p w14:paraId="3943DBD1" w14:textId="77777777" w:rsidR="00657302" w:rsidRPr="00B16E6B" w:rsidRDefault="00657302" w:rsidP="009613E1">
      <w:pPr>
        <w:pStyle w:val="Heading4"/>
        <w:spacing w:line="271" w:lineRule="auto"/>
        <w:rPr>
          <w:b/>
        </w:rPr>
      </w:pPr>
      <w:r w:rsidRPr="00B16E6B">
        <w:t>Computable General Equilibrium (CGE) modelling approach</w:t>
      </w:r>
      <w:r w:rsidRPr="00B16E6B" w:rsidDel="00657302">
        <w:rPr>
          <w:b/>
        </w:rPr>
        <w:t xml:space="preserve"> </w:t>
      </w:r>
    </w:p>
    <w:p w14:paraId="7B54C2EE" w14:textId="3237E714" w:rsidR="00DB3135" w:rsidRPr="00B16E6B" w:rsidRDefault="00DB3135" w:rsidP="009613E1">
      <w:pPr>
        <w:spacing w:line="271" w:lineRule="auto"/>
      </w:pPr>
      <w:r w:rsidRPr="00B16E6B">
        <w:t xml:space="preserve">A scenario based on a disruption to a maritime sector entity was selected due to the availability of information and quantitative evidence. To analyse the direct and indirect economic contributions of the disruption, a CGE approach was used to model the economy as a system of interrelated economic agents operating in competitive markets. Economic theory is used to specify the behaviour and market interactions of economic agents, including consumers, investors, producers and </w:t>
      </w:r>
      <w:r w:rsidR="00487C6A" w:rsidRPr="00B16E6B">
        <w:t>government</w:t>
      </w:r>
      <w:r w:rsidRPr="00B16E6B">
        <w:t>s operating in domestic and foreign goods, capital and labour markets.</w:t>
      </w:r>
    </w:p>
    <w:p w14:paraId="7DC714C6" w14:textId="77777777" w:rsidR="00DB3135" w:rsidRPr="00B16E6B" w:rsidRDefault="00DB3135" w:rsidP="009613E1">
      <w:pPr>
        <w:spacing w:line="271" w:lineRule="auto"/>
      </w:pPr>
      <w:r w:rsidRPr="00B16E6B">
        <w:t>Defining features of the theoretical structure of the model are:</w:t>
      </w:r>
    </w:p>
    <w:p w14:paraId="5974FAEC" w14:textId="77777777" w:rsidR="00DB3135" w:rsidRPr="00B16E6B" w:rsidRDefault="00381947" w:rsidP="00A11AF5">
      <w:pPr>
        <w:pStyle w:val="ListParagraph"/>
        <w:numPr>
          <w:ilvl w:val="0"/>
          <w:numId w:val="21"/>
        </w:numPr>
        <w:spacing w:line="271" w:lineRule="auto"/>
        <w:ind w:left="714" w:hanging="357"/>
        <w:contextualSpacing w:val="0"/>
        <w:rPr>
          <w:bCs/>
          <w:lang w:val="en-US"/>
        </w:rPr>
      </w:pPr>
      <w:proofErr w:type="spellStart"/>
      <w:r w:rsidRPr="00B16E6B">
        <w:rPr>
          <w:bCs/>
          <w:lang w:val="en-US"/>
        </w:rPr>
        <w:t>o</w:t>
      </w:r>
      <w:r w:rsidR="00DB3135" w:rsidRPr="00B16E6B">
        <w:rPr>
          <w:bCs/>
          <w:lang w:val="en-US"/>
        </w:rPr>
        <w:t>ptimising</w:t>
      </w:r>
      <w:proofErr w:type="spellEnd"/>
      <w:r w:rsidR="00DB3135" w:rsidRPr="00B16E6B">
        <w:rPr>
          <w:bCs/>
          <w:lang w:val="en-US"/>
        </w:rPr>
        <w:t xml:space="preserve"> </w:t>
      </w:r>
      <w:proofErr w:type="spellStart"/>
      <w:r w:rsidR="00DB3135" w:rsidRPr="00B16E6B">
        <w:rPr>
          <w:bCs/>
          <w:lang w:val="en-US"/>
        </w:rPr>
        <w:t>behaviour</w:t>
      </w:r>
      <w:proofErr w:type="spellEnd"/>
      <w:r w:rsidR="00DB3135" w:rsidRPr="00B16E6B">
        <w:rPr>
          <w:bCs/>
          <w:lang w:val="en-US"/>
        </w:rPr>
        <w:t xml:space="preserve"> by households and businesses in the context of competitive markets with explicit resource and budget constraints </w:t>
      </w:r>
    </w:p>
    <w:p w14:paraId="77CB0779" w14:textId="77777777" w:rsidR="00DB3135" w:rsidRPr="00B16E6B" w:rsidRDefault="00381947" w:rsidP="00A11AF5">
      <w:pPr>
        <w:pStyle w:val="ListParagraph"/>
        <w:numPr>
          <w:ilvl w:val="0"/>
          <w:numId w:val="21"/>
        </w:numPr>
        <w:spacing w:line="271" w:lineRule="auto"/>
        <w:ind w:left="714" w:hanging="357"/>
        <w:contextualSpacing w:val="0"/>
        <w:rPr>
          <w:bCs/>
          <w:lang w:val="en-US"/>
        </w:rPr>
      </w:pPr>
      <w:r w:rsidRPr="00B16E6B">
        <w:rPr>
          <w:bCs/>
          <w:lang w:val="en-US"/>
        </w:rPr>
        <w:t>t</w:t>
      </w:r>
      <w:r w:rsidR="00DB3135" w:rsidRPr="00B16E6B">
        <w:rPr>
          <w:bCs/>
          <w:lang w:val="en-US"/>
        </w:rPr>
        <w:t xml:space="preserve">he price mechanism operates to clear markets for goods and factors such as </w:t>
      </w:r>
      <w:proofErr w:type="spellStart"/>
      <w:r w:rsidR="00DB3135" w:rsidRPr="00B16E6B">
        <w:rPr>
          <w:bCs/>
          <w:lang w:val="en-US"/>
        </w:rPr>
        <w:t>labour</w:t>
      </w:r>
      <w:proofErr w:type="spellEnd"/>
      <w:r w:rsidR="00DB3135" w:rsidRPr="00B16E6B">
        <w:rPr>
          <w:bCs/>
          <w:lang w:val="en-US"/>
        </w:rPr>
        <w:t xml:space="preserve"> and capital (i.e. prices adjust so that supply equals demand)</w:t>
      </w:r>
    </w:p>
    <w:p w14:paraId="42EAA1B2" w14:textId="77777777" w:rsidR="00DB3135" w:rsidRPr="00B16E6B" w:rsidRDefault="00381947" w:rsidP="00A11AF5">
      <w:pPr>
        <w:pStyle w:val="ListParagraph"/>
        <w:numPr>
          <w:ilvl w:val="0"/>
          <w:numId w:val="21"/>
        </w:numPr>
        <w:spacing w:line="271" w:lineRule="auto"/>
        <w:ind w:left="714" w:hanging="357"/>
        <w:contextualSpacing w:val="0"/>
        <w:rPr>
          <w:bCs/>
          <w:lang w:val="en-US"/>
        </w:rPr>
      </w:pPr>
      <w:r w:rsidRPr="00B16E6B">
        <w:rPr>
          <w:bCs/>
          <w:lang w:val="en-US"/>
        </w:rPr>
        <w:t>a</w:t>
      </w:r>
      <w:r w:rsidR="00DB3135" w:rsidRPr="00B16E6B">
        <w:rPr>
          <w:bCs/>
          <w:lang w:val="en-US"/>
        </w:rPr>
        <w:t>t the margin, costs are equal to revenues in all economic activities.</w:t>
      </w:r>
    </w:p>
    <w:p w14:paraId="3E4A0381" w14:textId="489A02DD" w:rsidR="00DB3135" w:rsidRPr="00B16E6B" w:rsidRDefault="00DB3135" w:rsidP="009613E1">
      <w:pPr>
        <w:spacing w:line="271" w:lineRule="auto"/>
      </w:pPr>
      <w:r w:rsidRPr="00B16E6B">
        <w:t>The modelling framework is suited to analysing the economic impact of an aviation or maritime disruption as it explicitly captures supply</w:t>
      </w:r>
      <w:r w:rsidR="0024738A" w:rsidRPr="00B16E6B">
        <w:t xml:space="preserve"> </w:t>
      </w:r>
      <w:r w:rsidRPr="00B16E6B">
        <w:t>chain linkages as well as other flow-on effects and feedback responses by all economic agents. The strength of CGE models is that they capture the upstream and downstream linkages between the activities induced by the outage and the rest of the economy in a framework that combines detailed historical data with fundamental economic theory.</w:t>
      </w:r>
    </w:p>
    <w:p w14:paraId="38753D89" w14:textId="77777777" w:rsidR="00DB3135" w:rsidRPr="00B16E6B" w:rsidRDefault="00DB3135" w:rsidP="009613E1">
      <w:pPr>
        <w:pStyle w:val="Heading4"/>
        <w:spacing w:line="271" w:lineRule="auto"/>
      </w:pPr>
      <w:r w:rsidRPr="00B16E6B">
        <w:t>Scenarios</w:t>
      </w:r>
    </w:p>
    <w:p w14:paraId="04C68A2A" w14:textId="1BC2ADD2" w:rsidR="00DB3135" w:rsidRPr="00B16E6B" w:rsidRDefault="00DB3135" w:rsidP="009613E1">
      <w:pPr>
        <w:spacing w:line="271" w:lineRule="auto"/>
      </w:pPr>
      <w:r w:rsidRPr="00B16E6B">
        <w:t>The CGE modelling provided estimates regarding how sensitive the Australian economy is to a shock to the aviation and maritime system. This analysis was undertaken by deriving a set of hypothetical modelling scenarios based on assumptions about the impact of a disruption to the aviation and maritime sectors. The scope of the hypothetical scenarios was based on studies of major events which are discussed below.</w:t>
      </w:r>
    </w:p>
    <w:p w14:paraId="4FAF151E" w14:textId="77777777" w:rsidR="00DB3135" w:rsidRPr="00B16E6B" w:rsidRDefault="00DB3135" w:rsidP="009613E1">
      <w:pPr>
        <w:pStyle w:val="Heading4"/>
        <w:spacing w:line="271" w:lineRule="auto"/>
      </w:pPr>
      <w:r w:rsidRPr="00B16E6B">
        <w:lastRenderedPageBreak/>
        <w:t>Case Studies</w:t>
      </w:r>
    </w:p>
    <w:p w14:paraId="0ACA1205" w14:textId="77777777" w:rsidR="00DB3135" w:rsidRPr="00B16E6B" w:rsidRDefault="00DB3135" w:rsidP="009613E1">
      <w:pPr>
        <w:keepNext/>
        <w:keepLines/>
        <w:spacing w:line="271" w:lineRule="auto"/>
      </w:pPr>
      <w:r w:rsidRPr="00B16E6B">
        <w:t>The case studies provided in the table below provide a basis for mo</w:t>
      </w:r>
      <w:r w:rsidR="00C26FBF" w:rsidRPr="00B16E6B">
        <w:t>delling hypothetical but comparable incidents</w:t>
      </w:r>
      <w:r w:rsidRPr="00B16E6B">
        <w:t xml:space="preserve"> in an economy-wide model and co</w:t>
      </w:r>
      <w:r w:rsidR="00C26FBF" w:rsidRPr="00B16E6B">
        <w:t>ntextualises</w:t>
      </w:r>
      <w:r w:rsidRPr="00B16E6B">
        <w:t xml:space="preserve"> the results of that modelling. Case studies have been chosen to provide insights into the economy-wide costs to households and businesses of large-scale and severe incidents.</w:t>
      </w:r>
    </w:p>
    <w:p w14:paraId="0521EF6F" w14:textId="35DC202A" w:rsidR="00DB3135" w:rsidRPr="00B16E6B" w:rsidRDefault="00DB3135" w:rsidP="009613E1">
      <w:pPr>
        <w:spacing w:after="60" w:line="271" w:lineRule="auto"/>
        <w:rPr>
          <w:rFonts w:eastAsia="Times New Roman" w:cs="Arial"/>
          <w:i/>
          <w:iCs/>
          <w:smallCaps/>
          <w:color w:val="44546A"/>
          <w:sz w:val="18"/>
          <w:szCs w:val="18"/>
          <w:lang w:eastAsia="en-AU"/>
        </w:rPr>
      </w:pPr>
      <w:r w:rsidRPr="00B16E6B">
        <w:rPr>
          <w:rFonts w:eastAsia="Times New Roman" w:cs="Arial"/>
          <w:b/>
          <w:bCs/>
          <w:i/>
          <w:iCs/>
          <w:color w:val="44546A"/>
          <w:sz w:val="18"/>
          <w:szCs w:val="18"/>
          <w:lang w:eastAsia="en-AU"/>
        </w:rPr>
        <w:t xml:space="preserve">Table </w:t>
      </w:r>
      <w:r w:rsidR="0043155A" w:rsidRPr="00B16E6B">
        <w:rPr>
          <w:rFonts w:eastAsia="Times New Roman" w:cs="Arial"/>
          <w:b/>
          <w:bCs/>
          <w:i/>
          <w:iCs/>
          <w:color w:val="44546A"/>
          <w:sz w:val="18"/>
          <w:szCs w:val="18"/>
          <w:lang w:eastAsia="en-AU"/>
        </w:rPr>
        <w:t>1</w:t>
      </w:r>
      <w:r w:rsidR="00A027FB" w:rsidRPr="00B16E6B">
        <w:rPr>
          <w:rFonts w:eastAsia="Times New Roman" w:cs="Arial"/>
          <w:b/>
          <w:bCs/>
          <w:i/>
          <w:iCs/>
          <w:color w:val="44546A"/>
          <w:sz w:val="18"/>
          <w:szCs w:val="18"/>
          <w:lang w:eastAsia="en-AU"/>
        </w:rPr>
        <w:t>7</w:t>
      </w:r>
      <w:r w:rsidRPr="00B16E6B">
        <w:rPr>
          <w:rFonts w:eastAsia="Times New Roman" w:cs="Arial"/>
          <w:b/>
          <w:bCs/>
          <w:i/>
          <w:iCs/>
          <w:color w:val="44546A"/>
          <w:sz w:val="18"/>
          <w:szCs w:val="18"/>
          <w:lang w:eastAsia="en-AU"/>
        </w:rPr>
        <w:t xml:space="preserve">: </w:t>
      </w:r>
      <w:r w:rsidRPr="00B16E6B">
        <w:rPr>
          <w:rFonts w:eastAsia="Times New Roman" w:cs="Arial"/>
          <w:bCs/>
          <w:i/>
          <w:iCs/>
          <w:color w:val="44546A"/>
          <w:sz w:val="18"/>
          <w:szCs w:val="18"/>
          <w:lang w:eastAsia="en-AU"/>
        </w:rPr>
        <w:t xml:space="preserve">Aviation and </w:t>
      </w:r>
      <w:r w:rsidR="002F2AD9" w:rsidRPr="00B16E6B">
        <w:rPr>
          <w:rFonts w:eastAsia="Times New Roman" w:cs="Arial"/>
          <w:bCs/>
          <w:i/>
          <w:iCs/>
          <w:color w:val="44546A"/>
          <w:sz w:val="18"/>
          <w:szCs w:val="18"/>
          <w:lang w:eastAsia="en-AU"/>
        </w:rPr>
        <w:t>m</w:t>
      </w:r>
      <w:r w:rsidRPr="00B16E6B">
        <w:rPr>
          <w:rFonts w:eastAsia="Times New Roman" w:cs="Arial"/>
          <w:bCs/>
          <w:i/>
          <w:iCs/>
          <w:color w:val="44546A"/>
          <w:sz w:val="18"/>
          <w:szCs w:val="18"/>
          <w:lang w:eastAsia="en-AU"/>
        </w:rPr>
        <w:t>aritime case studies</w:t>
      </w:r>
    </w:p>
    <w:tbl>
      <w:tblPr>
        <w:tblStyle w:val="TableGrid"/>
        <w:tblW w:w="9498" w:type="dxa"/>
        <w:tblInd w:w="71"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7"/>
        <w:gridCol w:w="7371"/>
      </w:tblGrid>
      <w:tr w:rsidR="00DB3135" w:rsidRPr="00B16E6B" w14:paraId="6464D08E" w14:textId="77777777" w:rsidTr="00636E0E">
        <w:trPr>
          <w:trHeight w:val="676"/>
        </w:trPr>
        <w:tc>
          <w:tcPr>
            <w:tcW w:w="2127" w:type="dxa"/>
            <w:shd w:val="clear" w:color="auto" w:fill="1C2B39" w:themeFill="accent1"/>
            <w:vAlign w:val="center"/>
            <w:hideMark/>
          </w:tcPr>
          <w:p w14:paraId="01EB2FD9" w14:textId="77777777" w:rsidR="00DB3135" w:rsidRPr="00B16E6B" w:rsidRDefault="00DB3135" w:rsidP="009613E1">
            <w:pPr>
              <w:spacing w:before="20" w:after="20" w:line="271" w:lineRule="auto"/>
              <w:jc w:val="center"/>
              <w:rPr>
                <w:rFonts w:ascii="Arial" w:hAnsi="Arial" w:cs="Arial"/>
                <w:b/>
                <w:bCs/>
                <w:sz w:val="20"/>
                <w:szCs w:val="20"/>
              </w:rPr>
            </w:pPr>
            <w:r w:rsidRPr="00B16E6B">
              <w:rPr>
                <w:rFonts w:ascii="Arial" w:hAnsi="Arial" w:cs="Arial"/>
                <w:b/>
                <w:bCs/>
                <w:sz w:val="20"/>
                <w:szCs w:val="20"/>
              </w:rPr>
              <w:t>Incident</w:t>
            </w:r>
          </w:p>
        </w:tc>
        <w:tc>
          <w:tcPr>
            <w:tcW w:w="7371" w:type="dxa"/>
            <w:shd w:val="clear" w:color="auto" w:fill="1C2B39" w:themeFill="accent1"/>
            <w:vAlign w:val="center"/>
            <w:hideMark/>
          </w:tcPr>
          <w:p w14:paraId="369745FD" w14:textId="77777777" w:rsidR="00DB3135" w:rsidRPr="00B16E6B" w:rsidRDefault="00DB3135" w:rsidP="009613E1">
            <w:pPr>
              <w:spacing w:before="60" w:after="60" w:line="271" w:lineRule="auto"/>
              <w:rPr>
                <w:rFonts w:ascii="Arial" w:hAnsi="Arial" w:cs="Arial"/>
                <w:b/>
                <w:bCs/>
                <w:sz w:val="20"/>
                <w:szCs w:val="20"/>
              </w:rPr>
            </w:pPr>
            <w:r w:rsidRPr="00B16E6B">
              <w:rPr>
                <w:rFonts w:ascii="Arial" w:hAnsi="Arial" w:cs="Arial"/>
                <w:b/>
                <w:bCs/>
                <w:sz w:val="20"/>
                <w:szCs w:val="20"/>
              </w:rPr>
              <w:t>Summary of incident</w:t>
            </w:r>
          </w:p>
        </w:tc>
      </w:tr>
      <w:tr w:rsidR="00DB3135" w:rsidRPr="00B16E6B" w14:paraId="725AD46D" w14:textId="77777777" w:rsidTr="00C64435">
        <w:trPr>
          <w:trHeight w:val="1623"/>
        </w:trPr>
        <w:tc>
          <w:tcPr>
            <w:tcW w:w="2127" w:type="dxa"/>
            <w:shd w:val="clear" w:color="auto" w:fill="F2F2F2"/>
            <w:vAlign w:val="center"/>
          </w:tcPr>
          <w:p w14:paraId="0AA1B9AC" w14:textId="77777777" w:rsidR="00DB3135" w:rsidRPr="00B16E6B" w:rsidRDefault="00DB3135" w:rsidP="009613E1">
            <w:pPr>
              <w:spacing w:before="20" w:after="20" w:line="271" w:lineRule="auto"/>
              <w:jc w:val="center"/>
              <w:rPr>
                <w:rFonts w:ascii="Arial" w:hAnsi="Arial" w:cs="Arial"/>
                <w:sz w:val="20"/>
                <w:szCs w:val="20"/>
              </w:rPr>
            </w:pPr>
            <w:r w:rsidRPr="00B16E6B">
              <w:rPr>
                <w:rFonts w:ascii="Arial" w:hAnsi="Arial" w:cs="Arial"/>
                <w:sz w:val="20"/>
                <w:szCs w:val="20"/>
              </w:rPr>
              <w:t>DP World cyber-attack (2023)</w:t>
            </w:r>
          </w:p>
        </w:tc>
        <w:tc>
          <w:tcPr>
            <w:tcW w:w="7371" w:type="dxa"/>
            <w:shd w:val="clear" w:color="auto" w:fill="FFFFFF" w:themeFill="background1"/>
            <w:vAlign w:val="center"/>
          </w:tcPr>
          <w:p w14:paraId="795CA60A" w14:textId="394C3888" w:rsidR="00DB3135" w:rsidRPr="00B16E6B" w:rsidRDefault="00DB3135" w:rsidP="009613E1">
            <w:pPr>
              <w:spacing w:before="20" w:after="20" w:line="271" w:lineRule="auto"/>
              <w:rPr>
                <w:rFonts w:ascii="Arial" w:hAnsi="Arial" w:cs="Arial"/>
                <w:sz w:val="20"/>
                <w:szCs w:val="20"/>
              </w:rPr>
            </w:pPr>
            <w:r w:rsidRPr="00B16E6B">
              <w:rPr>
                <w:rFonts w:ascii="Arial" w:hAnsi="Arial" w:cs="Arial"/>
                <w:sz w:val="20"/>
                <w:szCs w:val="20"/>
              </w:rPr>
              <w:t>On 10 November 2023 Australia’s second largest port</w:t>
            </w:r>
            <w:r w:rsidR="00B96086" w:rsidRPr="00B16E6B">
              <w:rPr>
                <w:rFonts w:ascii="Arial" w:hAnsi="Arial" w:cs="Arial"/>
                <w:sz w:val="20"/>
                <w:szCs w:val="20"/>
              </w:rPr>
              <w:t xml:space="preserve"> facility</w:t>
            </w:r>
            <w:r w:rsidRPr="00B16E6B">
              <w:rPr>
                <w:rFonts w:ascii="Arial" w:hAnsi="Arial" w:cs="Arial"/>
                <w:sz w:val="20"/>
                <w:szCs w:val="20"/>
              </w:rPr>
              <w:t xml:space="preserve"> operator, DP World, which is responsible for 40% of maritime freight in Australia, was shut down due to a cyber</w:t>
            </w:r>
            <w:r w:rsidR="00C26FBF" w:rsidRPr="00B16E6B">
              <w:rPr>
                <w:rFonts w:ascii="Arial" w:hAnsi="Arial" w:cs="Arial"/>
                <w:sz w:val="20"/>
                <w:szCs w:val="20"/>
              </w:rPr>
              <w:t xml:space="preserve"> </w:t>
            </w:r>
            <w:r w:rsidRPr="00B16E6B">
              <w:rPr>
                <w:rFonts w:ascii="Arial" w:hAnsi="Arial" w:cs="Arial"/>
                <w:sz w:val="20"/>
                <w:szCs w:val="20"/>
              </w:rPr>
              <w:t>security incident which impacted the movement of goods in and out of Australia</w:t>
            </w:r>
            <w:r w:rsidR="00C26FBF" w:rsidRPr="00B16E6B">
              <w:rPr>
                <w:rFonts w:ascii="Arial" w:hAnsi="Arial" w:cs="Arial"/>
                <w:sz w:val="20"/>
                <w:szCs w:val="20"/>
              </w:rPr>
              <w:t>.</w:t>
            </w:r>
            <w:r w:rsidRPr="00B16E6B">
              <w:rPr>
                <w:rStyle w:val="FootnoteReference"/>
                <w:rFonts w:ascii="Arial" w:hAnsi="Arial" w:cs="Arial"/>
                <w:sz w:val="20"/>
                <w:szCs w:val="20"/>
              </w:rPr>
              <w:footnoteReference w:id="46"/>
            </w:r>
            <w:r w:rsidRPr="00B16E6B">
              <w:rPr>
                <w:rFonts w:ascii="Arial" w:hAnsi="Arial" w:cs="Arial"/>
                <w:sz w:val="20"/>
                <w:szCs w:val="20"/>
              </w:rPr>
              <w:t xml:space="preserve"> Ships remained able to unload freight to the port, however, freight could not leave the port. DP </w:t>
            </w:r>
            <w:r w:rsidR="00E475F4" w:rsidRPr="00B16E6B">
              <w:rPr>
                <w:rFonts w:ascii="Arial" w:hAnsi="Arial" w:cs="Arial"/>
                <w:sz w:val="20"/>
                <w:szCs w:val="20"/>
              </w:rPr>
              <w:t>W</w:t>
            </w:r>
            <w:r w:rsidRPr="00B16E6B">
              <w:rPr>
                <w:rFonts w:ascii="Arial" w:hAnsi="Arial" w:cs="Arial"/>
                <w:sz w:val="20"/>
                <w:szCs w:val="20"/>
              </w:rPr>
              <w:t>orld contained the incident, recommencing operations on 13 November 2023 and by 20 November 2023 was able to clear the backlog comprising of approximately 30,000 containers</w:t>
            </w:r>
            <w:r w:rsidR="00C578CB" w:rsidRPr="00B16E6B">
              <w:rPr>
                <w:rFonts w:ascii="Arial" w:hAnsi="Arial" w:cs="Arial"/>
                <w:sz w:val="20"/>
                <w:szCs w:val="20"/>
              </w:rPr>
              <w:t>.</w:t>
            </w:r>
            <w:r w:rsidRPr="00B16E6B">
              <w:rPr>
                <w:rStyle w:val="FootnoteReference"/>
                <w:rFonts w:ascii="Arial" w:hAnsi="Arial" w:cs="Arial"/>
                <w:sz w:val="20"/>
                <w:szCs w:val="20"/>
              </w:rPr>
              <w:footnoteReference w:id="47"/>
            </w:r>
          </w:p>
        </w:tc>
      </w:tr>
      <w:tr w:rsidR="00DB3135" w:rsidRPr="00B16E6B" w14:paraId="42A94C63" w14:textId="77777777" w:rsidTr="002D59C7">
        <w:trPr>
          <w:trHeight w:val="699"/>
        </w:trPr>
        <w:tc>
          <w:tcPr>
            <w:tcW w:w="2127" w:type="dxa"/>
            <w:shd w:val="clear" w:color="auto" w:fill="F2F2F2"/>
            <w:vAlign w:val="center"/>
          </w:tcPr>
          <w:p w14:paraId="2194511C" w14:textId="77777777" w:rsidR="00DB3135" w:rsidRPr="00B16E6B" w:rsidRDefault="00144E68" w:rsidP="009613E1">
            <w:pPr>
              <w:spacing w:before="20" w:after="20" w:line="271" w:lineRule="auto"/>
              <w:jc w:val="center"/>
              <w:rPr>
                <w:rFonts w:ascii="Arial" w:hAnsi="Arial" w:cs="Arial"/>
                <w:sz w:val="20"/>
                <w:szCs w:val="20"/>
              </w:rPr>
            </w:pPr>
            <w:r w:rsidRPr="00B16E6B">
              <w:rPr>
                <w:rFonts w:ascii="Arial" w:hAnsi="Arial" w:cs="Arial"/>
                <w:sz w:val="20"/>
                <w:szCs w:val="20"/>
              </w:rPr>
              <w:t xml:space="preserve">British Airways </w:t>
            </w:r>
            <w:r w:rsidR="00E23E3A" w:rsidRPr="00B16E6B">
              <w:rPr>
                <w:rFonts w:ascii="Arial" w:hAnsi="Arial" w:cs="Arial"/>
                <w:sz w:val="20"/>
                <w:szCs w:val="20"/>
              </w:rPr>
              <w:t>data breach</w:t>
            </w:r>
            <w:r w:rsidRPr="00B16E6B">
              <w:rPr>
                <w:rFonts w:ascii="Arial" w:hAnsi="Arial" w:cs="Arial"/>
                <w:sz w:val="20"/>
                <w:szCs w:val="20"/>
              </w:rPr>
              <w:t xml:space="preserve"> (2018)</w:t>
            </w:r>
          </w:p>
        </w:tc>
        <w:tc>
          <w:tcPr>
            <w:tcW w:w="7371" w:type="dxa"/>
            <w:shd w:val="clear" w:color="auto" w:fill="FFFFFF" w:themeFill="background1"/>
            <w:vAlign w:val="center"/>
          </w:tcPr>
          <w:p w14:paraId="51F86E38" w14:textId="1341B9E9" w:rsidR="004E1648" w:rsidRPr="00B16E6B" w:rsidRDefault="00144E68" w:rsidP="009613E1">
            <w:pPr>
              <w:spacing w:before="20" w:after="20" w:line="271" w:lineRule="auto"/>
              <w:rPr>
                <w:rFonts w:ascii="Arial" w:hAnsi="Arial" w:cs="Arial"/>
                <w:sz w:val="20"/>
                <w:szCs w:val="20"/>
              </w:rPr>
            </w:pPr>
            <w:r w:rsidRPr="00B16E6B">
              <w:rPr>
                <w:rFonts w:ascii="Arial" w:hAnsi="Arial" w:cs="Arial"/>
                <w:sz w:val="20"/>
                <w:szCs w:val="20"/>
              </w:rPr>
              <w:t>In 2018, British Airways fell victim to a cyber-attack when malicious actors hacked the company’s website and app and stole data from approximately 430,000 customers (with 58% of these customers experiencing theft of their crucial details including credit card details and CVV codes). In the aftermath of the attack, Britain's Information Commissioner's Office in October 2021 fined British Airways 20 million pounds (AUD38.7 million). A class action followed the incident, with a group of 23,000 (as at July 2021) claimants suggesting they incurred damages as a result of the hack.</w:t>
            </w:r>
            <w:r w:rsidRPr="00B16E6B">
              <w:rPr>
                <w:rStyle w:val="FootnoteReference"/>
                <w:rFonts w:cs="Arial"/>
                <w:sz w:val="20"/>
                <w:szCs w:val="20"/>
              </w:rPr>
              <w:footnoteReference w:id="48"/>
            </w:r>
            <w:r w:rsidRPr="00B16E6B">
              <w:rPr>
                <w:rFonts w:ascii="Arial" w:hAnsi="Arial" w:cs="Arial"/>
                <w:sz w:val="20"/>
                <w:szCs w:val="20"/>
              </w:rPr>
              <w:t xml:space="preserve"> Based on publically available data, the total cost of the data breach to the airline was as much as AUD129 million in fines and compensation. This does not include any additional costs associated with strengthening cyber security (about which the airline made no public announcement).  </w:t>
            </w:r>
          </w:p>
        </w:tc>
      </w:tr>
      <w:tr w:rsidR="00DB3135" w:rsidRPr="00B16E6B" w14:paraId="34462A03" w14:textId="77777777" w:rsidTr="002D59C7">
        <w:trPr>
          <w:trHeight w:val="1408"/>
        </w:trPr>
        <w:tc>
          <w:tcPr>
            <w:tcW w:w="2127" w:type="dxa"/>
            <w:shd w:val="clear" w:color="auto" w:fill="F2F2F2"/>
            <w:vAlign w:val="center"/>
          </w:tcPr>
          <w:p w14:paraId="73E436F9" w14:textId="77777777" w:rsidR="00DB3135" w:rsidRPr="00B16E6B" w:rsidRDefault="00DB3135" w:rsidP="009613E1">
            <w:pPr>
              <w:spacing w:before="20" w:after="20" w:line="271" w:lineRule="auto"/>
              <w:jc w:val="center"/>
              <w:rPr>
                <w:rFonts w:ascii="Arial" w:hAnsi="Arial" w:cs="Arial"/>
                <w:sz w:val="20"/>
                <w:szCs w:val="20"/>
              </w:rPr>
            </w:pPr>
            <w:r w:rsidRPr="00B16E6B">
              <w:rPr>
                <w:rFonts w:ascii="Arial" w:hAnsi="Arial" w:cs="Arial"/>
                <w:sz w:val="20"/>
                <w:szCs w:val="20"/>
              </w:rPr>
              <w:t>Port of Brisbane, impact of Brisbane floods (2011)</w:t>
            </w:r>
          </w:p>
        </w:tc>
        <w:tc>
          <w:tcPr>
            <w:tcW w:w="7371" w:type="dxa"/>
            <w:shd w:val="clear" w:color="auto" w:fill="FFFFFF" w:themeFill="background1"/>
            <w:vAlign w:val="center"/>
          </w:tcPr>
          <w:p w14:paraId="151DD377" w14:textId="77777777" w:rsidR="00DB3135" w:rsidRPr="00B16E6B" w:rsidRDefault="00DB3135" w:rsidP="009613E1">
            <w:pPr>
              <w:spacing w:before="20" w:after="20" w:line="271" w:lineRule="auto"/>
              <w:rPr>
                <w:rFonts w:ascii="Arial" w:hAnsi="Arial" w:cs="Arial"/>
                <w:sz w:val="20"/>
                <w:szCs w:val="20"/>
              </w:rPr>
            </w:pPr>
            <w:r w:rsidRPr="00B16E6B">
              <w:rPr>
                <w:rFonts w:ascii="Arial" w:hAnsi="Arial" w:cs="Arial"/>
                <w:sz w:val="20"/>
                <w:szCs w:val="20"/>
              </w:rPr>
              <w:t xml:space="preserve">On 12 January 2011, the Port of Brisbane was closed to ships for 10 days due to elevated water levels, underwater debris and strong under currents </w:t>
            </w:r>
            <w:r w:rsidR="002F2AD9" w:rsidRPr="00B16E6B">
              <w:rPr>
                <w:rFonts w:ascii="Arial" w:hAnsi="Arial" w:cs="Arial"/>
                <w:sz w:val="20"/>
                <w:szCs w:val="20"/>
              </w:rPr>
              <w:t xml:space="preserve">as a result of flooding, </w:t>
            </w:r>
            <w:r w:rsidRPr="00B16E6B">
              <w:rPr>
                <w:rFonts w:ascii="Arial" w:hAnsi="Arial" w:cs="Arial"/>
                <w:sz w:val="20"/>
                <w:szCs w:val="20"/>
              </w:rPr>
              <w:t>preventing the safe movement of vessels. The closure caused an estimated impact of $50 million in losses, reducing the Port’s annual throughput by 6.4 per cent</w:t>
            </w:r>
            <w:r w:rsidR="00C578CB" w:rsidRPr="00B16E6B">
              <w:rPr>
                <w:rFonts w:ascii="Arial" w:hAnsi="Arial" w:cs="Arial"/>
                <w:sz w:val="20"/>
                <w:szCs w:val="20"/>
              </w:rPr>
              <w:t>.</w:t>
            </w:r>
            <w:r w:rsidRPr="00B16E6B">
              <w:rPr>
                <w:rStyle w:val="FootnoteReference"/>
                <w:rFonts w:ascii="Arial" w:hAnsi="Arial" w:cs="Arial"/>
                <w:sz w:val="20"/>
                <w:szCs w:val="20"/>
              </w:rPr>
              <w:footnoteReference w:id="49"/>
            </w:r>
          </w:p>
        </w:tc>
      </w:tr>
      <w:tr w:rsidR="00614856" w:rsidRPr="00B16E6B" w14:paraId="0458C2BB" w14:textId="77777777" w:rsidTr="002D59C7">
        <w:trPr>
          <w:trHeight w:val="1560"/>
        </w:trPr>
        <w:tc>
          <w:tcPr>
            <w:tcW w:w="2127" w:type="dxa"/>
            <w:shd w:val="clear" w:color="auto" w:fill="F2F2F2"/>
            <w:vAlign w:val="center"/>
          </w:tcPr>
          <w:p w14:paraId="02C68E42" w14:textId="77777777" w:rsidR="00614856" w:rsidRPr="00B16E6B" w:rsidRDefault="00614856" w:rsidP="009613E1">
            <w:pPr>
              <w:spacing w:before="20" w:after="20" w:line="271" w:lineRule="auto"/>
              <w:jc w:val="center"/>
              <w:rPr>
                <w:rFonts w:ascii="Arial" w:hAnsi="Arial" w:cs="Arial"/>
                <w:sz w:val="20"/>
                <w:szCs w:val="20"/>
              </w:rPr>
            </w:pPr>
            <w:r w:rsidRPr="00B16E6B">
              <w:rPr>
                <w:rFonts w:ascii="Arial" w:hAnsi="Arial" w:cs="Arial"/>
                <w:sz w:val="20"/>
                <w:szCs w:val="20"/>
              </w:rPr>
              <w:t>Port of Baltimore, impact of collision between cargo ship and key bridge (2024)</w:t>
            </w:r>
          </w:p>
        </w:tc>
        <w:tc>
          <w:tcPr>
            <w:tcW w:w="7371" w:type="dxa"/>
            <w:shd w:val="clear" w:color="auto" w:fill="FFFFFF" w:themeFill="background1"/>
            <w:vAlign w:val="center"/>
          </w:tcPr>
          <w:p w14:paraId="164C334D" w14:textId="77777777" w:rsidR="00614856" w:rsidRPr="00B16E6B" w:rsidRDefault="00614856" w:rsidP="009613E1">
            <w:pPr>
              <w:spacing w:before="20" w:after="20" w:line="271" w:lineRule="auto"/>
              <w:rPr>
                <w:rFonts w:ascii="Arial" w:hAnsi="Arial" w:cs="Arial"/>
                <w:sz w:val="20"/>
                <w:szCs w:val="20"/>
              </w:rPr>
            </w:pPr>
            <w:r w:rsidRPr="00B16E6B">
              <w:rPr>
                <w:rFonts w:ascii="Arial" w:hAnsi="Arial" w:cs="Arial"/>
                <w:sz w:val="20"/>
                <w:szCs w:val="20"/>
              </w:rPr>
              <w:t xml:space="preserve">On 26 March 2024, a cargo ship crashed into Baltimore’s Key bridge, severing access to critical shipping routes in and out of the Port of Baltimore. The Port was closed for 71 days, with the daily economic impact estimated to be approximately </w:t>
            </w:r>
            <w:r w:rsidR="00CA52B1" w:rsidRPr="00B16E6B">
              <w:rPr>
                <w:rFonts w:ascii="Arial" w:hAnsi="Arial" w:cs="Arial"/>
                <w:sz w:val="20"/>
                <w:szCs w:val="20"/>
              </w:rPr>
              <w:t>USD</w:t>
            </w:r>
            <w:r w:rsidRPr="00B16E6B">
              <w:rPr>
                <w:rFonts w:ascii="Arial" w:hAnsi="Arial" w:cs="Arial"/>
                <w:sz w:val="20"/>
                <w:szCs w:val="20"/>
              </w:rPr>
              <w:t>15 million (</w:t>
            </w:r>
            <w:r w:rsidR="00CA52B1" w:rsidRPr="00B16E6B">
              <w:rPr>
                <w:rFonts w:ascii="Arial" w:hAnsi="Arial" w:cs="Arial"/>
                <w:sz w:val="20"/>
                <w:szCs w:val="20"/>
              </w:rPr>
              <w:t>AUD</w:t>
            </w:r>
            <w:r w:rsidRPr="00B16E6B">
              <w:rPr>
                <w:rFonts w:ascii="Arial" w:hAnsi="Arial" w:cs="Arial"/>
                <w:sz w:val="20"/>
                <w:szCs w:val="20"/>
              </w:rPr>
              <w:t>22.8 million)</w:t>
            </w:r>
            <w:r w:rsidR="00937E7A" w:rsidRPr="00B16E6B">
              <w:rPr>
                <w:rFonts w:ascii="Arial" w:hAnsi="Arial" w:cs="Arial"/>
                <w:sz w:val="20"/>
                <w:szCs w:val="20"/>
              </w:rPr>
              <w:t>, representing a</w:t>
            </w:r>
            <w:r w:rsidR="00717B1A" w:rsidRPr="00B16E6B">
              <w:rPr>
                <w:rFonts w:ascii="Arial" w:hAnsi="Arial" w:cs="Arial"/>
                <w:sz w:val="20"/>
                <w:szCs w:val="20"/>
              </w:rPr>
              <w:t>n</w:t>
            </w:r>
            <w:r w:rsidR="00937E7A" w:rsidRPr="00B16E6B">
              <w:rPr>
                <w:rFonts w:ascii="Arial" w:hAnsi="Arial" w:cs="Arial"/>
                <w:sz w:val="20"/>
                <w:szCs w:val="20"/>
              </w:rPr>
              <w:t xml:space="preserve"> </w:t>
            </w:r>
            <w:r w:rsidR="00CA52B1" w:rsidRPr="00B16E6B">
              <w:rPr>
                <w:rFonts w:ascii="Arial" w:hAnsi="Arial" w:cs="Arial"/>
                <w:sz w:val="20"/>
                <w:szCs w:val="20"/>
              </w:rPr>
              <w:t>AUD</w:t>
            </w:r>
            <w:r w:rsidR="00937E7A" w:rsidRPr="00B16E6B">
              <w:rPr>
                <w:rFonts w:ascii="Arial" w:hAnsi="Arial" w:cs="Arial"/>
                <w:sz w:val="20"/>
                <w:szCs w:val="20"/>
              </w:rPr>
              <w:t>1.6 billion economic impact as a result of the incident.</w:t>
            </w:r>
            <w:r w:rsidR="00937E7A" w:rsidRPr="00B16E6B">
              <w:rPr>
                <w:rStyle w:val="FootnoteReference"/>
                <w:rFonts w:ascii="Arial" w:hAnsi="Arial" w:cs="Arial"/>
                <w:sz w:val="20"/>
                <w:szCs w:val="20"/>
              </w:rPr>
              <w:footnoteReference w:id="50"/>
            </w:r>
          </w:p>
        </w:tc>
      </w:tr>
    </w:tbl>
    <w:p w14:paraId="4F9C9C34" w14:textId="21B189CB" w:rsidR="006667F9" w:rsidRPr="00B16E6B" w:rsidRDefault="006667F9" w:rsidP="009613E1">
      <w:pPr>
        <w:spacing w:after="200" w:line="271" w:lineRule="auto"/>
      </w:pPr>
      <w:r w:rsidRPr="00B16E6B">
        <w:lastRenderedPageBreak/>
        <w:t xml:space="preserve">These case studies highlight that disruptions to the aviation and maritime sectors can inflict significant direct and indirect costs to entities and </w:t>
      </w:r>
      <w:r w:rsidR="005C49D0" w:rsidRPr="00B16E6B">
        <w:t>individuals</w:t>
      </w:r>
      <w:r w:rsidRPr="00B16E6B">
        <w:t xml:space="preserve"> alike. </w:t>
      </w:r>
      <w:r w:rsidR="00F82C04" w:rsidRPr="00B16E6B">
        <w:t>F</w:t>
      </w:r>
      <w:r w:rsidRPr="00B16E6B">
        <w:t xml:space="preserve">or the purposes of the modelling of the cost of avoided future incidents, consideration has been given to a range of cost impacts based on real world events. The British Airways data breach in 2018 was used as the baseline (moderate) scenario in the break-even analysis presented below (and shown in </w:t>
      </w:r>
      <w:r w:rsidR="00E2411D" w:rsidRPr="00B16E6B">
        <w:t>table</w:t>
      </w:r>
      <w:r w:rsidRPr="00B16E6B">
        <w:t xml:space="preserve"> 1</w:t>
      </w:r>
      <w:r w:rsidR="00A027FB" w:rsidRPr="00B16E6B">
        <w:t>8</w:t>
      </w:r>
      <w:r w:rsidRPr="00B16E6B">
        <w:t xml:space="preserve"> below). The use of an actual event as a point of comparison is important because it ensures the benefits analysis is grounded in reality. The scale of the event is not theoretical and there is sufficient information about the event to support modelling. It is estimated the impact of the data breach to be $129.0 million of direct costs to British Airways, with additional indirect costs likely affecting the broader economy.</w:t>
      </w:r>
    </w:p>
    <w:p w14:paraId="4621620A" w14:textId="789C3223" w:rsidR="006667F9" w:rsidRPr="00B16E6B" w:rsidRDefault="006667F9" w:rsidP="009613E1">
      <w:pPr>
        <w:tabs>
          <w:tab w:val="left" w:pos="1305"/>
        </w:tabs>
        <w:spacing w:line="271" w:lineRule="auto"/>
      </w:pPr>
      <w:r w:rsidRPr="00B16E6B">
        <w:t>Based on this approach, a framework for considering the potential impacts of the aviation and maritime incidents is provided in the table below.</w:t>
      </w:r>
    </w:p>
    <w:p w14:paraId="2F9FA034" w14:textId="6A384785" w:rsidR="00DB3135" w:rsidRPr="00B16E6B" w:rsidRDefault="00DB3135" w:rsidP="009613E1">
      <w:pPr>
        <w:pStyle w:val="Caption"/>
        <w:spacing w:after="60" w:line="271" w:lineRule="auto"/>
        <w:rPr>
          <w:rFonts w:eastAsia="Times New Roman" w:cs="Arial"/>
          <w:b w:val="0"/>
          <w:i/>
          <w:iCs/>
          <w:smallCaps w:val="0"/>
          <w:color w:val="44546A"/>
          <w:sz w:val="18"/>
          <w:szCs w:val="18"/>
          <w:lang w:eastAsia="en-AU"/>
        </w:rPr>
      </w:pPr>
      <w:r w:rsidRPr="00B16E6B">
        <w:rPr>
          <w:rFonts w:eastAsia="Times New Roman" w:cs="Arial"/>
          <w:i/>
          <w:iCs/>
          <w:smallCaps w:val="0"/>
          <w:color w:val="44546A"/>
          <w:sz w:val="18"/>
          <w:szCs w:val="18"/>
          <w:lang w:eastAsia="en-AU"/>
        </w:rPr>
        <w:t xml:space="preserve">Table </w:t>
      </w:r>
      <w:r w:rsidR="0043155A" w:rsidRPr="00B16E6B">
        <w:rPr>
          <w:rFonts w:eastAsia="Times New Roman" w:cs="Arial"/>
          <w:i/>
          <w:iCs/>
          <w:smallCaps w:val="0"/>
          <w:color w:val="44546A"/>
          <w:sz w:val="18"/>
          <w:szCs w:val="18"/>
          <w:lang w:eastAsia="en-AU"/>
        </w:rPr>
        <w:t>1</w:t>
      </w:r>
      <w:r w:rsidR="00A027FB" w:rsidRPr="00B16E6B">
        <w:rPr>
          <w:rFonts w:eastAsia="Times New Roman" w:cs="Arial"/>
          <w:i/>
          <w:iCs/>
          <w:smallCaps w:val="0"/>
          <w:color w:val="44546A"/>
          <w:sz w:val="18"/>
          <w:szCs w:val="18"/>
          <w:lang w:eastAsia="en-AU"/>
        </w:rPr>
        <w:t>8</w:t>
      </w:r>
      <w:r w:rsidRPr="00B16E6B">
        <w:rPr>
          <w:rFonts w:eastAsia="Times New Roman" w:cs="Arial"/>
          <w:i/>
          <w:iCs/>
          <w:smallCaps w:val="0"/>
          <w:color w:val="44546A"/>
          <w:sz w:val="18"/>
          <w:szCs w:val="18"/>
          <w:lang w:eastAsia="en-AU"/>
        </w:rPr>
        <w:t xml:space="preserve">: </w:t>
      </w:r>
      <w:r w:rsidRPr="00B16E6B">
        <w:rPr>
          <w:rFonts w:eastAsia="Times New Roman" w:cs="Arial"/>
          <w:b w:val="0"/>
          <w:i/>
          <w:iCs/>
          <w:smallCaps w:val="0"/>
          <w:color w:val="44546A"/>
          <w:sz w:val="18"/>
          <w:szCs w:val="18"/>
          <w:lang w:eastAsia="en-AU"/>
        </w:rPr>
        <w:t>Framework for scenario development and sensitivity analysis</w:t>
      </w:r>
    </w:p>
    <w:tbl>
      <w:tblPr>
        <w:tblStyle w:val="TableGrid"/>
        <w:tblW w:w="9541" w:type="dxa"/>
        <w:tblInd w:w="71"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7"/>
        <w:gridCol w:w="2408"/>
        <w:gridCol w:w="2554"/>
        <w:gridCol w:w="2382"/>
      </w:tblGrid>
      <w:tr w:rsidR="004D139C" w:rsidRPr="00B16E6B" w14:paraId="3F3E3F8F" w14:textId="77777777" w:rsidTr="004D139C">
        <w:trPr>
          <w:trHeight w:val="664"/>
        </w:trPr>
        <w:tc>
          <w:tcPr>
            <w:tcW w:w="2197" w:type="dxa"/>
            <w:shd w:val="clear" w:color="auto" w:fill="1C2B39" w:themeFill="accent1"/>
            <w:vAlign w:val="center"/>
            <w:hideMark/>
          </w:tcPr>
          <w:p w14:paraId="2FB27AD7" w14:textId="56452119" w:rsidR="004D139C" w:rsidRPr="00B16E6B" w:rsidRDefault="004D139C" w:rsidP="009613E1">
            <w:pPr>
              <w:spacing w:before="60" w:after="60" w:line="271" w:lineRule="auto"/>
              <w:rPr>
                <w:rFonts w:ascii="Arial" w:hAnsi="Arial" w:cs="Arial"/>
                <w:b/>
                <w:bCs/>
                <w:sz w:val="20"/>
                <w:szCs w:val="20"/>
              </w:rPr>
            </w:pPr>
          </w:p>
        </w:tc>
        <w:tc>
          <w:tcPr>
            <w:tcW w:w="2408" w:type="dxa"/>
            <w:shd w:val="clear" w:color="auto" w:fill="1C2B39" w:themeFill="accent1"/>
            <w:vAlign w:val="center"/>
          </w:tcPr>
          <w:p w14:paraId="1C0E12CB" w14:textId="35139360" w:rsidR="004D139C" w:rsidRPr="00B16E6B" w:rsidRDefault="004D139C" w:rsidP="004D139C">
            <w:pPr>
              <w:spacing w:before="60" w:after="60" w:line="271" w:lineRule="auto"/>
              <w:jc w:val="center"/>
              <w:rPr>
                <w:rFonts w:ascii="Arial" w:hAnsi="Arial" w:cs="Arial"/>
                <w:b/>
                <w:bCs/>
                <w:sz w:val="20"/>
                <w:szCs w:val="20"/>
              </w:rPr>
            </w:pPr>
            <w:r w:rsidRPr="00B16E6B">
              <w:rPr>
                <w:rFonts w:ascii="Arial" w:hAnsi="Arial" w:cs="Arial"/>
                <w:b/>
                <w:bCs/>
                <w:sz w:val="20"/>
                <w:szCs w:val="20"/>
              </w:rPr>
              <w:t>Severe scenario</w:t>
            </w:r>
          </w:p>
        </w:tc>
        <w:tc>
          <w:tcPr>
            <w:tcW w:w="2554" w:type="dxa"/>
            <w:shd w:val="clear" w:color="auto" w:fill="1C2B39" w:themeFill="accent1"/>
            <w:vAlign w:val="center"/>
          </w:tcPr>
          <w:p w14:paraId="62F3BDD3" w14:textId="77777777" w:rsidR="004D139C" w:rsidRPr="00B16E6B" w:rsidRDefault="004D139C" w:rsidP="009613E1">
            <w:pPr>
              <w:spacing w:before="60" w:after="60" w:line="271" w:lineRule="auto"/>
              <w:rPr>
                <w:rFonts w:ascii="Arial" w:hAnsi="Arial" w:cs="Arial"/>
                <w:b/>
                <w:bCs/>
                <w:sz w:val="20"/>
                <w:szCs w:val="20"/>
              </w:rPr>
            </w:pPr>
            <w:r w:rsidRPr="00B16E6B">
              <w:rPr>
                <w:rFonts w:ascii="Arial" w:hAnsi="Arial" w:cs="Arial"/>
                <w:b/>
                <w:bCs/>
                <w:sz w:val="20"/>
                <w:szCs w:val="20"/>
              </w:rPr>
              <w:t>Moderate scenario</w:t>
            </w:r>
          </w:p>
        </w:tc>
        <w:tc>
          <w:tcPr>
            <w:tcW w:w="2382" w:type="dxa"/>
            <w:shd w:val="clear" w:color="auto" w:fill="1C2B39" w:themeFill="accent1"/>
            <w:vAlign w:val="center"/>
          </w:tcPr>
          <w:p w14:paraId="3BC63DD1" w14:textId="77777777" w:rsidR="004D139C" w:rsidRPr="00B16E6B" w:rsidRDefault="004D139C" w:rsidP="009613E1">
            <w:pPr>
              <w:spacing w:before="60" w:after="60" w:line="271" w:lineRule="auto"/>
              <w:rPr>
                <w:rFonts w:ascii="Arial" w:hAnsi="Arial" w:cs="Arial"/>
                <w:b/>
                <w:bCs/>
                <w:sz w:val="20"/>
                <w:szCs w:val="20"/>
              </w:rPr>
            </w:pPr>
            <w:r w:rsidRPr="00B16E6B">
              <w:rPr>
                <w:rFonts w:ascii="Arial" w:hAnsi="Arial" w:cs="Arial"/>
                <w:b/>
                <w:bCs/>
                <w:sz w:val="20"/>
                <w:szCs w:val="20"/>
              </w:rPr>
              <w:t>Low scenario</w:t>
            </w:r>
          </w:p>
        </w:tc>
      </w:tr>
      <w:tr w:rsidR="00DB3135" w:rsidRPr="00B16E6B" w14:paraId="087C67F0" w14:textId="77777777" w:rsidTr="004D139C">
        <w:tblPrEx>
          <w:tblBorders>
            <w:insideH w:val="single" w:sz="4" w:space="0" w:color="A5A5A5"/>
            <w:insideV w:val="single" w:sz="4" w:space="0" w:color="A5A5A5"/>
          </w:tblBorders>
        </w:tblPrEx>
        <w:trPr>
          <w:trHeight w:val="1124"/>
        </w:trPr>
        <w:tc>
          <w:tcPr>
            <w:tcW w:w="2197" w:type="dxa"/>
            <w:tcBorders>
              <w:top w:val="single" w:sz="4" w:space="0" w:color="A5A5A5"/>
              <w:left w:val="nil"/>
              <w:bottom w:val="single" w:sz="4" w:space="0" w:color="A5A5A5"/>
              <w:right w:val="single" w:sz="4" w:space="0" w:color="A5A5A5"/>
            </w:tcBorders>
            <w:shd w:val="clear" w:color="auto" w:fill="F2F2F2"/>
            <w:vAlign w:val="center"/>
          </w:tcPr>
          <w:p w14:paraId="52193979" w14:textId="77777777" w:rsidR="00DB3135" w:rsidRPr="00B16E6B" w:rsidRDefault="00DB3135" w:rsidP="009613E1">
            <w:pPr>
              <w:spacing w:before="20" w:after="20" w:line="271" w:lineRule="auto"/>
              <w:jc w:val="center"/>
              <w:rPr>
                <w:rFonts w:ascii="Arial" w:hAnsi="Arial" w:cs="Arial"/>
                <w:sz w:val="20"/>
                <w:szCs w:val="20"/>
              </w:rPr>
            </w:pPr>
            <w:r w:rsidRPr="00B16E6B">
              <w:rPr>
                <w:rFonts w:ascii="Arial" w:hAnsi="Arial" w:cs="Arial"/>
                <w:sz w:val="20"/>
                <w:szCs w:val="20"/>
              </w:rPr>
              <w:t>Intensity of event</w:t>
            </w:r>
          </w:p>
        </w:tc>
        <w:tc>
          <w:tcPr>
            <w:tcW w:w="2408"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2CBEBFB5" w14:textId="77777777" w:rsidR="00DB3135" w:rsidRPr="00B16E6B" w:rsidRDefault="008C5E19" w:rsidP="009613E1">
            <w:pPr>
              <w:spacing w:before="20" w:after="20" w:line="271" w:lineRule="auto"/>
              <w:rPr>
                <w:rFonts w:ascii="Arial" w:hAnsi="Arial" w:cs="Arial"/>
                <w:sz w:val="20"/>
                <w:szCs w:val="20"/>
              </w:rPr>
            </w:pPr>
            <w:r w:rsidRPr="00B16E6B">
              <w:rPr>
                <w:rFonts w:ascii="Arial" w:hAnsi="Arial" w:cs="Arial"/>
                <w:sz w:val="20"/>
                <w:szCs w:val="20"/>
              </w:rPr>
              <w:t xml:space="preserve">Port closure of 22.2 days noted in the </w:t>
            </w:r>
            <w:r w:rsidR="00E647BA" w:rsidRPr="00B16E6B">
              <w:rPr>
                <w:rFonts w:ascii="Arial" w:hAnsi="Arial" w:cs="Arial"/>
                <w:sz w:val="20"/>
                <w:szCs w:val="20"/>
              </w:rPr>
              <w:t xml:space="preserve">‘Port disruptions due to natural disasters’ </w:t>
            </w:r>
            <w:r w:rsidRPr="00B16E6B">
              <w:rPr>
                <w:rFonts w:ascii="Arial" w:hAnsi="Arial" w:cs="Arial"/>
                <w:sz w:val="20"/>
                <w:szCs w:val="20"/>
              </w:rPr>
              <w:t>study</w:t>
            </w:r>
            <w:r w:rsidR="0090546F" w:rsidRPr="00B16E6B">
              <w:rPr>
                <w:rFonts w:ascii="Arial" w:hAnsi="Arial" w:cs="Arial"/>
                <w:sz w:val="20"/>
                <w:szCs w:val="20"/>
              </w:rPr>
              <w:t xml:space="preserve"> (2020)</w:t>
            </w:r>
          </w:p>
        </w:tc>
        <w:tc>
          <w:tcPr>
            <w:tcW w:w="2554"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2CCD5A0C" w14:textId="77777777" w:rsidR="009C0920" w:rsidRPr="00B16E6B" w:rsidRDefault="009C0920" w:rsidP="009613E1">
            <w:pPr>
              <w:spacing w:before="20" w:after="20" w:line="271" w:lineRule="auto"/>
              <w:rPr>
                <w:rFonts w:ascii="Arial" w:hAnsi="Arial" w:cs="Arial"/>
                <w:sz w:val="20"/>
                <w:szCs w:val="20"/>
              </w:rPr>
            </w:pPr>
            <w:r w:rsidRPr="00B16E6B">
              <w:rPr>
                <w:rFonts w:ascii="Arial" w:hAnsi="Arial" w:cs="Arial"/>
                <w:sz w:val="20"/>
                <w:szCs w:val="20"/>
              </w:rPr>
              <w:t>British Airways</w:t>
            </w:r>
            <w:r w:rsidR="00E23E3A" w:rsidRPr="00B16E6B">
              <w:rPr>
                <w:rFonts w:ascii="Arial" w:hAnsi="Arial" w:cs="Arial"/>
                <w:sz w:val="20"/>
                <w:szCs w:val="20"/>
              </w:rPr>
              <w:t xml:space="preserve"> data breach</w:t>
            </w:r>
            <w:r w:rsidRPr="00B16E6B">
              <w:rPr>
                <w:rFonts w:ascii="Arial" w:hAnsi="Arial" w:cs="Arial"/>
                <w:sz w:val="20"/>
                <w:szCs w:val="20"/>
              </w:rPr>
              <w:t xml:space="preserve"> (2018)</w:t>
            </w:r>
          </w:p>
        </w:tc>
        <w:tc>
          <w:tcPr>
            <w:tcW w:w="2382"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5D044949" w14:textId="334CAE78" w:rsidR="00DB3135" w:rsidRPr="00B16E6B" w:rsidRDefault="006667F9" w:rsidP="009613E1">
            <w:pPr>
              <w:spacing w:before="20" w:after="20" w:line="271" w:lineRule="auto"/>
              <w:rPr>
                <w:rFonts w:ascii="Arial" w:hAnsi="Arial" w:cs="Arial"/>
                <w:sz w:val="20"/>
                <w:szCs w:val="20"/>
              </w:rPr>
            </w:pPr>
            <w:r w:rsidRPr="00B16E6B">
              <w:rPr>
                <w:rFonts w:ascii="Arial" w:hAnsi="Arial" w:cs="Arial"/>
                <w:color w:val="1C2B39" w:themeColor="text1"/>
                <w:sz w:val="20"/>
                <w:szCs w:val="20"/>
              </w:rPr>
              <w:t>50% of Moderate scenario costs</w:t>
            </w:r>
          </w:p>
        </w:tc>
      </w:tr>
    </w:tbl>
    <w:p w14:paraId="64F0B5DC" w14:textId="1B608772" w:rsidR="006667F9" w:rsidRPr="00B16E6B" w:rsidRDefault="006667F9" w:rsidP="009613E1">
      <w:pPr>
        <w:tabs>
          <w:tab w:val="left" w:pos="1305"/>
        </w:tabs>
        <w:spacing w:before="120" w:line="271" w:lineRule="auto"/>
      </w:pPr>
      <w:r w:rsidRPr="00B16E6B">
        <w:t>The rationale for considering less severe scenarios than experienced in the British Airways data breach reflects the complexity of the scenarios that could occur. As noted above, the economic impact of an incident will vary due to a range of factors including the location of a disruption, the month</w:t>
      </w:r>
      <w:r w:rsidR="002C4E5D" w:rsidRPr="00B16E6B">
        <w:t xml:space="preserve">, day of the week, or the </w:t>
      </w:r>
      <w:r w:rsidRPr="00B16E6B">
        <w:t>time of day at which the disruption occurs and the duration of the disruption. It is necessary to account for an incident that has a greater and a lesser economic impact than the British Airways data breach to reflect the possibility that a disruption of a similar scale could impact areas where there would be different economic impact. While an incident with a much greater impact than the severe scenario is conceivable,</w:t>
      </w:r>
      <w:r w:rsidRPr="00B16E6B">
        <w:rPr>
          <w:rStyle w:val="FootnoteReference"/>
        </w:rPr>
        <w:footnoteReference w:id="51"/>
      </w:r>
      <w:r w:rsidRPr="00B16E6B">
        <w:t xml:space="preserve"> the defined scenarios and subsequent benefits analysis has taken a deliberately conservative approach to ensure the severe scenario remains demonstrably plausible. </w:t>
      </w:r>
    </w:p>
    <w:p w14:paraId="49D5D01D" w14:textId="0D57396E" w:rsidR="006667F9" w:rsidRPr="00B16E6B" w:rsidRDefault="006667F9" w:rsidP="009613E1">
      <w:pPr>
        <w:tabs>
          <w:tab w:val="left" w:pos="1305"/>
        </w:tabs>
        <w:spacing w:before="120" w:line="271" w:lineRule="auto"/>
      </w:pPr>
      <w:r w:rsidRPr="00B16E6B">
        <w:t xml:space="preserve">In this context, the severe scenario in </w:t>
      </w:r>
      <w:r w:rsidR="00E2411D" w:rsidRPr="00B16E6B">
        <w:t>table</w:t>
      </w:r>
      <w:r w:rsidRPr="00B16E6B">
        <w:t xml:space="preserve"> 1</w:t>
      </w:r>
      <w:r w:rsidR="00A027FB" w:rsidRPr="00B16E6B">
        <w:t>8</w:t>
      </w:r>
      <w:r w:rsidRPr="00B16E6B">
        <w:t xml:space="preserve"> assumes a port closure of 22.2 days consistent with the 95% percentile reported in the port resiliency study referenced above. The daily cost of the Port of Baltimore incident (AUD 22.8 million) was applied to this assumed port closure of 22.2 days to provide an estimated total cost of $506.2 million. The low scenario in table 1</w:t>
      </w:r>
      <w:r w:rsidR="00A027FB" w:rsidRPr="00B16E6B">
        <w:t>8</w:t>
      </w:r>
      <w:r w:rsidRPr="00B16E6B">
        <w:t xml:space="preserve"> accounts for incidents that have a lesser economic impact than the moderate scenario (assumed to be 50% of the moderate scenario). </w:t>
      </w:r>
    </w:p>
    <w:p w14:paraId="387CC2CC" w14:textId="77777777" w:rsidR="00D17A7E" w:rsidRPr="00B16E6B" w:rsidRDefault="00D17A7E">
      <w:pPr>
        <w:spacing w:after="200" w:line="288" w:lineRule="auto"/>
      </w:pPr>
      <w:r w:rsidRPr="00B16E6B">
        <w:br w:type="page"/>
      </w:r>
    </w:p>
    <w:p w14:paraId="49530DD6" w14:textId="04D347F9" w:rsidR="00DB3135" w:rsidRPr="00B16E6B" w:rsidRDefault="00DB3135" w:rsidP="00D17A7E">
      <w:pPr>
        <w:tabs>
          <w:tab w:val="left" w:pos="1305"/>
        </w:tabs>
        <w:spacing w:before="120" w:line="271" w:lineRule="auto"/>
      </w:pPr>
      <w:r w:rsidRPr="00B16E6B">
        <w:lastRenderedPageBreak/>
        <w:t xml:space="preserve">A summary of </w:t>
      </w:r>
      <w:r w:rsidR="00F07864" w:rsidRPr="00B16E6B">
        <w:t xml:space="preserve">the </w:t>
      </w:r>
      <w:r w:rsidRPr="00B16E6B">
        <w:t>economic</w:t>
      </w:r>
      <w:r w:rsidR="00F07864" w:rsidRPr="00B16E6B">
        <w:t xml:space="preserve"> </w:t>
      </w:r>
      <w:r w:rsidRPr="00B16E6B">
        <w:t>impact of each scenario is provided in table</w:t>
      </w:r>
      <w:r w:rsidR="00F07864" w:rsidRPr="00B16E6B">
        <w:t xml:space="preserve"> 1</w:t>
      </w:r>
      <w:r w:rsidR="00A027FB" w:rsidRPr="00B16E6B">
        <w:t>9</w:t>
      </w:r>
      <w:r w:rsidRPr="00B16E6B">
        <w:t xml:space="preserve"> below. Direct avoided costs refer to the financial costs directly incurred as a result of an incident, while indirect costs refer to flow-on costs to the economy due to supply chain linkages and other feedback response</w:t>
      </w:r>
      <w:r w:rsidR="00F07864" w:rsidRPr="00B16E6B">
        <w:t>s</w:t>
      </w:r>
      <w:r w:rsidRPr="00B16E6B">
        <w:t xml:space="preserve"> by all economic agents (e.g. households, businesses). A break-even analysis of these benefits compared to the total estimated cost of the </w:t>
      </w:r>
      <w:r w:rsidR="00CE0BA4" w:rsidRPr="00B16E6B">
        <w:t>all hazards security</w:t>
      </w:r>
      <w:r w:rsidRPr="00B16E6B">
        <w:t xml:space="preserve"> framework is also included in the table. This break-even analysis is expressed as the number of incidents that would need to be avoided in order for the benefits (that is, the avoided costs) of </w:t>
      </w:r>
      <w:r w:rsidR="00406043" w:rsidRPr="00B16E6B">
        <w:t>o</w:t>
      </w:r>
      <w:r w:rsidR="00656B7A" w:rsidRPr="00B16E6B">
        <w:t>ption 4</w:t>
      </w:r>
      <w:r w:rsidRPr="00B16E6B">
        <w:t xml:space="preserve"> to equal the costs of implementation and compliance.</w:t>
      </w:r>
    </w:p>
    <w:p w14:paraId="1246B67E" w14:textId="391F68F8" w:rsidR="0043155A" w:rsidRPr="00B16E6B" w:rsidRDefault="0043155A" w:rsidP="009613E1">
      <w:pPr>
        <w:pStyle w:val="Caption"/>
        <w:spacing w:after="60" w:line="271" w:lineRule="auto"/>
        <w:rPr>
          <w:rFonts w:eastAsia="Times New Roman" w:cs="Arial"/>
          <w:b w:val="0"/>
          <w:i/>
          <w:iCs/>
          <w:color w:val="44546A"/>
          <w:sz w:val="18"/>
          <w:szCs w:val="18"/>
          <w:lang w:eastAsia="en-AU"/>
        </w:rPr>
      </w:pPr>
      <w:r w:rsidRPr="00B16E6B">
        <w:rPr>
          <w:rFonts w:eastAsia="Times New Roman" w:cs="Arial"/>
          <w:i/>
          <w:iCs/>
          <w:smallCaps w:val="0"/>
          <w:color w:val="44546A"/>
          <w:sz w:val="18"/>
          <w:szCs w:val="18"/>
          <w:lang w:eastAsia="en-AU"/>
        </w:rPr>
        <w:t>Table 1</w:t>
      </w:r>
      <w:r w:rsidR="00A027FB" w:rsidRPr="00B16E6B">
        <w:rPr>
          <w:rFonts w:eastAsia="Times New Roman" w:cs="Arial"/>
          <w:i/>
          <w:iCs/>
          <w:smallCaps w:val="0"/>
          <w:color w:val="44546A"/>
          <w:sz w:val="18"/>
          <w:szCs w:val="18"/>
          <w:lang w:eastAsia="en-AU"/>
        </w:rPr>
        <w:t>9</w:t>
      </w:r>
      <w:r w:rsidRPr="00B16E6B">
        <w:rPr>
          <w:rFonts w:eastAsia="Times New Roman" w:cs="Arial"/>
          <w:i/>
          <w:iCs/>
          <w:smallCaps w:val="0"/>
          <w:color w:val="44546A"/>
          <w:sz w:val="18"/>
          <w:szCs w:val="18"/>
          <w:lang w:eastAsia="en-AU"/>
        </w:rPr>
        <w:t xml:space="preserve">: </w:t>
      </w:r>
      <w:r w:rsidRPr="00B16E6B">
        <w:rPr>
          <w:rFonts w:eastAsia="Times New Roman" w:cs="Arial"/>
          <w:b w:val="0"/>
          <w:i/>
          <w:iCs/>
          <w:smallCaps w:val="0"/>
          <w:color w:val="44546A"/>
          <w:sz w:val="18"/>
          <w:szCs w:val="18"/>
          <w:lang w:eastAsia="en-AU"/>
        </w:rPr>
        <w:t>Summary of benefits for each scenario</w:t>
      </w:r>
    </w:p>
    <w:tbl>
      <w:tblPr>
        <w:tblStyle w:val="TableGrid"/>
        <w:tblW w:w="9498" w:type="dxa"/>
        <w:tblInd w:w="71"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7"/>
        <w:gridCol w:w="2457"/>
        <w:gridCol w:w="2457"/>
        <w:gridCol w:w="2457"/>
      </w:tblGrid>
      <w:tr w:rsidR="00DB3135" w:rsidRPr="00B16E6B" w14:paraId="73611574" w14:textId="77777777" w:rsidTr="00636E0E">
        <w:trPr>
          <w:trHeight w:val="676"/>
        </w:trPr>
        <w:tc>
          <w:tcPr>
            <w:tcW w:w="2127" w:type="dxa"/>
            <w:shd w:val="clear" w:color="auto" w:fill="1C2B39" w:themeFill="accent1"/>
            <w:vAlign w:val="center"/>
            <w:hideMark/>
          </w:tcPr>
          <w:p w14:paraId="3DD3BAE4" w14:textId="77777777" w:rsidR="00DB3135" w:rsidRPr="00B16E6B" w:rsidRDefault="00DB3135" w:rsidP="009613E1">
            <w:pPr>
              <w:spacing w:before="20" w:after="20" w:line="271" w:lineRule="auto"/>
              <w:jc w:val="center"/>
              <w:rPr>
                <w:rFonts w:ascii="Arial" w:hAnsi="Arial" w:cs="Arial"/>
                <w:b/>
                <w:bCs/>
                <w:sz w:val="20"/>
                <w:szCs w:val="20"/>
              </w:rPr>
            </w:pPr>
          </w:p>
        </w:tc>
        <w:tc>
          <w:tcPr>
            <w:tcW w:w="2457" w:type="dxa"/>
            <w:shd w:val="clear" w:color="auto" w:fill="1C2B39" w:themeFill="accent1"/>
            <w:vAlign w:val="center"/>
          </w:tcPr>
          <w:p w14:paraId="7EB5A2BA" w14:textId="77777777" w:rsidR="00DB3135" w:rsidRPr="00B16E6B" w:rsidRDefault="00DB3135" w:rsidP="009613E1">
            <w:pPr>
              <w:spacing w:before="60" w:after="60" w:line="271" w:lineRule="auto"/>
              <w:rPr>
                <w:rFonts w:ascii="Arial" w:hAnsi="Arial" w:cs="Arial"/>
                <w:b/>
                <w:bCs/>
                <w:sz w:val="20"/>
                <w:szCs w:val="20"/>
              </w:rPr>
            </w:pPr>
            <w:r w:rsidRPr="00B16E6B">
              <w:rPr>
                <w:rFonts w:ascii="Arial" w:hAnsi="Arial" w:cs="Arial"/>
                <w:b/>
                <w:bCs/>
                <w:sz w:val="20"/>
                <w:szCs w:val="20"/>
              </w:rPr>
              <w:t>Scenario 1 (Severe)</w:t>
            </w:r>
          </w:p>
        </w:tc>
        <w:tc>
          <w:tcPr>
            <w:tcW w:w="2457" w:type="dxa"/>
            <w:shd w:val="clear" w:color="auto" w:fill="1C2B39" w:themeFill="accent1"/>
            <w:vAlign w:val="center"/>
          </w:tcPr>
          <w:p w14:paraId="1930BAF9" w14:textId="77777777" w:rsidR="00DB3135" w:rsidRPr="00B16E6B" w:rsidRDefault="00DB3135" w:rsidP="009613E1">
            <w:pPr>
              <w:spacing w:before="60" w:after="60" w:line="271" w:lineRule="auto"/>
              <w:rPr>
                <w:rFonts w:ascii="Arial" w:hAnsi="Arial" w:cs="Arial"/>
                <w:b/>
                <w:bCs/>
                <w:sz w:val="20"/>
                <w:szCs w:val="20"/>
              </w:rPr>
            </w:pPr>
            <w:r w:rsidRPr="00B16E6B">
              <w:rPr>
                <w:rFonts w:ascii="Arial" w:hAnsi="Arial" w:cs="Arial"/>
                <w:b/>
                <w:bCs/>
                <w:sz w:val="20"/>
                <w:szCs w:val="20"/>
              </w:rPr>
              <w:t>Scenario 2 (Moderate)</w:t>
            </w:r>
          </w:p>
        </w:tc>
        <w:tc>
          <w:tcPr>
            <w:tcW w:w="2457" w:type="dxa"/>
            <w:shd w:val="clear" w:color="auto" w:fill="1C2B39" w:themeFill="accent1"/>
            <w:vAlign w:val="center"/>
          </w:tcPr>
          <w:p w14:paraId="7D81B09B" w14:textId="77777777" w:rsidR="00DB3135" w:rsidRPr="00B16E6B" w:rsidRDefault="00DB3135" w:rsidP="009613E1">
            <w:pPr>
              <w:spacing w:before="60" w:after="60" w:line="271" w:lineRule="auto"/>
              <w:rPr>
                <w:rFonts w:ascii="Arial" w:hAnsi="Arial" w:cs="Arial"/>
                <w:b/>
                <w:bCs/>
                <w:sz w:val="20"/>
                <w:szCs w:val="20"/>
              </w:rPr>
            </w:pPr>
            <w:r w:rsidRPr="00B16E6B">
              <w:rPr>
                <w:rFonts w:ascii="Arial" w:hAnsi="Arial" w:cs="Arial"/>
                <w:b/>
                <w:bCs/>
                <w:sz w:val="20"/>
                <w:szCs w:val="20"/>
              </w:rPr>
              <w:t>Scenario 3 (Low)</w:t>
            </w:r>
          </w:p>
        </w:tc>
      </w:tr>
      <w:tr w:rsidR="0007374C" w:rsidRPr="00B16E6B" w14:paraId="38277C8E" w14:textId="77777777" w:rsidTr="00C64435">
        <w:trPr>
          <w:trHeight w:val="503"/>
        </w:trPr>
        <w:tc>
          <w:tcPr>
            <w:tcW w:w="2127" w:type="dxa"/>
            <w:shd w:val="clear" w:color="auto" w:fill="F2F2F2"/>
            <w:vAlign w:val="center"/>
          </w:tcPr>
          <w:p w14:paraId="6E80F9C0" w14:textId="77777777" w:rsidR="0007374C" w:rsidRPr="00B16E6B" w:rsidRDefault="0007374C" w:rsidP="009613E1">
            <w:pPr>
              <w:spacing w:before="20" w:after="20" w:line="271" w:lineRule="auto"/>
              <w:jc w:val="center"/>
              <w:rPr>
                <w:rFonts w:ascii="Arial" w:hAnsi="Arial" w:cs="Arial"/>
                <w:sz w:val="20"/>
                <w:szCs w:val="20"/>
              </w:rPr>
            </w:pPr>
            <w:r w:rsidRPr="00B16E6B">
              <w:rPr>
                <w:rFonts w:ascii="Arial" w:hAnsi="Arial" w:cs="Arial"/>
                <w:sz w:val="20"/>
                <w:szCs w:val="20"/>
              </w:rPr>
              <w:t>Direct avoided cost ($ million)</w:t>
            </w:r>
          </w:p>
        </w:tc>
        <w:tc>
          <w:tcPr>
            <w:tcW w:w="2457" w:type="dxa"/>
            <w:shd w:val="clear" w:color="auto" w:fill="FFFFFF" w:themeFill="background1"/>
            <w:vAlign w:val="center"/>
          </w:tcPr>
          <w:p w14:paraId="64FA2944" w14:textId="77777777" w:rsidR="0007374C" w:rsidRPr="00B16E6B" w:rsidRDefault="0007374C" w:rsidP="009613E1">
            <w:pPr>
              <w:spacing w:before="20" w:after="20" w:line="271" w:lineRule="auto"/>
              <w:jc w:val="center"/>
              <w:rPr>
                <w:rFonts w:ascii="Arial" w:hAnsi="Arial" w:cs="Arial"/>
                <w:sz w:val="20"/>
                <w:szCs w:val="20"/>
              </w:rPr>
            </w:pPr>
            <w:r w:rsidRPr="00B16E6B">
              <w:rPr>
                <w:rFonts w:ascii="Arial" w:hAnsi="Arial" w:cs="Arial"/>
                <w:sz w:val="20"/>
                <w:szCs w:val="20"/>
              </w:rPr>
              <w:t>$</w:t>
            </w:r>
            <w:r w:rsidR="00BE7760" w:rsidRPr="00B16E6B">
              <w:rPr>
                <w:rFonts w:ascii="Arial" w:hAnsi="Arial" w:cs="Arial"/>
                <w:sz w:val="20"/>
                <w:szCs w:val="20"/>
              </w:rPr>
              <w:t>291.5</w:t>
            </w:r>
            <w:r w:rsidRPr="00B16E6B">
              <w:rPr>
                <w:rFonts w:ascii="Arial" w:hAnsi="Arial" w:cs="Arial"/>
                <w:sz w:val="20"/>
                <w:szCs w:val="20"/>
              </w:rPr>
              <w:t xml:space="preserve"> million</w:t>
            </w:r>
          </w:p>
        </w:tc>
        <w:tc>
          <w:tcPr>
            <w:tcW w:w="2457" w:type="dxa"/>
            <w:shd w:val="clear" w:color="auto" w:fill="FFFFFF" w:themeFill="background1"/>
            <w:vAlign w:val="center"/>
          </w:tcPr>
          <w:p w14:paraId="6C0E12E8" w14:textId="77777777" w:rsidR="0007374C" w:rsidRPr="00B16E6B" w:rsidRDefault="0007374C" w:rsidP="009613E1">
            <w:pPr>
              <w:spacing w:before="20" w:after="20" w:line="271" w:lineRule="auto"/>
              <w:jc w:val="center"/>
              <w:rPr>
                <w:rFonts w:ascii="Arial" w:hAnsi="Arial" w:cs="Arial"/>
                <w:sz w:val="20"/>
                <w:szCs w:val="20"/>
              </w:rPr>
            </w:pPr>
            <w:r w:rsidRPr="00B16E6B">
              <w:rPr>
                <w:rFonts w:ascii="Arial" w:hAnsi="Arial" w:cs="Arial"/>
                <w:sz w:val="20"/>
                <w:szCs w:val="20"/>
              </w:rPr>
              <w:t>$</w:t>
            </w:r>
            <w:r w:rsidR="009C0920" w:rsidRPr="00B16E6B">
              <w:rPr>
                <w:rFonts w:ascii="Arial" w:hAnsi="Arial" w:cs="Arial"/>
                <w:sz w:val="20"/>
                <w:szCs w:val="20"/>
              </w:rPr>
              <w:t>129</w:t>
            </w:r>
            <w:r w:rsidR="00B96085" w:rsidRPr="00B16E6B">
              <w:rPr>
                <w:rFonts w:ascii="Arial" w:hAnsi="Arial" w:cs="Arial"/>
                <w:sz w:val="20"/>
                <w:szCs w:val="20"/>
              </w:rPr>
              <w:t>.0</w:t>
            </w:r>
            <w:r w:rsidRPr="00B16E6B">
              <w:rPr>
                <w:rFonts w:ascii="Arial" w:hAnsi="Arial" w:cs="Arial"/>
                <w:sz w:val="20"/>
                <w:szCs w:val="20"/>
              </w:rPr>
              <w:t xml:space="preserve"> million</w:t>
            </w:r>
          </w:p>
        </w:tc>
        <w:tc>
          <w:tcPr>
            <w:tcW w:w="2457" w:type="dxa"/>
            <w:shd w:val="clear" w:color="auto" w:fill="FFFFFF" w:themeFill="background1"/>
            <w:vAlign w:val="center"/>
          </w:tcPr>
          <w:p w14:paraId="72F83C20" w14:textId="5289AD86" w:rsidR="0007374C" w:rsidRPr="00B16E6B" w:rsidRDefault="006667F9" w:rsidP="009613E1">
            <w:pPr>
              <w:spacing w:before="20" w:after="20" w:line="271" w:lineRule="auto"/>
              <w:jc w:val="center"/>
              <w:rPr>
                <w:rFonts w:ascii="Arial" w:hAnsi="Arial" w:cs="Arial"/>
                <w:color w:val="1C2B39" w:themeColor="text1"/>
                <w:sz w:val="20"/>
                <w:szCs w:val="20"/>
              </w:rPr>
            </w:pPr>
            <w:r w:rsidRPr="00B16E6B">
              <w:rPr>
                <w:rFonts w:ascii="Arial" w:hAnsi="Arial" w:cs="Arial"/>
                <w:color w:val="1C2B39" w:themeColor="text1"/>
                <w:sz w:val="20"/>
                <w:szCs w:val="20"/>
              </w:rPr>
              <w:t>N/A</w:t>
            </w:r>
          </w:p>
        </w:tc>
      </w:tr>
      <w:tr w:rsidR="0007374C" w:rsidRPr="00B16E6B" w14:paraId="08D4E9B3" w14:textId="77777777" w:rsidTr="00C64435">
        <w:trPr>
          <w:trHeight w:val="427"/>
        </w:trPr>
        <w:tc>
          <w:tcPr>
            <w:tcW w:w="2127" w:type="dxa"/>
            <w:shd w:val="clear" w:color="auto" w:fill="F2F2F2"/>
            <w:vAlign w:val="center"/>
          </w:tcPr>
          <w:p w14:paraId="5DE220D6" w14:textId="77777777" w:rsidR="0007374C" w:rsidRPr="00B16E6B" w:rsidRDefault="0007374C" w:rsidP="009613E1">
            <w:pPr>
              <w:spacing w:before="20" w:after="20" w:line="271" w:lineRule="auto"/>
              <w:jc w:val="center"/>
              <w:rPr>
                <w:rFonts w:ascii="Arial" w:hAnsi="Arial" w:cs="Arial"/>
                <w:sz w:val="20"/>
                <w:szCs w:val="20"/>
              </w:rPr>
            </w:pPr>
            <w:r w:rsidRPr="00B16E6B">
              <w:rPr>
                <w:rFonts w:ascii="Arial" w:hAnsi="Arial" w:cs="Arial"/>
                <w:sz w:val="20"/>
                <w:szCs w:val="20"/>
              </w:rPr>
              <w:t>Indirect avoided cost ($ million)</w:t>
            </w:r>
          </w:p>
        </w:tc>
        <w:tc>
          <w:tcPr>
            <w:tcW w:w="2457" w:type="dxa"/>
            <w:shd w:val="clear" w:color="auto" w:fill="FFFFFF" w:themeFill="background1"/>
            <w:vAlign w:val="center"/>
          </w:tcPr>
          <w:p w14:paraId="471295FF" w14:textId="77777777" w:rsidR="0007374C" w:rsidRPr="00B16E6B" w:rsidRDefault="0007374C" w:rsidP="009613E1">
            <w:pPr>
              <w:spacing w:before="20" w:after="20" w:line="271" w:lineRule="auto"/>
              <w:jc w:val="center"/>
              <w:rPr>
                <w:rFonts w:ascii="Arial" w:hAnsi="Arial" w:cs="Arial"/>
                <w:sz w:val="20"/>
                <w:szCs w:val="20"/>
              </w:rPr>
            </w:pPr>
            <w:r w:rsidRPr="00B16E6B">
              <w:rPr>
                <w:rFonts w:ascii="Arial" w:hAnsi="Arial" w:cs="Arial"/>
                <w:sz w:val="20"/>
                <w:szCs w:val="20"/>
              </w:rPr>
              <w:t>$</w:t>
            </w:r>
            <w:r w:rsidR="00BE7760" w:rsidRPr="00B16E6B">
              <w:rPr>
                <w:rFonts w:ascii="Arial" w:hAnsi="Arial" w:cs="Arial"/>
                <w:sz w:val="20"/>
                <w:szCs w:val="20"/>
              </w:rPr>
              <w:t>214.7</w:t>
            </w:r>
            <w:r w:rsidRPr="00B16E6B">
              <w:rPr>
                <w:rFonts w:ascii="Arial" w:hAnsi="Arial" w:cs="Arial"/>
                <w:sz w:val="20"/>
                <w:szCs w:val="20"/>
              </w:rPr>
              <w:t xml:space="preserve"> million</w:t>
            </w:r>
          </w:p>
        </w:tc>
        <w:tc>
          <w:tcPr>
            <w:tcW w:w="2457" w:type="dxa"/>
            <w:shd w:val="clear" w:color="auto" w:fill="FFFFFF" w:themeFill="background1"/>
            <w:vAlign w:val="center"/>
          </w:tcPr>
          <w:p w14:paraId="2F1132D3" w14:textId="77777777" w:rsidR="0007374C" w:rsidRPr="00B16E6B" w:rsidRDefault="00BF70D4" w:rsidP="009613E1">
            <w:pPr>
              <w:spacing w:before="20" w:after="20" w:line="271" w:lineRule="auto"/>
              <w:jc w:val="center"/>
              <w:rPr>
                <w:rFonts w:ascii="Arial" w:hAnsi="Arial" w:cs="Arial"/>
                <w:sz w:val="20"/>
                <w:szCs w:val="20"/>
              </w:rPr>
            </w:pPr>
            <w:r w:rsidRPr="00B16E6B">
              <w:rPr>
                <w:rFonts w:ascii="Arial" w:hAnsi="Arial" w:cs="Arial"/>
                <w:sz w:val="20"/>
                <w:szCs w:val="20"/>
              </w:rPr>
              <w:t xml:space="preserve">Nil </w:t>
            </w:r>
            <w:r w:rsidR="00B96085" w:rsidRPr="00B16E6B">
              <w:rPr>
                <w:rFonts w:ascii="Arial" w:hAnsi="Arial" w:cs="Arial"/>
                <w:sz w:val="20"/>
                <w:szCs w:val="20"/>
              </w:rPr>
              <w:t>*</w:t>
            </w:r>
          </w:p>
        </w:tc>
        <w:tc>
          <w:tcPr>
            <w:tcW w:w="2457" w:type="dxa"/>
            <w:shd w:val="clear" w:color="auto" w:fill="FFFFFF" w:themeFill="background1"/>
            <w:vAlign w:val="center"/>
          </w:tcPr>
          <w:p w14:paraId="41D7A4AA" w14:textId="7E014D38" w:rsidR="0007374C" w:rsidRPr="00B16E6B" w:rsidRDefault="006667F9" w:rsidP="009613E1">
            <w:pPr>
              <w:spacing w:before="20" w:after="20" w:line="271" w:lineRule="auto"/>
              <w:jc w:val="center"/>
              <w:rPr>
                <w:rFonts w:ascii="Arial" w:hAnsi="Arial" w:cs="Arial"/>
                <w:color w:val="1C2B39" w:themeColor="text1"/>
                <w:sz w:val="20"/>
                <w:szCs w:val="20"/>
              </w:rPr>
            </w:pPr>
            <w:r w:rsidRPr="00B16E6B">
              <w:rPr>
                <w:rFonts w:ascii="Arial" w:hAnsi="Arial" w:cs="Arial"/>
                <w:color w:val="1C2B39" w:themeColor="text1"/>
                <w:sz w:val="20"/>
                <w:szCs w:val="20"/>
              </w:rPr>
              <w:t>N/A</w:t>
            </w:r>
          </w:p>
        </w:tc>
      </w:tr>
      <w:tr w:rsidR="0007374C" w:rsidRPr="00B16E6B" w14:paraId="00FE74ED" w14:textId="77777777" w:rsidTr="00C64435">
        <w:trPr>
          <w:trHeight w:val="419"/>
        </w:trPr>
        <w:tc>
          <w:tcPr>
            <w:tcW w:w="2127" w:type="dxa"/>
            <w:shd w:val="clear" w:color="auto" w:fill="F2F2F2"/>
            <w:vAlign w:val="center"/>
          </w:tcPr>
          <w:p w14:paraId="6B1626A1" w14:textId="77777777" w:rsidR="0007374C" w:rsidRPr="00B16E6B" w:rsidRDefault="0007374C" w:rsidP="009613E1">
            <w:pPr>
              <w:spacing w:before="20" w:after="20" w:line="271" w:lineRule="auto"/>
              <w:jc w:val="center"/>
              <w:rPr>
                <w:rFonts w:ascii="Arial" w:hAnsi="Arial" w:cs="Arial"/>
                <w:sz w:val="20"/>
                <w:szCs w:val="20"/>
              </w:rPr>
            </w:pPr>
            <w:r w:rsidRPr="00B16E6B">
              <w:rPr>
                <w:rFonts w:ascii="Arial" w:hAnsi="Arial" w:cs="Arial"/>
                <w:sz w:val="20"/>
                <w:szCs w:val="20"/>
              </w:rPr>
              <w:t>Total avoided cost to the economy of the incident ($ million)</w:t>
            </w:r>
          </w:p>
        </w:tc>
        <w:tc>
          <w:tcPr>
            <w:tcW w:w="2457" w:type="dxa"/>
            <w:shd w:val="clear" w:color="auto" w:fill="FFFFFF" w:themeFill="background1"/>
            <w:vAlign w:val="center"/>
          </w:tcPr>
          <w:p w14:paraId="4BD4EDF1" w14:textId="77777777" w:rsidR="0007374C" w:rsidRPr="00B16E6B" w:rsidRDefault="0007374C" w:rsidP="009613E1">
            <w:pPr>
              <w:spacing w:before="20" w:after="20" w:line="271" w:lineRule="auto"/>
              <w:jc w:val="center"/>
              <w:rPr>
                <w:rFonts w:ascii="Arial" w:hAnsi="Arial" w:cs="Arial"/>
                <w:sz w:val="20"/>
                <w:szCs w:val="20"/>
              </w:rPr>
            </w:pPr>
            <w:r w:rsidRPr="00B16E6B">
              <w:rPr>
                <w:rFonts w:ascii="Arial" w:hAnsi="Arial" w:cs="Arial"/>
                <w:sz w:val="20"/>
                <w:szCs w:val="20"/>
              </w:rPr>
              <w:t>$</w:t>
            </w:r>
            <w:r w:rsidR="00BE7760" w:rsidRPr="00B16E6B">
              <w:rPr>
                <w:rFonts w:ascii="Arial" w:hAnsi="Arial" w:cs="Arial"/>
                <w:sz w:val="20"/>
                <w:szCs w:val="20"/>
              </w:rPr>
              <w:t>506.2</w:t>
            </w:r>
            <w:r w:rsidRPr="00B16E6B">
              <w:rPr>
                <w:rFonts w:ascii="Arial" w:hAnsi="Arial" w:cs="Arial"/>
                <w:sz w:val="20"/>
                <w:szCs w:val="20"/>
              </w:rPr>
              <w:t xml:space="preserve"> million</w:t>
            </w:r>
          </w:p>
        </w:tc>
        <w:tc>
          <w:tcPr>
            <w:tcW w:w="2457" w:type="dxa"/>
            <w:shd w:val="clear" w:color="auto" w:fill="FFFFFF" w:themeFill="background1"/>
            <w:vAlign w:val="center"/>
          </w:tcPr>
          <w:p w14:paraId="42B90F57" w14:textId="77777777" w:rsidR="0007374C" w:rsidRPr="00B16E6B" w:rsidRDefault="0007374C" w:rsidP="009613E1">
            <w:pPr>
              <w:spacing w:before="20" w:after="20" w:line="271" w:lineRule="auto"/>
              <w:jc w:val="center"/>
              <w:rPr>
                <w:rFonts w:ascii="Arial" w:hAnsi="Arial" w:cs="Arial"/>
                <w:sz w:val="20"/>
                <w:szCs w:val="20"/>
              </w:rPr>
            </w:pPr>
            <w:r w:rsidRPr="00B16E6B">
              <w:rPr>
                <w:rFonts w:ascii="Arial" w:hAnsi="Arial" w:cs="Arial"/>
                <w:sz w:val="20"/>
                <w:szCs w:val="20"/>
              </w:rPr>
              <w:t>$</w:t>
            </w:r>
            <w:r w:rsidR="00B96085" w:rsidRPr="00B16E6B">
              <w:rPr>
                <w:rFonts w:ascii="Arial" w:hAnsi="Arial" w:cs="Arial"/>
                <w:sz w:val="20"/>
                <w:szCs w:val="20"/>
              </w:rPr>
              <w:t>129.0</w:t>
            </w:r>
            <w:r w:rsidRPr="00B16E6B">
              <w:rPr>
                <w:rFonts w:ascii="Arial" w:hAnsi="Arial" w:cs="Arial"/>
                <w:sz w:val="20"/>
                <w:szCs w:val="20"/>
              </w:rPr>
              <w:t xml:space="preserve"> million</w:t>
            </w:r>
          </w:p>
        </w:tc>
        <w:tc>
          <w:tcPr>
            <w:tcW w:w="2457" w:type="dxa"/>
            <w:shd w:val="clear" w:color="auto" w:fill="FFFFFF" w:themeFill="background1"/>
            <w:vAlign w:val="center"/>
          </w:tcPr>
          <w:p w14:paraId="508E5FCF" w14:textId="21B4A4D8" w:rsidR="0007374C" w:rsidRPr="00B16E6B" w:rsidRDefault="0007374C" w:rsidP="009613E1">
            <w:pPr>
              <w:spacing w:before="20" w:after="20" w:line="271" w:lineRule="auto"/>
              <w:jc w:val="center"/>
              <w:rPr>
                <w:rFonts w:ascii="Arial" w:hAnsi="Arial" w:cs="Arial"/>
                <w:color w:val="1C2B39" w:themeColor="text1"/>
                <w:sz w:val="20"/>
                <w:szCs w:val="20"/>
              </w:rPr>
            </w:pPr>
            <w:r w:rsidRPr="00B16E6B">
              <w:rPr>
                <w:rFonts w:ascii="Arial" w:hAnsi="Arial" w:cs="Arial"/>
                <w:color w:val="1C2B39" w:themeColor="text1"/>
                <w:sz w:val="20"/>
                <w:szCs w:val="20"/>
              </w:rPr>
              <w:t>$</w:t>
            </w:r>
            <w:r w:rsidR="009D4023" w:rsidRPr="00B16E6B">
              <w:rPr>
                <w:rFonts w:ascii="Arial" w:hAnsi="Arial" w:cs="Arial"/>
                <w:color w:val="1C2B39" w:themeColor="text1"/>
                <w:sz w:val="20"/>
                <w:szCs w:val="20"/>
              </w:rPr>
              <w:t>6</w:t>
            </w:r>
            <w:r w:rsidR="006667F9" w:rsidRPr="00B16E6B">
              <w:rPr>
                <w:rFonts w:ascii="Arial" w:hAnsi="Arial" w:cs="Arial"/>
                <w:color w:val="1C2B39" w:themeColor="text1"/>
                <w:sz w:val="20"/>
                <w:szCs w:val="20"/>
              </w:rPr>
              <w:t>4</w:t>
            </w:r>
            <w:r w:rsidR="009D4023" w:rsidRPr="00B16E6B">
              <w:rPr>
                <w:rFonts w:ascii="Arial" w:hAnsi="Arial" w:cs="Arial"/>
                <w:color w:val="1C2B39" w:themeColor="text1"/>
                <w:sz w:val="20"/>
                <w:szCs w:val="20"/>
              </w:rPr>
              <w:t>.</w:t>
            </w:r>
            <w:r w:rsidR="006667F9" w:rsidRPr="00B16E6B">
              <w:rPr>
                <w:rFonts w:ascii="Arial" w:hAnsi="Arial" w:cs="Arial"/>
                <w:color w:val="1C2B39" w:themeColor="text1"/>
                <w:sz w:val="20"/>
                <w:szCs w:val="20"/>
              </w:rPr>
              <w:t xml:space="preserve">5 </w:t>
            </w:r>
            <w:r w:rsidRPr="00B16E6B">
              <w:rPr>
                <w:rFonts w:ascii="Arial" w:hAnsi="Arial" w:cs="Arial"/>
                <w:color w:val="1C2B39" w:themeColor="text1"/>
                <w:sz w:val="20"/>
                <w:szCs w:val="20"/>
              </w:rPr>
              <w:t>million</w:t>
            </w:r>
            <w:r w:rsidR="006667F9" w:rsidRPr="00B16E6B">
              <w:rPr>
                <w:rStyle w:val="FootnoteReference"/>
                <w:rFonts w:ascii="Arial" w:hAnsi="Arial" w:cs="Arial"/>
                <w:color w:val="1C2B39" w:themeColor="text1"/>
                <w:sz w:val="20"/>
                <w:szCs w:val="20"/>
              </w:rPr>
              <w:footnoteReference w:id="52"/>
            </w:r>
          </w:p>
        </w:tc>
      </w:tr>
      <w:tr w:rsidR="0007374C" w:rsidRPr="00B16E6B" w14:paraId="726735F4" w14:textId="77777777" w:rsidTr="00C64435">
        <w:trPr>
          <w:trHeight w:val="425"/>
        </w:trPr>
        <w:tc>
          <w:tcPr>
            <w:tcW w:w="2127" w:type="dxa"/>
            <w:shd w:val="clear" w:color="auto" w:fill="F2F2F2"/>
            <w:vAlign w:val="center"/>
          </w:tcPr>
          <w:p w14:paraId="3CD84AB7" w14:textId="77777777" w:rsidR="0007374C" w:rsidRPr="00B16E6B" w:rsidRDefault="0007374C" w:rsidP="009613E1">
            <w:pPr>
              <w:spacing w:before="20" w:after="20" w:line="271" w:lineRule="auto"/>
              <w:jc w:val="center"/>
              <w:rPr>
                <w:rFonts w:ascii="Arial" w:hAnsi="Arial" w:cs="Arial"/>
                <w:sz w:val="20"/>
                <w:szCs w:val="20"/>
              </w:rPr>
            </w:pPr>
            <w:r w:rsidRPr="00B16E6B">
              <w:rPr>
                <w:rFonts w:ascii="Arial" w:hAnsi="Arial" w:cs="Arial"/>
                <w:sz w:val="20"/>
                <w:szCs w:val="20"/>
              </w:rPr>
              <w:t>Approximate number of avoided incidents per annum required for a net benefit</w:t>
            </w:r>
          </w:p>
        </w:tc>
        <w:tc>
          <w:tcPr>
            <w:tcW w:w="2457" w:type="dxa"/>
            <w:shd w:val="clear" w:color="auto" w:fill="FFFFFF" w:themeFill="background1"/>
            <w:vAlign w:val="center"/>
          </w:tcPr>
          <w:p w14:paraId="50B7252C" w14:textId="77777777" w:rsidR="0007374C" w:rsidRPr="00B16E6B" w:rsidRDefault="00BE7760" w:rsidP="009613E1">
            <w:pPr>
              <w:spacing w:before="20" w:after="20" w:line="271" w:lineRule="auto"/>
              <w:jc w:val="center"/>
              <w:rPr>
                <w:rFonts w:ascii="Arial" w:hAnsi="Arial" w:cs="Arial"/>
                <w:sz w:val="20"/>
                <w:szCs w:val="20"/>
              </w:rPr>
            </w:pPr>
            <w:r w:rsidRPr="00B16E6B">
              <w:rPr>
                <w:rFonts w:ascii="Arial" w:hAnsi="Arial" w:cs="Arial"/>
                <w:sz w:val="20"/>
                <w:szCs w:val="20"/>
              </w:rPr>
              <w:t>1</w:t>
            </w:r>
            <w:r w:rsidR="00B20736" w:rsidRPr="00B16E6B">
              <w:rPr>
                <w:rFonts w:ascii="Arial" w:hAnsi="Arial" w:cs="Arial"/>
                <w:sz w:val="20"/>
                <w:szCs w:val="20"/>
              </w:rPr>
              <w:t>.</w:t>
            </w:r>
            <w:r w:rsidRPr="00B16E6B">
              <w:rPr>
                <w:rFonts w:ascii="Arial" w:hAnsi="Arial" w:cs="Arial"/>
                <w:sz w:val="20"/>
                <w:szCs w:val="20"/>
              </w:rPr>
              <w:t>3</w:t>
            </w:r>
          </w:p>
        </w:tc>
        <w:tc>
          <w:tcPr>
            <w:tcW w:w="2457" w:type="dxa"/>
            <w:shd w:val="clear" w:color="auto" w:fill="FFFFFF" w:themeFill="background1"/>
            <w:vAlign w:val="center"/>
          </w:tcPr>
          <w:p w14:paraId="1D19F45C" w14:textId="77777777" w:rsidR="0007374C" w:rsidRPr="00B16E6B" w:rsidRDefault="00B96085" w:rsidP="009613E1">
            <w:pPr>
              <w:spacing w:before="20" w:after="20" w:line="271" w:lineRule="auto"/>
              <w:jc w:val="center"/>
              <w:rPr>
                <w:rFonts w:ascii="Arial" w:hAnsi="Arial" w:cs="Arial"/>
                <w:sz w:val="20"/>
                <w:szCs w:val="20"/>
              </w:rPr>
            </w:pPr>
            <w:r w:rsidRPr="00B16E6B">
              <w:rPr>
                <w:rFonts w:ascii="Arial" w:hAnsi="Arial" w:cs="Arial"/>
                <w:sz w:val="20"/>
                <w:szCs w:val="20"/>
              </w:rPr>
              <w:t>5.3</w:t>
            </w:r>
          </w:p>
        </w:tc>
        <w:tc>
          <w:tcPr>
            <w:tcW w:w="2457" w:type="dxa"/>
            <w:shd w:val="clear" w:color="auto" w:fill="FFFFFF" w:themeFill="background1"/>
            <w:vAlign w:val="center"/>
          </w:tcPr>
          <w:p w14:paraId="07C02C11" w14:textId="3031D149" w:rsidR="0007374C" w:rsidRPr="00B16E6B" w:rsidRDefault="009D4023" w:rsidP="009613E1">
            <w:pPr>
              <w:spacing w:before="20" w:after="20" w:line="271" w:lineRule="auto"/>
              <w:jc w:val="center"/>
              <w:rPr>
                <w:rFonts w:ascii="Arial" w:hAnsi="Arial" w:cs="Arial"/>
                <w:color w:val="1C2B39" w:themeColor="text1"/>
                <w:sz w:val="20"/>
                <w:szCs w:val="20"/>
              </w:rPr>
            </w:pPr>
            <w:r w:rsidRPr="00B16E6B">
              <w:rPr>
                <w:rFonts w:ascii="Arial" w:hAnsi="Arial" w:cs="Arial"/>
                <w:color w:val="1C2B39" w:themeColor="text1"/>
                <w:sz w:val="20"/>
                <w:szCs w:val="20"/>
              </w:rPr>
              <w:t>10.</w:t>
            </w:r>
            <w:r w:rsidR="006667F9" w:rsidRPr="00B16E6B">
              <w:rPr>
                <w:rFonts w:ascii="Arial" w:hAnsi="Arial" w:cs="Arial"/>
                <w:color w:val="1C2B39" w:themeColor="text1"/>
                <w:sz w:val="20"/>
                <w:szCs w:val="20"/>
              </w:rPr>
              <w:t>6</w:t>
            </w:r>
          </w:p>
        </w:tc>
      </w:tr>
    </w:tbl>
    <w:p w14:paraId="7C8DD12A" w14:textId="0841F3FD" w:rsidR="00B96085" w:rsidRPr="00B16E6B" w:rsidRDefault="00B96085" w:rsidP="009613E1">
      <w:pPr>
        <w:tabs>
          <w:tab w:val="left" w:pos="1305"/>
        </w:tabs>
        <w:spacing w:before="120" w:line="271" w:lineRule="auto"/>
      </w:pPr>
      <w:r w:rsidRPr="00B16E6B">
        <w:rPr>
          <w:sz w:val="18"/>
        </w:rPr>
        <w:t xml:space="preserve">*Note: The nature of the </w:t>
      </w:r>
      <w:r w:rsidR="00CE0BA4" w:rsidRPr="00B16E6B">
        <w:rPr>
          <w:sz w:val="18"/>
        </w:rPr>
        <w:t xml:space="preserve">incident </w:t>
      </w:r>
      <w:r w:rsidRPr="00B16E6B">
        <w:rPr>
          <w:sz w:val="18"/>
        </w:rPr>
        <w:t>costs</w:t>
      </w:r>
      <w:r w:rsidR="00CE0BA4" w:rsidRPr="00B16E6B">
        <w:rPr>
          <w:sz w:val="18"/>
        </w:rPr>
        <w:t xml:space="preserve"> (a fine and compensation as part of a class action)</w:t>
      </w:r>
      <w:r w:rsidRPr="00B16E6B">
        <w:rPr>
          <w:sz w:val="18"/>
        </w:rPr>
        <w:t xml:space="preserve"> are such that they primarily impact the entity</w:t>
      </w:r>
      <w:r w:rsidR="00CE0BA4" w:rsidRPr="00B16E6B">
        <w:rPr>
          <w:sz w:val="18"/>
        </w:rPr>
        <w:t>. While entities typically pass on enforc</w:t>
      </w:r>
      <w:r w:rsidR="00BF70D4" w:rsidRPr="00B16E6B">
        <w:rPr>
          <w:sz w:val="18"/>
        </w:rPr>
        <w:t xml:space="preserve">ement and compensation costs to customers (indicating some economy-wide indirect costs), given the incident’s </w:t>
      </w:r>
      <w:r w:rsidR="00103571" w:rsidRPr="00B16E6B">
        <w:rPr>
          <w:sz w:val="18"/>
        </w:rPr>
        <w:t xml:space="preserve">estimated </w:t>
      </w:r>
      <w:r w:rsidR="00BF70D4" w:rsidRPr="00B16E6B">
        <w:rPr>
          <w:sz w:val="18"/>
        </w:rPr>
        <w:t xml:space="preserve">direct costs include some uncertainty, a conservative approach to the break-even analysis has been applied and no indirect costs have been assumed </w:t>
      </w:r>
      <w:r w:rsidRPr="00B16E6B">
        <w:rPr>
          <w:sz w:val="18"/>
        </w:rPr>
        <w:t xml:space="preserve">in relation to this </w:t>
      </w:r>
      <w:r w:rsidR="00BF70D4" w:rsidRPr="00B16E6B">
        <w:rPr>
          <w:sz w:val="18"/>
        </w:rPr>
        <w:t xml:space="preserve">Moderate </w:t>
      </w:r>
      <w:r w:rsidRPr="00B16E6B">
        <w:rPr>
          <w:sz w:val="18"/>
        </w:rPr>
        <w:t xml:space="preserve">scenario. </w:t>
      </w:r>
      <w:r w:rsidR="00CE0BA4" w:rsidRPr="00B16E6B">
        <w:rPr>
          <w:sz w:val="18"/>
        </w:rPr>
        <w:t>While i</w:t>
      </w:r>
      <w:r w:rsidRPr="00B16E6B">
        <w:rPr>
          <w:sz w:val="18"/>
        </w:rPr>
        <w:t xml:space="preserve">t is reasonable to assume that British Airways incurred additional costs associated with strengthening cyber security, there is no </w:t>
      </w:r>
      <w:r w:rsidR="001D63D2" w:rsidRPr="00B16E6B">
        <w:rPr>
          <w:sz w:val="18"/>
        </w:rPr>
        <w:t>publicly</w:t>
      </w:r>
      <w:r w:rsidRPr="00B16E6B">
        <w:rPr>
          <w:sz w:val="18"/>
        </w:rPr>
        <w:t xml:space="preserve"> available </w:t>
      </w:r>
      <w:r w:rsidR="00BF70D4" w:rsidRPr="00B16E6B">
        <w:rPr>
          <w:sz w:val="18"/>
        </w:rPr>
        <w:t>information</w:t>
      </w:r>
      <w:r w:rsidRPr="00B16E6B">
        <w:rPr>
          <w:sz w:val="18"/>
        </w:rPr>
        <w:t xml:space="preserve"> which quantifies this cost</w:t>
      </w:r>
      <w:r w:rsidR="00CE0BA4" w:rsidRPr="00B16E6B">
        <w:rPr>
          <w:sz w:val="18"/>
        </w:rPr>
        <w:t xml:space="preserve"> and so </w:t>
      </w:r>
      <w:r w:rsidR="00BF70D4" w:rsidRPr="00B16E6B">
        <w:rPr>
          <w:sz w:val="18"/>
        </w:rPr>
        <w:t xml:space="preserve">these costs </w:t>
      </w:r>
      <w:r w:rsidR="00CE0BA4" w:rsidRPr="00B16E6B">
        <w:rPr>
          <w:sz w:val="18"/>
        </w:rPr>
        <w:t>have not been considered as part of the break-even analysis</w:t>
      </w:r>
      <w:r w:rsidRPr="00B16E6B">
        <w:rPr>
          <w:sz w:val="18"/>
        </w:rPr>
        <w:t>.</w:t>
      </w:r>
      <w:r w:rsidR="00BF70D4" w:rsidRPr="00B16E6B">
        <w:rPr>
          <w:sz w:val="18"/>
        </w:rPr>
        <w:t xml:space="preserve"> If these costs were incurred, it would lower the number of break-even avoided incidents.</w:t>
      </w:r>
    </w:p>
    <w:p w14:paraId="5BB5AF89" w14:textId="2B4AC00D" w:rsidR="000A140E" w:rsidRPr="00B16E6B" w:rsidRDefault="00DB3135" w:rsidP="009613E1">
      <w:pPr>
        <w:tabs>
          <w:tab w:val="left" w:pos="1305"/>
        </w:tabs>
        <w:spacing w:before="120" w:line="271" w:lineRule="auto"/>
      </w:pPr>
      <w:r w:rsidRPr="00B16E6B">
        <w:t xml:space="preserve">As noted above, the total </w:t>
      </w:r>
      <w:r w:rsidR="00721D42" w:rsidRPr="00B16E6B">
        <w:t>direct ongoing cost for option 4</w:t>
      </w:r>
      <w:r w:rsidRPr="00B16E6B">
        <w:t xml:space="preserve"> is expected to be </w:t>
      </w:r>
      <w:r w:rsidR="00721D42" w:rsidRPr="00B16E6B">
        <w:t>$</w:t>
      </w:r>
      <w:r w:rsidR="009220CF" w:rsidRPr="00B16E6B">
        <w:t>115</w:t>
      </w:r>
      <w:r w:rsidRPr="00B16E6B">
        <w:t xml:space="preserve"> million per annum plus direct one-off costs of </w:t>
      </w:r>
      <w:r w:rsidR="00721D42" w:rsidRPr="00B16E6B">
        <w:t>$</w:t>
      </w:r>
      <w:r w:rsidR="009220CF" w:rsidRPr="00B16E6B">
        <w:t>190</w:t>
      </w:r>
      <w:r w:rsidRPr="00B16E6B">
        <w:t xml:space="preserve"> million. However, the cost of the </w:t>
      </w:r>
      <w:r w:rsidR="002F2AD9" w:rsidRPr="00B16E6B">
        <w:t>all hazards security</w:t>
      </w:r>
      <w:r w:rsidRPr="00B16E6B">
        <w:t xml:space="preserve"> framework </w:t>
      </w:r>
      <w:r w:rsidR="00F07864" w:rsidRPr="00B16E6B">
        <w:t xml:space="preserve">may </w:t>
      </w:r>
      <w:r w:rsidRPr="00B16E6B">
        <w:t>also have other indirect costs flowing from increased prices passed onto consumers from the framework’s implementation.</w:t>
      </w:r>
    </w:p>
    <w:p w14:paraId="3CCECE45" w14:textId="1CAAB385" w:rsidR="00DB3135" w:rsidRPr="00B16E6B" w:rsidRDefault="00DB3135" w:rsidP="009613E1">
      <w:pPr>
        <w:tabs>
          <w:tab w:val="left" w:pos="1305"/>
        </w:tabs>
        <w:spacing w:before="120" w:line="271" w:lineRule="auto"/>
      </w:pPr>
      <w:r w:rsidRPr="00B16E6B">
        <w:t>After considering the economy-wide impact of this change</w:t>
      </w:r>
      <w:r w:rsidR="002F2AD9" w:rsidRPr="00B16E6B">
        <w:t xml:space="preserve"> </w:t>
      </w:r>
      <w:r w:rsidR="00F07864" w:rsidRPr="00B16E6B">
        <w:t xml:space="preserve">per year </w:t>
      </w:r>
      <w:r w:rsidR="002F2AD9" w:rsidRPr="00B16E6B">
        <w:t>costs would be approximately $</w:t>
      </w:r>
      <w:r w:rsidR="00E30069" w:rsidRPr="00B16E6B">
        <w:t>681.9</w:t>
      </w:r>
      <w:r w:rsidR="00F07864" w:rsidRPr="00B16E6B">
        <w:t xml:space="preserve"> </w:t>
      </w:r>
      <w:r w:rsidR="002F2AD9" w:rsidRPr="00B16E6B">
        <w:t xml:space="preserve">million. This considers </w:t>
      </w:r>
      <w:r w:rsidRPr="00B16E6B">
        <w:t xml:space="preserve">the cost of providing aviation and maritime services, </w:t>
      </w:r>
      <w:r w:rsidR="002F2AD9" w:rsidRPr="00B16E6B">
        <w:t xml:space="preserve">and </w:t>
      </w:r>
      <w:r w:rsidRPr="00B16E6B">
        <w:t>the total econo</w:t>
      </w:r>
      <w:r w:rsidR="00E37766" w:rsidRPr="00B16E6B">
        <w:t>mic cost of the regulatory</w:t>
      </w:r>
      <w:r w:rsidRPr="00B16E6B">
        <w:t xml:space="preserve"> changes including direct and indirect</w:t>
      </w:r>
      <w:r w:rsidR="00C11681" w:rsidRPr="00B16E6B">
        <w:t xml:space="preserve"> impacts</w:t>
      </w:r>
      <w:r w:rsidRPr="00B16E6B">
        <w:t xml:space="preserve">. In order for the regulatory changes to generate a net benefit, the proposed </w:t>
      </w:r>
      <w:r w:rsidR="007D6C18" w:rsidRPr="00B16E6B">
        <w:t>all hazards security</w:t>
      </w:r>
      <w:r w:rsidRPr="00B16E6B">
        <w:t xml:space="preserve"> framework would need to contribute to the prevention of approximately </w:t>
      </w:r>
      <w:r w:rsidR="004564BD" w:rsidRPr="00B16E6B">
        <w:t>1.3</w:t>
      </w:r>
      <w:r w:rsidR="00C11681" w:rsidRPr="00B16E6B">
        <w:t xml:space="preserve"> severe scenarios per year, </w:t>
      </w:r>
      <w:r w:rsidR="00021DFD" w:rsidRPr="00B16E6B">
        <w:t>5.3</w:t>
      </w:r>
      <w:r w:rsidR="00C11681" w:rsidRPr="00B16E6B">
        <w:t xml:space="preserve"> moderate scenarios per </w:t>
      </w:r>
      <w:r w:rsidR="00C11681" w:rsidRPr="00B16E6B">
        <w:rPr>
          <w:color w:val="1C2B39" w:themeColor="text1"/>
        </w:rPr>
        <w:t xml:space="preserve">year or </w:t>
      </w:r>
      <w:r w:rsidR="009D4023" w:rsidRPr="00B16E6B">
        <w:rPr>
          <w:color w:val="1C2B39" w:themeColor="text1"/>
        </w:rPr>
        <w:t>10</w:t>
      </w:r>
      <w:r w:rsidR="0065743D" w:rsidRPr="00B16E6B">
        <w:rPr>
          <w:color w:val="1C2B39" w:themeColor="text1"/>
        </w:rPr>
        <w:t>.</w:t>
      </w:r>
      <w:r w:rsidR="006667F9" w:rsidRPr="00B16E6B">
        <w:rPr>
          <w:color w:val="1C2B39" w:themeColor="text1"/>
        </w:rPr>
        <w:t>6</w:t>
      </w:r>
      <w:r w:rsidRPr="00B16E6B">
        <w:rPr>
          <w:color w:val="1C2B39" w:themeColor="text1"/>
        </w:rPr>
        <w:t xml:space="preserve"> low scenario</w:t>
      </w:r>
      <w:r w:rsidR="00C11681" w:rsidRPr="00B16E6B">
        <w:rPr>
          <w:color w:val="1C2B39" w:themeColor="text1"/>
        </w:rPr>
        <w:t>s</w:t>
      </w:r>
      <w:r w:rsidRPr="00B16E6B">
        <w:rPr>
          <w:color w:val="1C2B39" w:themeColor="text1"/>
        </w:rPr>
        <w:t xml:space="preserve"> incidents per year</w:t>
      </w:r>
      <w:r w:rsidRPr="00B16E6B">
        <w:t xml:space="preserve">. </w:t>
      </w:r>
    </w:p>
    <w:p w14:paraId="64CBF6A5" w14:textId="77777777" w:rsidR="00DB3135" w:rsidRPr="00B16E6B" w:rsidRDefault="00DB3135" w:rsidP="009613E1">
      <w:pPr>
        <w:keepNext/>
        <w:keepLines/>
        <w:tabs>
          <w:tab w:val="left" w:pos="1305"/>
        </w:tabs>
        <w:spacing w:before="120" w:line="271" w:lineRule="auto"/>
      </w:pPr>
      <w:r w:rsidRPr="00B16E6B">
        <w:lastRenderedPageBreak/>
        <w:t>It is important to note the economic analysis of the above scenarios does not incorporate all direct avoided costs incurred by all future incidents. The avoided costs included are only those which were directly and immediately incurred as a result of the</w:t>
      </w:r>
      <w:r w:rsidR="005E1AA6" w:rsidRPr="00B16E6B">
        <w:t xml:space="preserve"> case studies considered</w:t>
      </w:r>
      <w:r w:rsidRPr="00B16E6B">
        <w:t>. In the broader context of a potential future disruption, in addition to the above estimate of benefits would be the avoided costs of recovery (repair costs, costs of resulting mitigations) from high value, specific circumstances</w:t>
      </w:r>
      <w:r w:rsidR="00F07864" w:rsidRPr="00B16E6B">
        <w:t>,</w:t>
      </w:r>
      <w:r w:rsidRPr="00B16E6B">
        <w:t xml:space="preserve"> which were not experienced during the </w:t>
      </w:r>
      <w:r w:rsidR="00083367" w:rsidRPr="00B16E6B">
        <w:t xml:space="preserve">3 </w:t>
      </w:r>
      <w:r w:rsidR="005E1AA6" w:rsidRPr="00B16E6B">
        <w:t>case studies considered above</w:t>
      </w:r>
      <w:r w:rsidRPr="00B16E6B">
        <w:t xml:space="preserve">. Consequently, the </w:t>
      </w:r>
      <w:r w:rsidR="008D2E29" w:rsidRPr="00B16E6B">
        <w:t>severe</w:t>
      </w:r>
      <w:r w:rsidRPr="00B16E6B">
        <w:t xml:space="preserve"> case of</w:t>
      </w:r>
      <w:r w:rsidR="00293BE0" w:rsidRPr="00B16E6B">
        <w:t xml:space="preserve"> a port closure </w:t>
      </w:r>
      <w:r w:rsidR="00C11681" w:rsidRPr="00B16E6B">
        <w:t>of 22.2 days (</w:t>
      </w:r>
      <w:r w:rsidR="00293BE0" w:rsidRPr="00B16E6B">
        <w:t>noted in the 2020 study</w:t>
      </w:r>
      <w:r w:rsidR="00C11681" w:rsidRPr="00B16E6B">
        <w:t>)</w:t>
      </w:r>
      <w:r w:rsidR="00293BE0" w:rsidRPr="00B16E6B">
        <w:t xml:space="preserve">, </w:t>
      </w:r>
      <w:r w:rsidR="00C11681" w:rsidRPr="00B16E6B">
        <w:t>may not be</w:t>
      </w:r>
      <w:r w:rsidRPr="00B16E6B">
        <w:t xml:space="preserve"> the worst-case incident and an incident of the same scale could have a greater impact if it occurred in other locations</w:t>
      </w:r>
      <w:r w:rsidR="008D2E29" w:rsidRPr="00B16E6B">
        <w:t xml:space="preserve"> (</w:t>
      </w:r>
      <w:r w:rsidR="000851EE" w:rsidRPr="00B16E6B">
        <w:t xml:space="preserve">for example, </w:t>
      </w:r>
      <w:r w:rsidR="008D2E29" w:rsidRPr="00B16E6B">
        <w:t>larger ports with higher value trade)</w:t>
      </w:r>
      <w:r w:rsidR="000851EE" w:rsidRPr="00B16E6B">
        <w:t xml:space="preserve"> or</w:t>
      </w:r>
      <w:r w:rsidR="008D2E29" w:rsidRPr="00B16E6B">
        <w:t xml:space="preserve"> at other times (</w:t>
      </w:r>
      <w:r w:rsidR="000851EE" w:rsidRPr="00B16E6B">
        <w:t>for example, in the lead-up to Christmas when delays to imports may incur greater costs to retailers)</w:t>
      </w:r>
      <w:r w:rsidRPr="00B16E6B">
        <w:t>.</w:t>
      </w:r>
      <w:r w:rsidR="00897AEE" w:rsidRPr="00B16E6B">
        <w:t xml:space="preserve"> The Port of Baltimore case study also demonstrates that a port closure in excess of 22.2 days is plausible.</w:t>
      </w:r>
    </w:p>
    <w:p w14:paraId="7FC20003" w14:textId="51FDA59B" w:rsidR="00DB3135" w:rsidRPr="00B16E6B" w:rsidRDefault="00DB3135" w:rsidP="009613E1">
      <w:pPr>
        <w:spacing w:line="271" w:lineRule="auto"/>
      </w:pPr>
      <w:r w:rsidRPr="00B16E6B">
        <w:t>In the aviation and maritime sectors, the economic benefit of avoiding incidents should also be considered alongside the avoided cost to human life. </w:t>
      </w:r>
      <w:r w:rsidR="000851EE" w:rsidRPr="00B16E6B">
        <w:t xml:space="preserve">These impacts have not been modelled because they were not a consequence of the </w:t>
      </w:r>
      <w:r w:rsidR="006667F9" w:rsidRPr="00B16E6B">
        <w:t>2</w:t>
      </w:r>
      <w:r w:rsidR="00083367" w:rsidRPr="00B16E6B">
        <w:t xml:space="preserve"> </w:t>
      </w:r>
      <w:r w:rsidR="000851EE" w:rsidRPr="00B16E6B">
        <w:t xml:space="preserve">case studies examined. </w:t>
      </w:r>
      <w:r w:rsidRPr="00B16E6B">
        <w:t>The estimated value of a statistical life (the value society places on reducing the risk of dying) is $5.4 million, and the value of a statistical life year (the value society places on a year of life) is $0.235 million.</w:t>
      </w:r>
      <w:r w:rsidRPr="00B16E6B">
        <w:rPr>
          <w:rStyle w:val="FootnoteReference"/>
          <w:rFonts w:ascii="Arial" w:hAnsi="Arial" w:cs="Arial"/>
          <w:sz w:val="20"/>
          <w:szCs w:val="20"/>
        </w:rPr>
        <w:footnoteReference w:id="53"/>
      </w:r>
      <w:r w:rsidRPr="00B16E6B">
        <w:t xml:space="preserve"> As both aviation and</w:t>
      </w:r>
      <w:r w:rsidR="008D2E29" w:rsidRPr="00B16E6B">
        <w:t xml:space="preserve">, to a lesser extent, </w:t>
      </w:r>
      <w:r w:rsidRPr="00B16E6B">
        <w:t>maritime services are critical to human life (including transport</w:t>
      </w:r>
      <w:r w:rsidR="008D2E29" w:rsidRPr="00B16E6B">
        <w:t xml:space="preserve"> of passengers</w:t>
      </w:r>
      <w:r w:rsidRPr="00B16E6B">
        <w:t xml:space="preserve"> and delivery of various essential goods), any avoidance of </w:t>
      </w:r>
      <w:r w:rsidR="000851EE" w:rsidRPr="00B16E6B">
        <w:t>an incident</w:t>
      </w:r>
      <w:r w:rsidRPr="00B16E6B">
        <w:t xml:space="preserve"> that could otherwise increase the likelihood of </w:t>
      </w:r>
      <w:r w:rsidR="000851EE" w:rsidRPr="00B16E6B">
        <w:t>risks to human life</w:t>
      </w:r>
      <w:r w:rsidRPr="00B16E6B">
        <w:t xml:space="preserve"> will have a benefit beyond that of the avoided cost to the economy able to be modelled.</w:t>
      </w:r>
      <w:r w:rsidR="000851EE" w:rsidRPr="00B16E6B">
        <w:t xml:space="preserve"> </w:t>
      </w:r>
    </w:p>
    <w:p w14:paraId="50877EC1" w14:textId="378F5FED" w:rsidR="00DB3135" w:rsidRPr="00B16E6B" w:rsidRDefault="00DB3135" w:rsidP="009613E1">
      <w:pPr>
        <w:tabs>
          <w:tab w:val="left" w:pos="1305"/>
        </w:tabs>
        <w:spacing w:before="120" w:line="271" w:lineRule="auto"/>
      </w:pPr>
      <w:r w:rsidRPr="00B16E6B">
        <w:t xml:space="preserve">Further, the increasing frequency </w:t>
      </w:r>
      <w:r w:rsidR="00B23BAB" w:rsidRPr="00B16E6B">
        <w:t xml:space="preserve">and severity </w:t>
      </w:r>
      <w:r w:rsidRPr="00B16E6B">
        <w:t xml:space="preserve">of incidents as described in section 1.1 makes the </w:t>
      </w:r>
      <w:r w:rsidR="00CF1970" w:rsidRPr="00B16E6B">
        <w:t>benefits o</w:t>
      </w:r>
      <w:r w:rsidR="006667F9" w:rsidRPr="00B16E6B">
        <w:t>f the</w:t>
      </w:r>
      <w:r w:rsidR="00CF1970" w:rsidRPr="00B16E6B">
        <w:t xml:space="preserve"> </w:t>
      </w:r>
      <w:r w:rsidRPr="00B16E6B">
        <w:t xml:space="preserve">proposed </w:t>
      </w:r>
      <w:r w:rsidR="00CF0687" w:rsidRPr="00B16E6B">
        <w:t>all hazards security</w:t>
      </w:r>
      <w:r w:rsidRPr="00B16E6B">
        <w:t xml:space="preserve"> framework more certain over time to exceed the anticipated costs. The examples referred to in that section </w:t>
      </w:r>
      <w:r w:rsidR="00BF70D4" w:rsidRPr="00B16E6B">
        <w:t xml:space="preserve">include increasing cyber incidents in relation to critical infrastructure in general and aviation and maritime </w:t>
      </w:r>
      <w:r w:rsidR="007E0DBD" w:rsidRPr="00B16E6B">
        <w:t>industry participants</w:t>
      </w:r>
      <w:r w:rsidR="00BF70D4" w:rsidRPr="00B16E6B">
        <w:t xml:space="preserve"> in particular. In addition,</w:t>
      </w:r>
      <w:r w:rsidR="0083706D" w:rsidRPr="00B16E6B">
        <w:t xml:space="preserve"> it is</w:t>
      </w:r>
      <w:r w:rsidR="00BF70D4" w:rsidRPr="00B16E6B">
        <w:t xml:space="preserve"> </w:t>
      </w:r>
      <w:r w:rsidR="00B23BAB" w:rsidRPr="00B16E6B">
        <w:rPr>
          <w:rFonts w:eastAsia="Times New Roman" w:cs="Arial"/>
          <w:szCs w:val="22"/>
          <w:lang w:eastAsia="en-AU"/>
        </w:rPr>
        <w:t>reported that natural disasters fuelled by the climate crisis will continue to intensify. These hazards have and will cause, widespread and substantial impacts, losses and damages, including potential damage to infrastructure, coastal areas (including low lying port infrastructure)</w:t>
      </w:r>
      <w:r w:rsidR="00B23BAB" w:rsidRPr="00B16E6B">
        <w:t>. The growing frequency and severity of incidents</w:t>
      </w:r>
      <w:r w:rsidR="00BF70D4" w:rsidRPr="00B16E6B">
        <w:t xml:space="preserve"> </w:t>
      </w:r>
      <w:r w:rsidRPr="00B16E6B">
        <w:t>demonstrate the increasing need for adequate protections against the security and resilience of aviation and maritime critical assets</w:t>
      </w:r>
      <w:r w:rsidR="00A6453C" w:rsidRPr="00B16E6B">
        <w:t xml:space="preserve">. </w:t>
      </w:r>
      <w:r w:rsidR="00B23BAB" w:rsidRPr="00B16E6B">
        <w:t xml:space="preserve">This also indicates </w:t>
      </w:r>
      <w:r w:rsidR="00F07864" w:rsidRPr="00B16E6B">
        <w:t>the</w:t>
      </w:r>
      <w:r w:rsidR="00B23BAB" w:rsidRPr="00B16E6B">
        <w:t xml:space="preserve"> </w:t>
      </w:r>
      <w:r w:rsidRPr="00B16E6B">
        <w:t xml:space="preserve">benefits of the </w:t>
      </w:r>
      <w:r w:rsidR="007D6C18" w:rsidRPr="00B16E6B">
        <w:t>all hazards security</w:t>
      </w:r>
      <w:r w:rsidRPr="00B16E6B">
        <w:t xml:space="preserve"> framework will</w:t>
      </w:r>
      <w:r w:rsidR="00F07864" w:rsidRPr="00B16E6B">
        <w:t xml:space="preserve"> further</w:t>
      </w:r>
      <w:r w:rsidRPr="00B16E6B">
        <w:t xml:space="preserve"> exceed the costs </w:t>
      </w:r>
      <w:r w:rsidR="00B23BAB" w:rsidRPr="00B16E6B">
        <w:t>over time</w:t>
      </w:r>
      <w:r w:rsidRPr="00B16E6B">
        <w:t>.</w:t>
      </w:r>
    </w:p>
    <w:p w14:paraId="6318E0A2" w14:textId="77777777" w:rsidR="00DA5B83" w:rsidRPr="00B16E6B" w:rsidRDefault="00DA5B83">
      <w:pPr>
        <w:spacing w:after="200" w:line="288" w:lineRule="auto"/>
        <w:rPr>
          <w:rFonts w:asciiTheme="majorHAnsi" w:eastAsiaTheme="majorEastAsia" w:hAnsiTheme="majorHAnsi" w:cstheme="minorHAnsi"/>
          <w:color w:val="1C2B39" w:themeColor="accent1"/>
          <w:sz w:val="24"/>
          <w:szCs w:val="24"/>
        </w:rPr>
      </w:pPr>
      <w:r w:rsidRPr="00B16E6B">
        <w:br w:type="page"/>
      </w:r>
    </w:p>
    <w:p w14:paraId="7916A221" w14:textId="42DAE891" w:rsidR="00E644BE" w:rsidRPr="00B16E6B" w:rsidRDefault="00E644BE" w:rsidP="009613E1">
      <w:pPr>
        <w:pStyle w:val="Heading3"/>
        <w:spacing w:line="271" w:lineRule="auto"/>
      </w:pPr>
      <w:r w:rsidRPr="00B16E6B">
        <w:lastRenderedPageBreak/>
        <w:t xml:space="preserve">4.5.3 Likely net benefit of </w:t>
      </w:r>
      <w:r w:rsidR="00460973" w:rsidRPr="00B16E6B">
        <w:t>option</w:t>
      </w:r>
      <w:r w:rsidRPr="00B16E6B">
        <w:t xml:space="preserve"> 4</w:t>
      </w:r>
    </w:p>
    <w:p w14:paraId="7456BB07" w14:textId="6681A370" w:rsidR="00E644BE" w:rsidRPr="00B16E6B" w:rsidRDefault="00E644BE" w:rsidP="009613E1">
      <w:pPr>
        <w:spacing w:line="271" w:lineRule="auto"/>
      </w:pPr>
      <w:r w:rsidRPr="00B16E6B">
        <w:t>The likely benefits of option 4 will be at least (and are expected to be more than) the costs of the regulation. This is primarily because, as described above and throughout the IA, the frequency and severity of all hazard risks for the aviation and maritime sectors are growing. While some events of the magnitude described in the IA have previously been considered to represent the worst-case dis</w:t>
      </w:r>
      <w:r w:rsidR="00A60A2E" w:rsidRPr="00B16E6B">
        <w:t>ruption scenarios in Australia</w:t>
      </w:r>
      <w:r w:rsidR="00A6453C" w:rsidRPr="00B16E6B">
        <w:t>, t</w:t>
      </w:r>
      <w:r w:rsidRPr="00B16E6B">
        <w:t>he increasing severity and frequency of similar incidents, particularly in the context of growing cyber security incidents</w:t>
      </w:r>
      <w:r w:rsidR="00A60A2E" w:rsidRPr="00B16E6B">
        <w:rPr>
          <w:color w:val="FF0000"/>
        </w:rPr>
        <w:t xml:space="preserve"> </w:t>
      </w:r>
      <w:r w:rsidR="00A60A2E" w:rsidRPr="00B16E6B">
        <w:t>represents a risk to the whole economy.</w:t>
      </w:r>
      <w:r w:rsidR="00A60A2E" w:rsidRPr="00B16E6B">
        <w:rPr>
          <w:color w:val="FF0000"/>
        </w:rPr>
        <w:t xml:space="preserve"> </w:t>
      </w:r>
      <w:r w:rsidRPr="00B16E6B">
        <w:t xml:space="preserve">The increasing frequency of incidents as described above, makes the proposed </w:t>
      </w:r>
      <w:r w:rsidR="007D6C18" w:rsidRPr="00B16E6B">
        <w:t>all hazards security</w:t>
      </w:r>
      <w:r w:rsidRPr="00B16E6B">
        <w:t xml:space="preserve"> framework more likely to exceed the anticipated costs over time.</w:t>
      </w:r>
    </w:p>
    <w:p w14:paraId="3E52033D" w14:textId="77777777" w:rsidR="00E644BE" w:rsidRPr="00B16E6B" w:rsidRDefault="00E644BE" w:rsidP="009613E1">
      <w:pPr>
        <w:spacing w:line="271" w:lineRule="auto"/>
      </w:pPr>
      <w:r w:rsidRPr="00B16E6B">
        <w:t>Further, through the pursuit of option 4, the identification, mitigation and remediation of such hazards should they occur, will be improved through:</w:t>
      </w:r>
    </w:p>
    <w:p w14:paraId="6B531333" w14:textId="77777777" w:rsidR="00E644BE" w:rsidRPr="00B16E6B" w:rsidRDefault="00381947" w:rsidP="00A11AF5">
      <w:pPr>
        <w:pStyle w:val="ListParagraph"/>
        <w:numPr>
          <w:ilvl w:val="0"/>
          <w:numId w:val="21"/>
        </w:numPr>
        <w:spacing w:line="271" w:lineRule="auto"/>
        <w:ind w:left="714" w:hanging="357"/>
        <w:contextualSpacing w:val="0"/>
        <w:rPr>
          <w:bCs/>
          <w:lang w:val="en-US"/>
        </w:rPr>
      </w:pPr>
      <w:r w:rsidRPr="00B16E6B">
        <w:rPr>
          <w:bCs/>
          <w:lang w:val="en-US"/>
        </w:rPr>
        <w:t>l</w:t>
      </w:r>
      <w:r w:rsidR="00E644BE" w:rsidRPr="00B16E6B">
        <w:rPr>
          <w:bCs/>
          <w:lang w:val="en-US"/>
        </w:rPr>
        <w:t xml:space="preserve">owering the material risk of hazards and subsequent impacts of those hazards, as they manifest for aviation and maritime </w:t>
      </w:r>
      <w:r w:rsidR="007E0DBD" w:rsidRPr="00B16E6B">
        <w:rPr>
          <w:bCs/>
          <w:lang w:val="en-US"/>
        </w:rPr>
        <w:t>industry parti</w:t>
      </w:r>
      <w:r w:rsidR="004838AA" w:rsidRPr="00B16E6B">
        <w:rPr>
          <w:bCs/>
          <w:lang w:val="en-US"/>
        </w:rPr>
        <w:t>ci</w:t>
      </w:r>
      <w:r w:rsidR="007E0DBD" w:rsidRPr="00B16E6B">
        <w:rPr>
          <w:bCs/>
          <w:lang w:val="en-US"/>
        </w:rPr>
        <w:t>pants</w:t>
      </w:r>
    </w:p>
    <w:p w14:paraId="6D1475C6" w14:textId="77777777" w:rsidR="00E644BE" w:rsidRPr="00B16E6B" w:rsidRDefault="00381947" w:rsidP="00A11AF5">
      <w:pPr>
        <w:pStyle w:val="ListParagraph"/>
        <w:numPr>
          <w:ilvl w:val="0"/>
          <w:numId w:val="21"/>
        </w:numPr>
        <w:spacing w:line="271" w:lineRule="auto"/>
        <w:ind w:left="714" w:hanging="357"/>
        <w:contextualSpacing w:val="0"/>
        <w:rPr>
          <w:bCs/>
          <w:lang w:val="en-US"/>
        </w:rPr>
      </w:pPr>
      <w:r w:rsidRPr="00B16E6B">
        <w:rPr>
          <w:bCs/>
          <w:lang w:val="en-US"/>
        </w:rPr>
        <w:t>e</w:t>
      </w:r>
      <w:r w:rsidR="00E644BE" w:rsidRPr="00B16E6B">
        <w:rPr>
          <w:bCs/>
          <w:lang w:val="en-US"/>
        </w:rPr>
        <w:t xml:space="preserve">nsuring that adoption of the </w:t>
      </w:r>
      <w:r w:rsidR="007D6C18" w:rsidRPr="00B16E6B">
        <w:rPr>
          <w:bCs/>
          <w:lang w:val="en-US"/>
        </w:rPr>
        <w:t>all hazards security</w:t>
      </w:r>
      <w:r w:rsidR="00E644BE" w:rsidRPr="00B16E6B">
        <w:rPr>
          <w:bCs/>
          <w:lang w:val="en-US"/>
        </w:rPr>
        <w:t xml:space="preserve"> framework for aviation and maritime </w:t>
      </w:r>
      <w:r w:rsidR="00C65BAD" w:rsidRPr="00B16E6B">
        <w:rPr>
          <w:bCs/>
          <w:lang w:val="en-US"/>
        </w:rPr>
        <w:t xml:space="preserve">industry participants </w:t>
      </w:r>
      <w:r w:rsidR="00E644BE" w:rsidRPr="00B16E6B">
        <w:rPr>
          <w:bCs/>
          <w:lang w:val="en-US"/>
        </w:rPr>
        <w:t>is reasonable and proportionate to the purpose of the program</w:t>
      </w:r>
    </w:p>
    <w:p w14:paraId="2FFAA37F" w14:textId="43AE0838" w:rsidR="00094E1A" w:rsidRPr="00B16E6B" w:rsidRDefault="00094E1A" w:rsidP="00A11AF5">
      <w:pPr>
        <w:pStyle w:val="ListParagraph"/>
        <w:numPr>
          <w:ilvl w:val="0"/>
          <w:numId w:val="21"/>
        </w:numPr>
        <w:spacing w:line="271" w:lineRule="auto"/>
        <w:rPr>
          <w:rFonts w:eastAsia="Times New Roman"/>
          <w:szCs w:val="22"/>
          <w:lang w:eastAsia="en-AU"/>
        </w:rPr>
      </w:pPr>
      <w:r w:rsidRPr="00B16E6B">
        <w:rPr>
          <w:rFonts w:eastAsia="Times New Roman"/>
          <w:szCs w:val="22"/>
          <w:lang w:eastAsia="en-AU"/>
        </w:rPr>
        <w:t>ensuring the transport</w:t>
      </w:r>
      <w:r w:rsidRPr="00B16E6B">
        <w:rPr>
          <w:rFonts w:eastAsia="Times New Roman"/>
          <w:lang w:eastAsia="en-AU"/>
        </w:rPr>
        <w:t xml:space="preserve"> security legislative frameworks are robust, proportionate</w:t>
      </w:r>
      <w:r w:rsidR="00596E71" w:rsidRPr="00B16E6B">
        <w:rPr>
          <w:rFonts w:eastAsia="Times New Roman"/>
          <w:lang w:eastAsia="en-AU"/>
        </w:rPr>
        <w:t>,</w:t>
      </w:r>
      <w:r w:rsidRPr="00B16E6B">
        <w:rPr>
          <w:rFonts w:eastAsia="Times New Roman"/>
          <w:lang w:eastAsia="en-AU"/>
        </w:rPr>
        <w:t xml:space="preserve"> and fit-for-purpose to meet security objectives.</w:t>
      </w:r>
    </w:p>
    <w:p w14:paraId="0A16F67F" w14:textId="77777777" w:rsidR="00E644BE" w:rsidRPr="00B16E6B" w:rsidRDefault="00E644BE" w:rsidP="009613E1">
      <w:pPr>
        <w:spacing w:line="271" w:lineRule="auto"/>
      </w:pPr>
      <w:r w:rsidRPr="00B16E6B">
        <w:t>Overall, these factors and the specific costs and benefits described above mean that the likely net benefit associated with option 4 is high.</w:t>
      </w:r>
    </w:p>
    <w:p w14:paraId="2DFB2A8C" w14:textId="77777777" w:rsidR="005450B9" w:rsidRPr="00B16E6B" w:rsidRDefault="005450B9" w:rsidP="009613E1">
      <w:pPr>
        <w:pStyle w:val="Heading1"/>
        <w:pageBreakBefore/>
        <w:numPr>
          <w:ilvl w:val="0"/>
          <w:numId w:val="13"/>
        </w:numPr>
        <w:spacing w:line="271" w:lineRule="auto"/>
        <w:ind w:left="714" w:hanging="357"/>
      </w:pPr>
      <w:r w:rsidRPr="00B16E6B">
        <w:lastRenderedPageBreak/>
        <w:t>Who did you consult and how did you incorporate their feedback?</w:t>
      </w:r>
    </w:p>
    <w:p w14:paraId="179C107B" w14:textId="77777777" w:rsidR="00291A01" w:rsidRPr="00B16E6B" w:rsidRDefault="00291A01" w:rsidP="009613E1">
      <w:pPr>
        <w:spacing w:line="271" w:lineRule="auto"/>
        <w:rPr>
          <w:rFonts w:eastAsia="Times New Roman"/>
          <w:lang w:eastAsia="en-AU"/>
        </w:rPr>
      </w:pPr>
      <w:r w:rsidRPr="00B16E6B">
        <w:rPr>
          <w:rFonts w:eastAsia="Times New Roman"/>
          <w:lang w:eastAsia="en-AU"/>
        </w:rPr>
        <w:t xml:space="preserve">This section provides an overview of consultation undertaken by the department on the potential reform measures considered in this IA. It summarises the purposes and objectives of consultation, a summary of the approach to consultation, as well as analysis of outcomes and key themes. </w:t>
      </w:r>
    </w:p>
    <w:p w14:paraId="4B981EEB" w14:textId="4C243127" w:rsidR="00591F0A" w:rsidRDefault="00591F0A" w:rsidP="00591F0A">
      <w:pPr>
        <w:pStyle w:val="Heading3"/>
        <w:rPr>
          <w:rFonts w:eastAsia="Times New Roman"/>
          <w:lang w:eastAsia="en-AU"/>
        </w:rPr>
      </w:pPr>
      <w:r>
        <w:rPr>
          <w:rFonts w:eastAsia="Times New Roman"/>
          <w:lang w:eastAsia="en-AU"/>
        </w:rPr>
        <w:t>Purpose and objectives of consultation</w:t>
      </w:r>
    </w:p>
    <w:p w14:paraId="49DD317E" w14:textId="3FD438E9" w:rsidR="005450B9" w:rsidRPr="00B16E6B" w:rsidRDefault="005450B9" w:rsidP="009613E1">
      <w:pPr>
        <w:spacing w:line="271" w:lineRule="auto"/>
        <w:rPr>
          <w:rFonts w:ascii="Segoe UI" w:eastAsia="Times New Roman" w:hAnsi="Segoe UI" w:cs="Segoe UI"/>
          <w:sz w:val="18"/>
          <w:szCs w:val="18"/>
          <w:lang w:eastAsia="en-AU"/>
        </w:rPr>
      </w:pPr>
      <w:r w:rsidRPr="00B16E6B">
        <w:rPr>
          <w:rFonts w:eastAsia="Times New Roman"/>
          <w:lang w:eastAsia="en-AU"/>
        </w:rPr>
        <w:t>Continuous and broad-based consultation is an essential component of the department’s process for understanding industry</w:t>
      </w:r>
      <w:r w:rsidR="00D364D2" w:rsidRPr="00B16E6B">
        <w:rPr>
          <w:rFonts w:eastAsia="Times New Roman"/>
          <w:lang w:eastAsia="en-AU"/>
        </w:rPr>
        <w:t>’s</w:t>
      </w:r>
      <w:r w:rsidRPr="00B16E6B">
        <w:rPr>
          <w:rFonts w:eastAsia="Times New Roman"/>
          <w:lang w:eastAsia="en-AU"/>
        </w:rPr>
        <w:t xml:space="preserve"> views on </w:t>
      </w:r>
      <w:r w:rsidR="00063AA9" w:rsidRPr="00B16E6B">
        <w:rPr>
          <w:rFonts w:eastAsia="Times New Roman"/>
          <w:lang w:eastAsia="en-AU"/>
        </w:rPr>
        <w:t xml:space="preserve">aviation and maritime security </w:t>
      </w:r>
      <w:r w:rsidRPr="00B16E6B">
        <w:rPr>
          <w:rFonts w:eastAsia="Times New Roman"/>
          <w:lang w:eastAsia="en-AU"/>
        </w:rPr>
        <w:t xml:space="preserve">legislation and reforms. Consultation is essential for ensuring that all enacted reforms are implemented in a manner that achieves desired outcomes, while minimising any unnecessary or disproportionate </w:t>
      </w:r>
      <w:r w:rsidR="009F4AFD" w:rsidRPr="00B16E6B">
        <w:rPr>
          <w:rFonts w:eastAsia="Times New Roman"/>
          <w:lang w:eastAsia="en-AU"/>
        </w:rPr>
        <w:t>costs</w:t>
      </w:r>
      <w:r w:rsidRPr="00B16E6B">
        <w:rPr>
          <w:rFonts w:eastAsia="Times New Roman"/>
          <w:lang w:eastAsia="en-AU"/>
        </w:rPr>
        <w:t xml:space="preserve"> on Australia’s transport sector.   </w:t>
      </w:r>
    </w:p>
    <w:p w14:paraId="059F0836" w14:textId="116B9B9F" w:rsidR="0083706D" w:rsidRPr="00B16E6B" w:rsidRDefault="005450B9" w:rsidP="00DA5B83">
      <w:pPr>
        <w:spacing w:line="271" w:lineRule="auto"/>
        <w:rPr>
          <w:rFonts w:asciiTheme="majorHAnsi" w:eastAsia="Times New Roman" w:hAnsiTheme="majorHAnsi" w:cstheme="majorBidi"/>
          <w:color w:val="1C2B39" w:themeColor="accent1"/>
          <w:sz w:val="36"/>
          <w:szCs w:val="28"/>
          <w:lang w:eastAsia="en-AU"/>
        </w:rPr>
      </w:pPr>
      <w:r w:rsidRPr="00B16E6B">
        <w:rPr>
          <w:rFonts w:eastAsia="Times New Roman"/>
          <w:lang w:eastAsia="en-AU"/>
        </w:rPr>
        <w:t xml:space="preserve">The department’s commitment to consultation also reflects the view that each sector manages risk in a unique way and that industry stakeholders themselves are best placed to identify, evaluate, and mitigate the risks that manifest in their particular </w:t>
      </w:r>
      <w:r w:rsidR="00F07864" w:rsidRPr="00B16E6B">
        <w:rPr>
          <w:rFonts w:eastAsia="Times New Roman"/>
          <w:lang w:eastAsia="en-AU"/>
        </w:rPr>
        <w:t>operating environment</w:t>
      </w:r>
      <w:r w:rsidRPr="00B16E6B">
        <w:rPr>
          <w:rFonts w:eastAsia="Times New Roman"/>
          <w:lang w:eastAsia="en-AU"/>
        </w:rPr>
        <w:t>. The department acknowledges and seeks to avoid broadly applicable, prescriptive legislative reforms, which have the potential to disrupt industry’s ability to respond to risks in a nuanced manner. Effective consultation is critical for the department in validating the nature of the proposed reform measures, allowing organisations to continue managing their risks in a manner most appropriate for their operating context.  </w:t>
      </w:r>
    </w:p>
    <w:p w14:paraId="410ABB7C" w14:textId="77777777" w:rsidR="005450B9" w:rsidRPr="00B16E6B" w:rsidRDefault="005450B9" w:rsidP="009613E1">
      <w:pPr>
        <w:pStyle w:val="Heading2"/>
        <w:spacing w:line="271" w:lineRule="auto"/>
        <w:rPr>
          <w:rFonts w:ascii="Segoe UI" w:eastAsia="Times New Roman" w:hAnsi="Segoe UI" w:cs="Segoe UI"/>
          <w:sz w:val="18"/>
          <w:szCs w:val="18"/>
          <w:lang w:eastAsia="en-AU"/>
        </w:rPr>
      </w:pPr>
      <w:r w:rsidRPr="00B16E6B">
        <w:rPr>
          <w:rFonts w:eastAsia="Times New Roman"/>
          <w:lang w:eastAsia="en-AU"/>
        </w:rPr>
        <w:t xml:space="preserve">5.2 </w:t>
      </w:r>
      <w:r w:rsidR="00291A01" w:rsidRPr="00B16E6B">
        <w:rPr>
          <w:rFonts w:eastAsia="Times New Roman"/>
          <w:lang w:eastAsia="en-AU"/>
        </w:rPr>
        <w:t xml:space="preserve">Summary of consultation completed </w:t>
      </w:r>
      <w:r w:rsidRPr="00B16E6B">
        <w:rPr>
          <w:rFonts w:eastAsia="Times New Roman"/>
          <w:lang w:eastAsia="en-AU"/>
        </w:rPr>
        <w:t> </w:t>
      </w:r>
    </w:p>
    <w:p w14:paraId="53C762E8" w14:textId="0D3D2E06" w:rsidR="00291A01" w:rsidRPr="00B16E6B" w:rsidRDefault="00291A01" w:rsidP="009613E1">
      <w:pPr>
        <w:pStyle w:val="BodyText"/>
        <w:spacing w:before="0" w:after="160" w:line="271" w:lineRule="auto"/>
        <w:rPr>
          <w:rFonts w:eastAsia="Times New Roman" w:cstheme="minorBidi"/>
          <w:szCs w:val="21"/>
          <w:lang w:eastAsia="en-AU"/>
        </w:rPr>
      </w:pPr>
      <w:r w:rsidRPr="00B16E6B">
        <w:rPr>
          <w:rFonts w:eastAsia="Times New Roman" w:cstheme="minorBidi"/>
          <w:szCs w:val="21"/>
          <w:lang w:eastAsia="en-AU"/>
        </w:rPr>
        <w:t xml:space="preserve">The </w:t>
      </w:r>
      <w:r w:rsidR="00063AA9" w:rsidRPr="00B16E6B">
        <w:rPr>
          <w:rFonts w:eastAsia="Times New Roman" w:cstheme="minorBidi"/>
          <w:szCs w:val="21"/>
          <w:lang w:eastAsia="en-AU"/>
        </w:rPr>
        <w:t>d</w:t>
      </w:r>
      <w:r w:rsidRPr="00B16E6B">
        <w:rPr>
          <w:rFonts w:eastAsia="Times New Roman" w:cstheme="minorBidi"/>
          <w:szCs w:val="21"/>
          <w:lang w:eastAsia="en-AU"/>
        </w:rPr>
        <w:t>epartment has completed a period of targeted con</w:t>
      </w:r>
      <w:r w:rsidR="0009185B" w:rsidRPr="00B16E6B">
        <w:rPr>
          <w:rFonts w:eastAsia="Times New Roman" w:cstheme="minorBidi"/>
          <w:szCs w:val="21"/>
          <w:lang w:eastAsia="en-AU"/>
        </w:rPr>
        <w:t>sultation with industry on the 15</w:t>
      </w:r>
      <w:r w:rsidRPr="00B16E6B">
        <w:rPr>
          <w:rFonts w:eastAsia="Times New Roman" w:cstheme="minorBidi"/>
          <w:szCs w:val="21"/>
          <w:lang w:eastAsia="en-AU"/>
        </w:rPr>
        <w:t xml:space="preserve"> proposed reform measures</w:t>
      </w:r>
      <w:r w:rsidR="00F07864" w:rsidRPr="00B16E6B">
        <w:rPr>
          <w:rFonts w:eastAsia="Times New Roman" w:cstheme="minorBidi"/>
          <w:szCs w:val="21"/>
          <w:lang w:eastAsia="en-AU"/>
        </w:rPr>
        <w:t xml:space="preserve"> contained within a consultation paper and</w:t>
      </w:r>
      <w:r w:rsidRPr="00B16E6B">
        <w:rPr>
          <w:rFonts w:eastAsia="Times New Roman" w:cstheme="minorBidi"/>
          <w:szCs w:val="21"/>
          <w:lang w:eastAsia="en-AU"/>
        </w:rPr>
        <w:t xml:space="preserve"> considered in this IA.</w:t>
      </w:r>
      <w:r w:rsidR="00F07864" w:rsidRPr="00B16E6B">
        <w:rPr>
          <w:rFonts w:eastAsia="Times New Roman" w:cstheme="minorBidi"/>
          <w:szCs w:val="21"/>
          <w:lang w:eastAsia="en-AU"/>
        </w:rPr>
        <w:t xml:space="preserve"> </w:t>
      </w:r>
      <w:r w:rsidRPr="00B16E6B">
        <w:rPr>
          <w:rFonts w:eastAsia="Times New Roman" w:cstheme="minorBidi"/>
          <w:szCs w:val="21"/>
          <w:lang w:eastAsia="en-AU"/>
        </w:rPr>
        <w:t xml:space="preserve">This engagement </w:t>
      </w:r>
      <w:r w:rsidR="00B96086" w:rsidRPr="00B16E6B">
        <w:rPr>
          <w:rFonts w:eastAsia="Times New Roman" w:cstheme="minorBidi"/>
          <w:szCs w:val="21"/>
          <w:lang w:eastAsia="en-AU"/>
        </w:rPr>
        <w:t xml:space="preserve">occurred across </w:t>
      </w:r>
      <w:r w:rsidR="00B70931" w:rsidRPr="00B16E6B">
        <w:rPr>
          <w:rFonts w:eastAsia="Times New Roman" w:cstheme="minorBidi"/>
          <w:szCs w:val="21"/>
          <w:lang w:eastAsia="en-AU"/>
        </w:rPr>
        <w:t xml:space="preserve">February, </w:t>
      </w:r>
      <w:r w:rsidR="00B96086" w:rsidRPr="00B16E6B">
        <w:rPr>
          <w:rFonts w:eastAsia="Times New Roman" w:cstheme="minorBidi"/>
          <w:szCs w:val="21"/>
          <w:lang w:eastAsia="en-AU"/>
        </w:rPr>
        <w:t>May</w:t>
      </w:r>
      <w:r w:rsidR="00861CE0" w:rsidRPr="00B16E6B">
        <w:rPr>
          <w:rFonts w:eastAsia="Times New Roman" w:cstheme="minorBidi"/>
          <w:szCs w:val="21"/>
          <w:lang w:eastAsia="en-AU"/>
        </w:rPr>
        <w:t xml:space="preserve">, </w:t>
      </w:r>
      <w:r w:rsidR="00B96086" w:rsidRPr="00B16E6B">
        <w:rPr>
          <w:rFonts w:eastAsia="Times New Roman" w:cstheme="minorBidi"/>
          <w:szCs w:val="21"/>
          <w:lang w:eastAsia="en-AU"/>
        </w:rPr>
        <w:t xml:space="preserve">July </w:t>
      </w:r>
      <w:r w:rsidR="00861CE0" w:rsidRPr="00B16E6B">
        <w:rPr>
          <w:rFonts w:eastAsia="Times New Roman" w:cstheme="minorBidi"/>
          <w:szCs w:val="21"/>
          <w:lang w:eastAsia="en-AU"/>
        </w:rPr>
        <w:t xml:space="preserve">and October </w:t>
      </w:r>
      <w:r w:rsidR="00B96086" w:rsidRPr="00B16E6B">
        <w:rPr>
          <w:rFonts w:eastAsia="Times New Roman" w:cstheme="minorBidi"/>
          <w:szCs w:val="21"/>
          <w:lang w:eastAsia="en-AU"/>
        </w:rPr>
        <w:t xml:space="preserve">2024, and </w:t>
      </w:r>
      <w:r w:rsidRPr="00B16E6B">
        <w:rPr>
          <w:rFonts w:eastAsia="Times New Roman" w:cstheme="minorBidi"/>
          <w:szCs w:val="21"/>
          <w:lang w:eastAsia="en-AU"/>
        </w:rPr>
        <w:t>has included:</w:t>
      </w:r>
    </w:p>
    <w:p w14:paraId="1E83770C" w14:textId="034A316F" w:rsidR="00B70931" w:rsidRPr="00B16E6B" w:rsidRDefault="00E54539" w:rsidP="00A11AF5">
      <w:pPr>
        <w:pStyle w:val="BodyText"/>
        <w:numPr>
          <w:ilvl w:val="0"/>
          <w:numId w:val="30"/>
        </w:numPr>
        <w:spacing w:before="0" w:after="160" w:line="271" w:lineRule="auto"/>
        <w:rPr>
          <w:rFonts w:eastAsia="Times New Roman" w:cstheme="minorBidi"/>
          <w:b/>
          <w:szCs w:val="21"/>
          <w:lang w:eastAsia="en-AU"/>
        </w:rPr>
      </w:pPr>
      <w:r w:rsidRPr="00B16E6B">
        <w:rPr>
          <w:rFonts w:eastAsia="Times New Roman" w:cstheme="minorBidi"/>
          <w:b/>
          <w:szCs w:val="21"/>
          <w:lang w:eastAsia="en-AU"/>
        </w:rPr>
        <w:t xml:space="preserve">Targeted industry consultation on the Security Controlled Activities measure. </w:t>
      </w:r>
      <w:r w:rsidRPr="00B16E6B">
        <w:rPr>
          <w:rFonts w:eastAsia="Times New Roman" w:cstheme="minorBidi"/>
          <w:szCs w:val="21"/>
          <w:lang w:eastAsia="en-AU"/>
        </w:rPr>
        <w:t xml:space="preserve">This consultation sought to understand at a high-level, which specific work-related activities should be captured. The department distributed a discussion paper, held a roundtable, held three bilateral meetings and attended a port. Submissions were provided in response to our consultation paper. </w:t>
      </w:r>
    </w:p>
    <w:p w14:paraId="50571683" w14:textId="78C491F4" w:rsidR="00D17A7E" w:rsidRPr="00B16E6B" w:rsidRDefault="00D17A7E" w:rsidP="00A11AF5">
      <w:pPr>
        <w:pStyle w:val="BodyText"/>
        <w:numPr>
          <w:ilvl w:val="0"/>
          <w:numId w:val="30"/>
        </w:numPr>
        <w:spacing w:before="0" w:after="160" w:line="271" w:lineRule="auto"/>
        <w:rPr>
          <w:rFonts w:eastAsia="Times New Roman" w:cstheme="minorBidi"/>
          <w:b/>
          <w:szCs w:val="21"/>
          <w:lang w:eastAsia="en-AU"/>
        </w:rPr>
      </w:pPr>
      <w:r w:rsidRPr="00B16E6B">
        <w:rPr>
          <w:rFonts w:eastAsia="Times New Roman" w:cstheme="minorBidi"/>
          <w:b/>
          <w:szCs w:val="21"/>
          <w:lang w:eastAsia="en-AU"/>
        </w:rPr>
        <w:t xml:space="preserve">Establishment of the </w:t>
      </w:r>
      <w:r w:rsidRPr="00B16E6B">
        <w:rPr>
          <w:rFonts w:cs="Arial"/>
          <w:b/>
        </w:rPr>
        <w:t>Transport Security Reform Advisory Committee (TSRAC)</w:t>
      </w:r>
      <w:r w:rsidR="007B641E" w:rsidRPr="00B16E6B">
        <w:rPr>
          <w:rFonts w:cs="Arial"/>
        </w:rPr>
        <w:t>,</w:t>
      </w:r>
      <w:r w:rsidRPr="00B16E6B">
        <w:rPr>
          <w:rFonts w:cs="Arial"/>
        </w:rPr>
        <w:t xml:space="preserve"> to provide strategic advice to the department on the development, and implementation, of the measures. </w:t>
      </w:r>
      <w:r w:rsidR="007B641E" w:rsidRPr="00B16E6B">
        <w:rPr>
          <w:rFonts w:cs="Arial"/>
        </w:rPr>
        <w:t xml:space="preserve">Member comprise industry co-chairs from ACSIAF, ASAF, RASAF, and MISCF, as well as representative industry bodies. TSRAC has met twice – to discuss the measures, and to discuss the outcomes of industry feedback. </w:t>
      </w:r>
    </w:p>
    <w:p w14:paraId="34BDF09F" w14:textId="72F314DA" w:rsidR="00E54539" w:rsidRPr="00B16E6B" w:rsidRDefault="00291A01" w:rsidP="00A11AF5">
      <w:pPr>
        <w:pStyle w:val="BodyText"/>
        <w:numPr>
          <w:ilvl w:val="0"/>
          <w:numId w:val="30"/>
        </w:numPr>
        <w:spacing w:before="0" w:after="200" w:line="288" w:lineRule="auto"/>
        <w:rPr>
          <w:rFonts w:eastAsia="Times New Roman"/>
          <w:b/>
          <w:lang w:eastAsia="en-AU"/>
        </w:rPr>
      </w:pPr>
      <w:r w:rsidRPr="00B16E6B">
        <w:rPr>
          <w:rFonts w:eastAsia="Times New Roman" w:cstheme="minorBidi"/>
          <w:b/>
          <w:szCs w:val="21"/>
          <w:lang w:eastAsia="en-AU"/>
        </w:rPr>
        <w:t>Inviting industry to make a written submission in response to a Consultation Paper</w:t>
      </w:r>
      <w:r w:rsidRPr="00B16E6B">
        <w:rPr>
          <w:rFonts w:eastAsia="Times New Roman" w:cstheme="minorBidi"/>
          <w:szCs w:val="21"/>
          <w:lang w:eastAsia="en-AU"/>
        </w:rPr>
        <w:t xml:space="preserve">. The paper described each proposed measure, its rationale and indicated how the measure may operate in </w:t>
      </w:r>
      <w:r w:rsidRPr="00B16E6B">
        <w:rPr>
          <w:rFonts w:eastAsia="Times New Roman" w:cstheme="minorBidi"/>
          <w:szCs w:val="21"/>
          <w:lang w:eastAsia="en-AU"/>
        </w:rPr>
        <w:lastRenderedPageBreak/>
        <w:t xml:space="preserve">practice. </w:t>
      </w:r>
      <w:r w:rsidR="00B124AA" w:rsidRPr="00B16E6B">
        <w:rPr>
          <w:rFonts w:eastAsia="Times New Roman" w:cstheme="minorBidi"/>
          <w:szCs w:val="21"/>
          <w:lang w:eastAsia="en-AU"/>
        </w:rPr>
        <w:t>The department also posed questions</w:t>
      </w:r>
      <w:r w:rsidRPr="00B16E6B">
        <w:rPr>
          <w:rFonts w:eastAsia="Times New Roman" w:cstheme="minorBidi"/>
          <w:szCs w:val="21"/>
          <w:lang w:eastAsia="en-AU"/>
        </w:rPr>
        <w:t xml:space="preserve"> to industry on how </w:t>
      </w:r>
      <w:r w:rsidR="00B124AA" w:rsidRPr="00B16E6B">
        <w:rPr>
          <w:rFonts w:eastAsia="Times New Roman" w:cstheme="minorBidi"/>
          <w:szCs w:val="21"/>
          <w:lang w:eastAsia="en-AU"/>
        </w:rPr>
        <w:t xml:space="preserve">it </w:t>
      </w:r>
      <w:r w:rsidRPr="00B16E6B">
        <w:rPr>
          <w:rFonts w:eastAsia="Times New Roman" w:cstheme="minorBidi"/>
          <w:szCs w:val="21"/>
          <w:lang w:eastAsia="en-AU"/>
        </w:rPr>
        <w:t>could support industry to meet the new legislative requirements</w:t>
      </w:r>
      <w:r w:rsidR="00B124AA" w:rsidRPr="00B16E6B">
        <w:rPr>
          <w:rFonts w:eastAsia="Times New Roman" w:cstheme="minorBidi"/>
          <w:szCs w:val="21"/>
          <w:lang w:eastAsia="en-AU"/>
        </w:rPr>
        <w:t>, with a view to receiving input</w:t>
      </w:r>
      <w:r w:rsidRPr="00B16E6B">
        <w:rPr>
          <w:rFonts w:eastAsia="Times New Roman" w:cstheme="minorBidi"/>
          <w:szCs w:val="21"/>
          <w:lang w:eastAsia="en-AU"/>
        </w:rPr>
        <w:t>.</w:t>
      </w:r>
      <w:bookmarkStart w:id="28" w:name="_Toc158215366"/>
    </w:p>
    <w:p w14:paraId="257891C8" w14:textId="3194CE5F" w:rsidR="00291A01" w:rsidRPr="00B16E6B" w:rsidRDefault="00291A01" w:rsidP="00A11AF5">
      <w:pPr>
        <w:pStyle w:val="ListParagraph"/>
        <w:numPr>
          <w:ilvl w:val="0"/>
          <w:numId w:val="31"/>
        </w:numPr>
        <w:spacing w:line="271" w:lineRule="auto"/>
        <w:ind w:left="340" w:hanging="340"/>
        <w:contextualSpacing w:val="0"/>
        <w:rPr>
          <w:rFonts w:eastAsia="Times New Roman"/>
          <w:lang w:eastAsia="en-AU"/>
        </w:rPr>
      </w:pPr>
      <w:r w:rsidRPr="00B16E6B">
        <w:rPr>
          <w:rFonts w:eastAsia="Times New Roman"/>
          <w:b/>
          <w:lang w:eastAsia="en-AU"/>
        </w:rPr>
        <w:t xml:space="preserve">Consultation with industry through the </w:t>
      </w:r>
      <w:r w:rsidR="00B96086" w:rsidRPr="00B16E6B">
        <w:rPr>
          <w:rFonts w:eastAsia="Times New Roman"/>
          <w:b/>
          <w:lang w:eastAsia="en-AU"/>
        </w:rPr>
        <w:t xml:space="preserve">early assessment </w:t>
      </w:r>
      <w:r w:rsidRPr="00B16E6B">
        <w:rPr>
          <w:rFonts w:eastAsia="Times New Roman"/>
          <w:b/>
          <w:lang w:eastAsia="en-AU"/>
        </w:rPr>
        <w:t>IA</w:t>
      </w:r>
      <w:r w:rsidRPr="00B16E6B">
        <w:rPr>
          <w:rFonts w:eastAsia="Times New Roman"/>
          <w:lang w:eastAsia="en-AU"/>
        </w:rPr>
        <w:t>,</w:t>
      </w:r>
      <w:r w:rsidR="00B96086" w:rsidRPr="00B16E6B">
        <w:rPr>
          <w:rFonts w:eastAsia="Times New Roman"/>
          <w:lang w:eastAsia="en-AU"/>
        </w:rPr>
        <w:t xml:space="preserve"> assessed as adequate for consultation by the OIA, </w:t>
      </w:r>
      <w:r w:rsidRPr="00B16E6B">
        <w:rPr>
          <w:rFonts w:eastAsia="Times New Roman"/>
          <w:lang w:eastAsia="en-AU"/>
        </w:rPr>
        <w:t xml:space="preserve">to support identification and evaluation of potential regulatory impacts. </w:t>
      </w:r>
      <w:bookmarkEnd w:id="28"/>
      <w:r w:rsidRPr="00B16E6B">
        <w:rPr>
          <w:rFonts w:eastAsia="Times New Roman"/>
          <w:lang w:eastAsia="en-AU"/>
        </w:rPr>
        <w:t xml:space="preserve">When distributing the IA, the </w:t>
      </w:r>
      <w:r w:rsidR="00063AA9" w:rsidRPr="00B16E6B">
        <w:rPr>
          <w:rFonts w:eastAsia="Times New Roman"/>
          <w:lang w:eastAsia="en-AU"/>
        </w:rPr>
        <w:t>d</w:t>
      </w:r>
      <w:r w:rsidRPr="00B16E6B">
        <w:rPr>
          <w:rFonts w:eastAsia="Times New Roman"/>
          <w:lang w:eastAsia="en-AU"/>
        </w:rPr>
        <w:t xml:space="preserve">epartment offered one-on-one sessions with industry participants to answer questions and support industry’s estimation of regulatory impacts (in addition to the virtual consultation sessions outlined below). The department held </w:t>
      </w:r>
      <w:r w:rsidR="00083367" w:rsidRPr="00B16E6B">
        <w:rPr>
          <w:rFonts w:eastAsia="Times New Roman"/>
          <w:lang w:eastAsia="en-AU"/>
        </w:rPr>
        <w:t xml:space="preserve">3 </w:t>
      </w:r>
      <w:r w:rsidRPr="00B16E6B">
        <w:rPr>
          <w:rFonts w:eastAsia="Times New Roman"/>
          <w:lang w:eastAsia="en-AU"/>
        </w:rPr>
        <w:t xml:space="preserve">of these session upon request.  </w:t>
      </w:r>
    </w:p>
    <w:p w14:paraId="1D7D669F" w14:textId="77777777" w:rsidR="00B124AA" w:rsidRPr="00B16E6B" w:rsidRDefault="00291A01" w:rsidP="00A11AF5">
      <w:pPr>
        <w:pStyle w:val="ListParagraph"/>
        <w:numPr>
          <w:ilvl w:val="0"/>
          <w:numId w:val="31"/>
        </w:numPr>
        <w:spacing w:line="271" w:lineRule="auto"/>
        <w:ind w:left="340" w:hanging="340"/>
        <w:contextualSpacing w:val="0"/>
        <w:rPr>
          <w:rFonts w:eastAsia="Times New Roman"/>
          <w:lang w:eastAsia="en-AU"/>
        </w:rPr>
      </w:pPr>
      <w:r w:rsidRPr="00B16E6B">
        <w:rPr>
          <w:rFonts w:eastAsia="Times New Roman"/>
          <w:b/>
          <w:lang w:eastAsia="en-AU"/>
        </w:rPr>
        <w:t>Virtual consultation sessions on the content of the Consultation Paper and IA</w:t>
      </w:r>
      <w:r w:rsidRPr="00B16E6B">
        <w:rPr>
          <w:rFonts w:eastAsia="Times New Roman"/>
          <w:lang w:eastAsia="en-AU"/>
        </w:rPr>
        <w:t xml:space="preserve">. This consultation, held via Microsoft Teams </w:t>
      </w:r>
      <w:r w:rsidR="00B124AA" w:rsidRPr="00B16E6B">
        <w:rPr>
          <w:rFonts w:eastAsia="Times New Roman"/>
          <w:lang w:eastAsia="en-AU"/>
        </w:rPr>
        <w:t xml:space="preserve">were </w:t>
      </w:r>
      <w:r w:rsidRPr="00B16E6B">
        <w:rPr>
          <w:rFonts w:eastAsia="Times New Roman"/>
          <w:lang w:eastAsia="en-AU"/>
        </w:rPr>
        <w:t xml:space="preserve">designed to provide </w:t>
      </w:r>
      <w:r w:rsidR="00B124AA" w:rsidRPr="00B16E6B">
        <w:rPr>
          <w:rFonts w:eastAsia="Times New Roman"/>
          <w:lang w:eastAsia="en-AU"/>
        </w:rPr>
        <w:t xml:space="preserve">industry with opportunities to seek further information on the reforms. The consultation period ran for around four weeks and included: </w:t>
      </w:r>
    </w:p>
    <w:p w14:paraId="6ED6A7BE" w14:textId="77777777" w:rsidR="00291A01" w:rsidRPr="00B16E6B" w:rsidRDefault="00291A01" w:rsidP="00A11AF5">
      <w:pPr>
        <w:pStyle w:val="ListParagraph"/>
        <w:numPr>
          <w:ilvl w:val="1"/>
          <w:numId w:val="31"/>
        </w:numPr>
        <w:spacing w:line="271" w:lineRule="auto"/>
        <w:contextualSpacing w:val="0"/>
        <w:rPr>
          <w:rFonts w:eastAsia="Times New Roman"/>
          <w:lang w:eastAsia="en-AU"/>
        </w:rPr>
      </w:pPr>
      <w:r w:rsidRPr="00B16E6B">
        <w:rPr>
          <w:rFonts w:eastAsia="Times New Roman"/>
          <w:lang w:eastAsia="en-AU"/>
        </w:rPr>
        <w:t xml:space="preserve">two town hall meetings, with approximately 66 </w:t>
      </w:r>
      <w:r w:rsidR="00063AA9" w:rsidRPr="00B16E6B">
        <w:rPr>
          <w:rFonts w:eastAsia="Times New Roman"/>
          <w:lang w:eastAsia="en-AU"/>
        </w:rPr>
        <w:t>participant</w:t>
      </w:r>
      <w:r w:rsidRPr="00B16E6B">
        <w:rPr>
          <w:rFonts w:eastAsia="Times New Roman"/>
          <w:lang w:eastAsia="en-AU"/>
        </w:rPr>
        <w:t xml:space="preserve">s in attendance across both sessions </w:t>
      </w:r>
    </w:p>
    <w:p w14:paraId="3BEE16E4" w14:textId="77777777" w:rsidR="00291A01" w:rsidRPr="00B16E6B" w:rsidRDefault="00083367" w:rsidP="00A11AF5">
      <w:pPr>
        <w:pStyle w:val="ListParagraph"/>
        <w:numPr>
          <w:ilvl w:val="1"/>
          <w:numId w:val="31"/>
        </w:numPr>
        <w:spacing w:line="271" w:lineRule="auto"/>
        <w:contextualSpacing w:val="0"/>
        <w:rPr>
          <w:rFonts w:eastAsia="Times New Roman"/>
          <w:lang w:eastAsia="en-AU"/>
        </w:rPr>
      </w:pPr>
      <w:r w:rsidRPr="00B16E6B">
        <w:rPr>
          <w:rFonts w:eastAsia="Times New Roman"/>
          <w:lang w:eastAsia="en-AU"/>
        </w:rPr>
        <w:t xml:space="preserve">6 </w:t>
      </w:r>
      <w:r w:rsidR="00291A01" w:rsidRPr="00B16E6B">
        <w:rPr>
          <w:rFonts w:eastAsia="Times New Roman"/>
          <w:lang w:eastAsia="en-AU"/>
        </w:rPr>
        <w:t xml:space="preserve">sector-specific </w:t>
      </w:r>
      <w:r w:rsidR="00B124AA" w:rsidRPr="00B16E6B">
        <w:rPr>
          <w:rFonts w:eastAsia="Times New Roman"/>
          <w:lang w:eastAsia="en-AU"/>
        </w:rPr>
        <w:t xml:space="preserve">round tables </w:t>
      </w:r>
      <w:r w:rsidR="00291A01" w:rsidRPr="00B16E6B">
        <w:rPr>
          <w:rFonts w:eastAsia="Times New Roman"/>
          <w:lang w:eastAsia="en-AU"/>
        </w:rPr>
        <w:t>(two for each of maritime, aviation and air cargo), with approximately 133</w:t>
      </w:r>
      <w:r w:rsidR="00063AA9" w:rsidRPr="00B16E6B">
        <w:rPr>
          <w:rFonts w:eastAsia="Times New Roman"/>
          <w:lang w:eastAsia="en-AU"/>
        </w:rPr>
        <w:t xml:space="preserve"> participant</w:t>
      </w:r>
      <w:r w:rsidR="00291A01" w:rsidRPr="00B16E6B">
        <w:rPr>
          <w:rFonts w:eastAsia="Times New Roman"/>
          <w:lang w:eastAsia="en-AU"/>
        </w:rPr>
        <w:t>s in attendance across all sessions</w:t>
      </w:r>
    </w:p>
    <w:p w14:paraId="37F0EDD7" w14:textId="77777777" w:rsidR="00CF0687" w:rsidRPr="00B16E6B" w:rsidRDefault="00083367" w:rsidP="00A11AF5">
      <w:pPr>
        <w:pStyle w:val="ListParagraph"/>
        <w:numPr>
          <w:ilvl w:val="1"/>
          <w:numId w:val="31"/>
        </w:numPr>
        <w:spacing w:line="271" w:lineRule="auto"/>
        <w:contextualSpacing w:val="0"/>
        <w:rPr>
          <w:rFonts w:eastAsia="Times New Roman"/>
          <w:lang w:eastAsia="en-AU"/>
        </w:rPr>
      </w:pPr>
      <w:r w:rsidRPr="00B16E6B">
        <w:rPr>
          <w:rFonts w:eastAsia="Times New Roman"/>
          <w:lang w:eastAsia="en-AU"/>
        </w:rPr>
        <w:t xml:space="preserve">3 </w:t>
      </w:r>
      <w:r w:rsidR="00291A01" w:rsidRPr="00B16E6B">
        <w:rPr>
          <w:rFonts w:eastAsia="Times New Roman"/>
          <w:lang w:eastAsia="en-AU"/>
        </w:rPr>
        <w:t>sessions (one for each of maritime, aviation and air cargo) focused on assisting industry with completing a costing template which wa</w:t>
      </w:r>
      <w:r w:rsidR="00CF0687" w:rsidRPr="00B16E6B">
        <w:rPr>
          <w:rFonts w:eastAsia="Times New Roman"/>
          <w:lang w:eastAsia="en-AU"/>
        </w:rPr>
        <w:t>s distributed alongside the IA.</w:t>
      </w:r>
    </w:p>
    <w:p w14:paraId="30E10FBF" w14:textId="77777777" w:rsidR="00CF0687" w:rsidRPr="00B16E6B" w:rsidRDefault="00B124AA" w:rsidP="00A11AF5">
      <w:pPr>
        <w:pStyle w:val="ListParagraph"/>
        <w:numPr>
          <w:ilvl w:val="0"/>
          <w:numId w:val="31"/>
        </w:numPr>
        <w:spacing w:line="271" w:lineRule="auto"/>
        <w:ind w:left="340" w:hanging="340"/>
        <w:contextualSpacing w:val="0"/>
        <w:rPr>
          <w:rFonts w:eastAsia="Times New Roman"/>
          <w:b/>
          <w:lang w:eastAsia="en-AU"/>
        </w:rPr>
      </w:pPr>
      <w:r w:rsidRPr="00B16E6B">
        <w:rPr>
          <w:rFonts w:eastAsia="Times New Roman"/>
          <w:b/>
          <w:lang w:eastAsia="en-AU"/>
        </w:rPr>
        <w:t>Bilateral</w:t>
      </w:r>
      <w:r w:rsidR="00CF0687" w:rsidRPr="00B16E6B">
        <w:rPr>
          <w:rFonts w:eastAsia="Times New Roman"/>
          <w:b/>
          <w:lang w:eastAsia="en-AU"/>
        </w:rPr>
        <w:t xml:space="preserve"> meetings to discuss questions raised in written submissions </w:t>
      </w:r>
      <w:r w:rsidR="00CF0687" w:rsidRPr="00B16E6B">
        <w:rPr>
          <w:rFonts w:eastAsia="Times New Roman"/>
          <w:lang w:eastAsia="en-AU"/>
        </w:rPr>
        <w:t>were</w:t>
      </w:r>
      <w:r w:rsidRPr="00B16E6B">
        <w:rPr>
          <w:rFonts w:eastAsia="Times New Roman"/>
          <w:lang w:eastAsia="en-AU"/>
        </w:rPr>
        <w:t xml:space="preserve"> also held on request and</w:t>
      </w:r>
      <w:r w:rsidR="00CF0687" w:rsidRPr="00B16E6B">
        <w:rPr>
          <w:rFonts w:eastAsia="Times New Roman"/>
          <w:lang w:eastAsia="en-AU"/>
        </w:rPr>
        <w:t xml:space="preserve"> facilitated as high as at the Deputy Secretary level to discuss concerns and provide clarity about the proposed implementation of the reforms. </w:t>
      </w:r>
    </w:p>
    <w:p w14:paraId="4525E688" w14:textId="37D62D14" w:rsidR="00B124AA" w:rsidRPr="00B16E6B" w:rsidRDefault="00B124AA" w:rsidP="00A11AF5">
      <w:pPr>
        <w:pStyle w:val="BodyText"/>
        <w:numPr>
          <w:ilvl w:val="0"/>
          <w:numId w:val="30"/>
        </w:numPr>
        <w:spacing w:before="0" w:after="160" w:line="271" w:lineRule="auto"/>
        <w:rPr>
          <w:rFonts w:eastAsia="Times New Roman"/>
          <w:b/>
          <w:lang w:eastAsia="en-AU"/>
        </w:rPr>
      </w:pPr>
      <w:r w:rsidRPr="00B16E6B">
        <w:rPr>
          <w:rFonts w:eastAsia="Times New Roman" w:cstheme="minorBidi"/>
          <w:b/>
          <w:szCs w:val="21"/>
          <w:lang w:eastAsia="en-AU"/>
        </w:rPr>
        <w:t xml:space="preserve">Measure specific town halls </w:t>
      </w:r>
      <w:r w:rsidRPr="00B16E6B">
        <w:rPr>
          <w:rFonts w:eastAsia="Times New Roman" w:cstheme="minorBidi"/>
          <w:szCs w:val="21"/>
          <w:lang w:eastAsia="en-AU"/>
        </w:rPr>
        <w:t xml:space="preserve">on measures 3 (security controlled activities) and 11 (regulate the right entities) to allow industry to speak with the internal </w:t>
      </w:r>
      <w:r w:rsidR="00E54539" w:rsidRPr="00B16E6B">
        <w:rPr>
          <w:rFonts w:eastAsia="Times New Roman" w:cstheme="minorBidi"/>
          <w:szCs w:val="21"/>
          <w:lang w:eastAsia="en-AU"/>
        </w:rPr>
        <w:t>subject matter experts</w:t>
      </w:r>
      <w:r w:rsidRPr="00B16E6B">
        <w:rPr>
          <w:rFonts w:eastAsia="Times New Roman" w:cstheme="minorBidi"/>
          <w:szCs w:val="21"/>
          <w:lang w:eastAsia="en-AU"/>
        </w:rPr>
        <w:t xml:space="preserve">.  </w:t>
      </w:r>
    </w:p>
    <w:p w14:paraId="21C366C1" w14:textId="1FA0F412" w:rsidR="00861CE0" w:rsidRPr="00B16E6B" w:rsidRDefault="00861CE0" w:rsidP="00A11AF5">
      <w:pPr>
        <w:pStyle w:val="BodyText"/>
        <w:numPr>
          <w:ilvl w:val="0"/>
          <w:numId w:val="30"/>
        </w:numPr>
        <w:spacing w:before="0" w:after="160" w:line="271" w:lineRule="auto"/>
        <w:rPr>
          <w:rFonts w:eastAsia="Times New Roman"/>
          <w:b/>
          <w:lang w:eastAsia="en-AU"/>
        </w:rPr>
      </w:pPr>
      <w:r w:rsidRPr="00B16E6B">
        <w:rPr>
          <w:rFonts w:eastAsia="Times New Roman"/>
          <w:b/>
          <w:lang w:eastAsia="en-AU"/>
        </w:rPr>
        <w:t xml:space="preserve">Consultation with industry to the first pass IA. </w:t>
      </w:r>
      <w:r w:rsidRPr="00B16E6B">
        <w:rPr>
          <w:rFonts w:eastAsia="Times New Roman"/>
          <w:lang w:eastAsia="en-AU"/>
        </w:rPr>
        <w:t xml:space="preserve">This consultation invited participants to provide written submissions in response to the first pass IA. Industry participants were asked to provide confirmation </w:t>
      </w:r>
      <w:r w:rsidR="00F1683C" w:rsidRPr="00B16E6B">
        <w:rPr>
          <w:rFonts w:eastAsia="Times New Roman"/>
          <w:lang w:eastAsia="en-AU"/>
        </w:rPr>
        <w:t>of</w:t>
      </w:r>
      <w:r w:rsidRPr="00B16E6B">
        <w:rPr>
          <w:rFonts w:eastAsia="Times New Roman"/>
          <w:lang w:eastAsia="en-AU"/>
        </w:rPr>
        <w:t xml:space="preserve"> the:</w:t>
      </w:r>
    </w:p>
    <w:p w14:paraId="0ABFC7CD" w14:textId="57919640" w:rsidR="00861CE0" w:rsidRPr="00B16E6B" w:rsidRDefault="00861CE0" w:rsidP="00A11AF5">
      <w:pPr>
        <w:pStyle w:val="BodyText"/>
        <w:numPr>
          <w:ilvl w:val="0"/>
          <w:numId w:val="30"/>
        </w:numPr>
        <w:tabs>
          <w:tab w:val="clear" w:pos="340"/>
          <w:tab w:val="num" w:pos="680"/>
        </w:tabs>
        <w:spacing w:before="0" w:after="160" w:line="271" w:lineRule="auto"/>
        <w:ind w:left="680"/>
        <w:rPr>
          <w:rFonts w:eastAsia="Times New Roman"/>
          <w:lang w:eastAsia="en-AU"/>
        </w:rPr>
      </w:pPr>
      <w:r w:rsidRPr="00B16E6B">
        <w:rPr>
          <w:rFonts w:eastAsia="Times New Roman"/>
          <w:lang w:eastAsia="en-AU"/>
        </w:rPr>
        <w:t>reasonableness of the net benefit conclusions for options 1,2,3 and 4</w:t>
      </w:r>
    </w:p>
    <w:p w14:paraId="6190D3A1" w14:textId="47603BD3" w:rsidR="00861CE0" w:rsidRPr="00B16E6B" w:rsidRDefault="00861CE0" w:rsidP="00A11AF5">
      <w:pPr>
        <w:pStyle w:val="BodyText"/>
        <w:numPr>
          <w:ilvl w:val="0"/>
          <w:numId w:val="30"/>
        </w:numPr>
        <w:tabs>
          <w:tab w:val="clear" w:pos="340"/>
          <w:tab w:val="num" w:pos="680"/>
        </w:tabs>
        <w:spacing w:before="0" w:after="160" w:line="271" w:lineRule="auto"/>
        <w:ind w:left="680"/>
        <w:rPr>
          <w:rFonts w:eastAsia="Times New Roman"/>
          <w:lang w:eastAsia="en-AU"/>
        </w:rPr>
      </w:pPr>
      <w:r w:rsidRPr="00B16E6B">
        <w:rPr>
          <w:rFonts w:eastAsia="Times New Roman"/>
          <w:lang w:eastAsia="en-AU"/>
        </w:rPr>
        <w:t>reasonableness of the assessment of cost impact summarised in table 1</w:t>
      </w:r>
      <w:r w:rsidR="00E54539" w:rsidRPr="00B16E6B">
        <w:rPr>
          <w:rFonts w:eastAsia="Times New Roman"/>
          <w:lang w:eastAsia="en-AU"/>
        </w:rPr>
        <w:t>6 (formerly 14)</w:t>
      </w:r>
    </w:p>
    <w:p w14:paraId="3693451D" w14:textId="188F6CE8" w:rsidR="00861CE0" w:rsidRPr="00B16E6B" w:rsidRDefault="00861CE0" w:rsidP="00A11AF5">
      <w:pPr>
        <w:pStyle w:val="BodyText"/>
        <w:numPr>
          <w:ilvl w:val="0"/>
          <w:numId w:val="30"/>
        </w:numPr>
        <w:tabs>
          <w:tab w:val="clear" w:pos="340"/>
          <w:tab w:val="num" w:pos="680"/>
        </w:tabs>
        <w:spacing w:before="0" w:after="160" w:line="271" w:lineRule="auto"/>
        <w:ind w:left="680"/>
        <w:rPr>
          <w:rFonts w:eastAsia="Times New Roman"/>
          <w:lang w:eastAsia="en-AU"/>
        </w:rPr>
      </w:pPr>
      <w:r w:rsidRPr="00B16E6B">
        <w:rPr>
          <w:rFonts w:eastAsia="Times New Roman"/>
          <w:lang w:eastAsia="en-AU"/>
        </w:rPr>
        <w:t>split of costs between obligations in op</w:t>
      </w:r>
      <w:r w:rsidR="00E54539" w:rsidRPr="00B16E6B">
        <w:rPr>
          <w:rFonts w:eastAsia="Times New Roman"/>
          <w:lang w:eastAsia="en-AU"/>
        </w:rPr>
        <w:t>tion 4 and presented in table 16 (formerly 14)</w:t>
      </w:r>
    </w:p>
    <w:p w14:paraId="0ADC97B0" w14:textId="30DCF28C" w:rsidR="00861CE0" w:rsidRPr="00B16E6B" w:rsidRDefault="00861CE0" w:rsidP="00A11AF5">
      <w:pPr>
        <w:pStyle w:val="BodyText"/>
        <w:numPr>
          <w:ilvl w:val="0"/>
          <w:numId w:val="30"/>
        </w:numPr>
        <w:tabs>
          <w:tab w:val="clear" w:pos="340"/>
          <w:tab w:val="num" w:pos="680"/>
        </w:tabs>
        <w:spacing w:before="0" w:after="160" w:line="271" w:lineRule="auto"/>
        <w:ind w:left="680"/>
        <w:rPr>
          <w:rFonts w:eastAsia="Times New Roman"/>
          <w:lang w:eastAsia="en-AU"/>
        </w:rPr>
      </w:pPr>
      <w:r w:rsidRPr="00B16E6B">
        <w:rPr>
          <w:rFonts w:eastAsia="Times New Roman"/>
          <w:lang w:eastAsia="en-AU"/>
        </w:rPr>
        <w:t>reasonableness of the ‘best option’ conclusion in section 6.</w:t>
      </w:r>
    </w:p>
    <w:p w14:paraId="2751B03D" w14:textId="5A9FC474" w:rsidR="00861CE0" w:rsidRPr="00B16E6B" w:rsidRDefault="00861CE0" w:rsidP="009613E1">
      <w:pPr>
        <w:pStyle w:val="BodyText"/>
        <w:spacing w:before="0" w:after="160" w:line="271" w:lineRule="auto"/>
        <w:ind w:left="340"/>
        <w:rPr>
          <w:rFonts w:eastAsia="Times New Roman"/>
          <w:lang w:eastAsia="en-AU"/>
        </w:rPr>
      </w:pPr>
      <w:r w:rsidRPr="00B16E6B">
        <w:rPr>
          <w:rFonts w:eastAsia="Times New Roman"/>
          <w:lang w:eastAsia="en-AU"/>
        </w:rPr>
        <w:t xml:space="preserve">In addition, one town hall meeting was held with approximately 65 </w:t>
      </w:r>
      <w:r w:rsidR="00E54539" w:rsidRPr="00B16E6B">
        <w:rPr>
          <w:rFonts w:eastAsia="Times New Roman"/>
          <w:lang w:eastAsia="en-AU"/>
        </w:rPr>
        <w:t>attendees</w:t>
      </w:r>
      <w:r w:rsidR="00FC5983" w:rsidRPr="00B16E6B">
        <w:rPr>
          <w:rFonts w:eastAsia="Times New Roman"/>
          <w:lang w:eastAsia="en-AU"/>
        </w:rPr>
        <w:t xml:space="preserve">. </w:t>
      </w:r>
      <w:r w:rsidR="00CC7D78" w:rsidRPr="00B16E6B">
        <w:rPr>
          <w:rFonts w:eastAsia="Times New Roman"/>
          <w:lang w:eastAsia="en-AU"/>
        </w:rPr>
        <w:t>The department offered one-to-one follow-up sessions at the conclusion of the town hall. The department hel</w:t>
      </w:r>
      <w:r w:rsidR="00B70931" w:rsidRPr="00B16E6B">
        <w:rPr>
          <w:rFonts w:eastAsia="Times New Roman"/>
          <w:lang w:eastAsia="en-AU"/>
        </w:rPr>
        <w:t>d</w:t>
      </w:r>
      <w:r w:rsidR="00E54539" w:rsidRPr="00B16E6B">
        <w:rPr>
          <w:rFonts w:eastAsia="Times New Roman"/>
          <w:lang w:eastAsia="en-AU"/>
        </w:rPr>
        <w:t xml:space="preserve"> one</w:t>
      </w:r>
      <w:r w:rsidR="00CC7D78" w:rsidRPr="00B16E6B">
        <w:rPr>
          <w:rFonts w:eastAsia="Times New Roman"/>
          <w:lang w:eastAsia="en-AU"/>
        </w:rPr>
        <w:t xml:space="preserve"> session upon request.</w:t>
      </w:r>
      <w:r w:rsidR="00FC5983" w:rsidRPr="00B16E6B">
        <w:rPr>
          <w:rFonts w:eastAsia="Times New Roman"/>
          <w:lang w:eastAsia="en-AU"/>
        </w:rPr>
        <w:t xml:space="preserve"> The department received 10 submissions to the first pass IA.</w:t>
      </w:r>
    </w:p>
    <w:p w14:paraId="5A09C892" w14:textId="719E4882" w:rsidR="00291A01" w:rsidRPr="00B16E6B" w:rsidRDefault="00291A01" w:rsidP="00A11AF5">
      <w:pPr>
        <w:pStyle w:val="BodyText"/>
        <w:numPr>
          <w:ilvl w:val="0"/>
          <w:numId w:val="30"/>
        </w:numPr>
        <w:spacing w:before="0" w:after="160" w:line="271" w:lineRule="auto"/>
        <w:rPr>
          <w:rFonts w:eastAsia="Times New Roman"/>
          <w:lang w:eastAsia="en-AU"/>
        </w:rPr>
      </w:pPr>
      <w:r w:rsidRPr="00B16E6B">
        <w:rPr>
          <w:rFonts w:eastAsia="Times New Roman"/>
          <w:lang w:eastAsia="en-AU"/>
        </w:rPr>
        <w:t>The development of the measures considered through these consultation forums was informed by earlier consultation on the Independent Review</w:t>
      </w:r>
      <w:r w:rsidR="009170C6" w:rsidRPr="00B16E6B">
        <w:rPr>
          <w:rFonts w:eastAsia="Times New Roman"/>
          <w:lang w:eastAsia="en-AU"/>
        </w:rPr>
        <w:t>. A</w:t>
      </w:r>
      <w:r w:rsidR="002E5D30" w:rsidRPr="00B16E6B">
        <w:rPr>
          <w:rFonts w:eastAsia="Times New Roman"/>
          <w:lang w:eastAsia="en-AU"/>
        </w:rPr>
        <w:t xml:space="preserve"> summary of</w:t>
      </w:r>
      <w:r w:rsidR="009170C6" w:rsidRPr="00B16E6B">
        <w:rPr>
          <w:rFonts w:eastAsia="Times New Roman"/>
          <w:lang w:eastAsia="en-AU"/>
        </w:rPr>
        <w:t xml:space="preserve"> </w:t>
      </w:r>
      <w:r w:rsidR="002E5D30" w:rsidRPr="00B16E6B">
        <w:rPr>
          <w:rFonts w:eastAsia="Times New Roman"/>
          <w:lang w:eastAsia="en-AU"/>
        </w:rPr>
        <w:t xml:space="preserve">industry responses </w:t>
      </w:r>
      <w:r w:rsidR="009170C6" w:rsidRPr="00B16E6B">
        <w:rPr>
          <w:rFonts w:eastAsia="Times New Roman"/>
          <w:lang w:eastAsia="en-AU"/>
        </w:rPr>
        <w:t xml:space="preserve">to the </w:t>
      </w:r>
      <w:r w:rsidR="009170C6" w:rsidRPr="00B16E6B">
        <w:rPr>
          <w:rFonts w:eastAsia="Times New Roman"/>
          <w:lang w:eastAsia="en-AU"/>
        </w:rPr>
        <w:lastRenderedPageBreak/>
        <w:t xml:space="preserve">Independent Review </w:t>
      </w:r>
      <w:r w:rsidR="002E5D30" w:rsidRPr="00B16E6B">
        <w:rPr>
          <w:rFonts w:eastAsia="Times New Roman"/>
          <w:lang w:eastAsia="en-AU"/>
        </w:rPr>
        <w:t xml:space="preserve">is summarised in table </w:t>
      </w:r>
      <w:r w:rsidR="00BA4356" w:rsidRPr="00B16E6B">
        <w:rPr>
          <w:rFonts w:eastAsia="Times New Roman"/>
          <w:lang w:eastAsia="en-AU"/>
        </w:rPr>
        <w:t>20</w:t>
      </w:r>
      <w:r w:rsidR="002E5D30" w:rsidRPr="00B16E6B">
        <w:rPr>
          <w:rFonts w:eastAsia="Times New Roman"/>
          <w:lang w:eastAsia="en-AU"/>
        </w:rPr>
        <w:t xml:space="preserve"> below</w:t>
      </w:r>
      <w:r w:rsidRPr="00B16E6B">
        <w:rPr>
          <w:rFonts w:eastAsia="Times New Roman"/>
          <w:lang w:eastAsia="en-AU"/>
        </w:rPr>
        <w:t xml:space="preserve">. </w:t>
      </w:r>
      <w:r w:rsidR="009170C6" w:rsidRPr="00B16E6B">
        <w:rPr>
          <w:rFonts w:eastAsia="Times New Roman"/>
          <w:lang w:eastAsia="en-AU"/>
        </w:rPr>
        <w:t>A summary of the department’s changes made in response to industry’s feedback is provided</w:t>
      </w:r>
      <w:r w:rsidRPr="00B16E6B">
        <w:rPr>
          <w:rFonts w:eastAsia="Times New Roman"/>
          <w:lang w:eastAsia="en-AU"/>
        </w:rPr>
        <w:t xml:space="preserve"> in </w:t>
      </w:r>
      <w:r w:rsidR="00E2411D" w:rsidRPr="00B16E6B">
        <w:rPr>
          <w:rFonts w:eastAsia="Times New Roman"/>
          <w:lang w:eastAsia="en-AU"/>
        </w:rPr>
        <w:t>table</w:t>
      </w:r>
      <w:r w:rsidR="00CA4481" w:rsidRPr="00B16E6B">
        <w:rPr>
          <w:rFonts w:eastAsia="Times New Roman"/>
          <w:lang w:eastAsia="en-AU"/>
        </w:rPr>
        <w:t xml:space="preserve"> </w:t>
      </w:r>
      <w:r w:rsidR="00BA4356" w:rsidRPr="00B16E6B">
        <w:rPr>
          <w:rFonts w:eastAsia="Times New Roman"/>
          <w:lang w:eastAsia="en-AU"/>
        </w:rPr>
        <w:t>21</w:t>
      </w:r>
      <w:r w:rsidRPr="00B16E6B">
        <w:rPr>
          <w:rFonts w:eastAsia="Times New Roman"/>
          <w:lang w:eastAsia="en-AU"/>
        </w:rPr>
        <w:t xml:space="preserve">.  </w:t>
      </w:r>
    </w:p>
    <w:p w14:paraId="419E5953" w14:textId="6DB13E4B" w:rsidR="00B124AA" w:rsidRPr="00B16E6B" w:rsidRDefault="00CA4481" w:rsidP="009613E1">
      <w:pPr>
        <w:spacing w:after="200" w:line="271" w:lineRule="auto"/>
        <w:rPr>
          <w:rFonts w:eastAsia="Times New Roman"/>
          <w:lang w:eastAsia="en-AU"/>
        </w:rPr>
      </w:pPr>
      <w:r w:rsidRPr="00B16E6B">
        <w:rPr>
          <w:rFonts w:asciiTheme="majorHAnsi" w:eastAsia="Times New Roman" w:hAnsiTheme="majorHAnsi" w:cstheme="minorHAnsi"/>
          <w:color w:val="1C2B39" w:themeColor="accent1"/>
          <w:sz w:val="24"/>
          <w:szCs w:val="24"/>
          <w:lang w:eastAsia="en-AU"/>
        </w:rPr>
        <w:t>5.2.1</w:t>
      </w:r>
      <w:r w:rsidR="00B124AA" w:rsidRPr="00B16E6B">
        <w:rPr>
          <w:rFonts w:asciiTheme="majorHAnsi" w:eastAsia="Times New Roman" w:hAnsiTheme="majorHAnsi" w:cstheme="minorHAnsi"/>
          <w:color w:val="1C2B39" w:themeColor="accent1"/>
          <w:sz w:val="24"/>
          <w:szCs w:val="24"/>
          <w:lang w:eastAsia="en-AU"/>
        </w:rPr>
        <w:t xml:space="preserve"> Feedback received through consultation on the Consultation Paper</w:t>
      </w:r>
    </w:p>
    <w:p w14:paraId="72D59001" w14:textId="77777777" w:rsidR="00B124AA" w:rsidRPr="00B16E6B" w:rsidRDefault="00B124AA" w:rsidP="009613E1">
      <w:pPr>
        <w:spacing w:line="271" w:lineRule="auto"/>
        <w:rPr>
          <w:rFonts w:eastAsia="Times New Roman" w:cs="Arial"/>
          <w:szCs w:val="20"/>
          <w:lang w:eastAsia="en-AU"/>
        </w:rPr>
      </w:pPr>
      <w:r w:rsidRPr="00B16E6B">
        <w:rPr>
          <w:rFonts w:eastAsia="Times New Roman" w:cs="Arial"/>
          <w:szCs w:val="20"/>
          <w:lang w:eastAsia="en-AU"/>
        </w:rPr>
        <w:t xml:space="preserve">The Consultation Paper was released on Friday 27 May 2024, </w:t>
      </w:r>
      <w:r w:rsidR="00CA4481" w:rsidRPr="00B16E6B">
        <w:rPr>
          <w:rFonts w:eastAsia="Times New Roman" w:cs="Arial"/>
          <w:szCs w:val="20"/>
          <w:lang w:eastAsia="en-AU"/>
        </w:rPr>
        <w:t>requesting</w:t>
      </w:r>
      <w:r w:rsidRPr="00B16E6B">
        <w:rPr>
          <w:rFonts w:eastAsia="Times New Roman" w:cs="Arial"/>
          <w:szCs w:val="20"/>
          <w:lang w:eastAsia="en-AU"/>
        </w:rPr>
        <w:t xml:space="preserve"> written submissions </w:t>
      </w:r>
      <w:r w:rsidR="00CA4481" w:rsidRPr="00B16E6B">
        <w:rPr>
          <w:rFonts w:eastAsia="Times New Roman" w:cs="Arial"/>
          <w:szCs w:val="20"/>
          <w:lang w:eastAsia="en-AU"/>
        </w:rPr>
        <w:t>be sent to the department by</w:t>
      </w:r>
      <w:r w:rsidRPr="00B16E6B">
        <w:rPr>
          <w:rFonts w:eastAsia="Times New Roman" w:cs="Arial"/>
          <w:szCs w:val="20"/>
          <w:lang w:eastAsia="en-AU"/>
        </w:rPr>
        <w:t xml:space="preserve"> 28 June 2024 (noting the department agreed to extensions to this deadline for numerous IPs to encourage comprehensive submissions). The department sought submissions from just over 3000 stakeholders on the Consultation Paper and IA, with 23 entities providing written submissions to the Consultation Paper.</w:t>
      </w:r>
    </w:p>
    <w:p w14:paraId="060261D0" w14:textId="77777777" w:rsidR="00B124AA" w:rsidRPr="00B16E6B" w:rsidRDefault="00B124AA" w:rsidP="009613E1">
      <w:pPr>
        <w:spacing w:line="271" w:lineRule="auto"/>
        <w:rPr>
          <w:rFonts w:eastAsia="Times New Roman" w:cs="Arial"/>
          <w:szCs w:val="20"/>
          <w:lang w:eastAsia="en-AU"/>
        </w:rPr>
      </w:pPr>
      <w:r w:rsidRPr="00B16E6B">
        <w:rPr>
          <w:rFonts w:eastAsia="Times New Roman" w:cs="Arial"/>
          <w:szCs w:val="20"/>
          <w:lang w:eastAsia="en-AU"/>
        </w:rPr>
        <w:t>Consultation on the transport security reform package was supported by industry. The majority of the feedback provided comprised feedback on how the reform package could be refined, with entities expressing a keen de</w:t>
      </w:r>
      <w:r w:rsidR="00CA4481" w:rsidRPr="00B16E6B">
        <w:rPr>
          <w:rFonts w:eastAsia="Times New Roman" w:cs="Arial"/>
          <w:szCs w:val="20"/>
          <w:lang w:eastAsia="en-AU"/>
        </w:rPr>
        <w:t xml:space="preserve">sire to continue engaging with </w:t>
      </w:r>
      <w:r w:rsidR="00487C6A" w:rsidRPr="00B16E6B">
        <w:rPr>
          <w:rFonts w:eastAsia="Times New Roman" w:cs="Arial"/>
          <w:szCs w:val="20"/>
          <w:lang w:eastAsia="en-AU"/>
        </w:rPr>
        <w:t>government</w:t>
      </w:r>
      <w:r w:rsidRPr="00B16E6B">
        <w:rPr>
          <w:rFonts w:eastAsia="Times New Roman" w:cs="Arial"/>
          <w:szCs w:val="20"/>
          <w:lang w:eastAsia="en-AU"/>
        </w:rPr>
        <w:t xml:space="preserve"> to take the reform package forward.</w:t>
      </w:r>
    </w:p>
    <w:p w14:paraId="246F2E53" w14:textId="77777777" w:rsidR="00B124AA" w:rsidRPr="00B16E6B" w:rsidRDefault="00B124AA" w:rsidP="009613E1">
      <w:pPr>
        <w:spacing w:line="271" w:lineRule="auto"/>
        <w:rPr>
          <w:rFonts w:eastAsia="Times New Roman" w:cs="Arial"/>
          <w:szCs w:val="20"/>
          <w:lang w:eastAsia="en-AU"/>
        </w:rPr>
      </w:pPr>
      <w:r w:rsidRPr="00B16E6B">
        <w:rPr>
          <w:rFonts w:eastAsia="Times New Roman" w:cs="Arial"/>
          <w:szCs w:val="20"/>
          <w:lang w:eastAsia="en-AU"/>
        </w:rPr>
        <w:t xml:space="preserve">The table below summarises industry views provided in response to the Consultation Paper and identifies the department’s proposed response or actions arising as a result of industry feedback. </w:t>
      </w:r>
    </w:p>
    <w:p w14:paraId="5850DDBF" w14:textId="77777777" w:rsidR="005450B9" w:rsidRPr="00B16E6B" w:rsidRDefault="005450B9" w:rsidP="009613E1">
      <w:pPr>
        <w:pStyle w:val="Heading3"/>
        <w:spacing w:line="271" w:lineRule="auto"/>
        <w:rPr>
          <w:rFonts w:eastAsia="Times New Roman"/>
          <w:lang w:eastAsia="en-AU"/>
        </w:rPr>
      </w:pPr>
      <w:r w:rsidRPr="00B16E6B">
        <w:rPr>
          <w:rFonts w:eastAsia="Times New Roman"/>
          <w:lang w:eastAsia="en-AU"/>
        </w:rPr>
        <w:t>5.2.</w:t>
      </w:r>
      <w:r w:rsidR="00CA4481" w:rsidRPr="00B16E6B">
        <w:rPr>
          <w:rFonts w:eastAsia="Times New Roman"/>
          <w:lang w:eastAsia="en-AU"/>
        </w:rPr>
        <w:t>2</w:t>
      </w:r>
      <w:r w:rsidRPr="00B16E6B">
        <w:rPr>
          <w:rFonts w:eastAsia="Times New Roman"/>
          <w:lang w:eastAsia="en-AU"/>
        </w:rPr>
        <w:t xml:space="preserve"> Consultation on the Independent Review of Australia’s Aviation and Maritime Security Settings </w:t>
      </w:r>
    </w:p>
    <w:p w14:paraId="3157E00C" w14:textId="617B3D13" w:rsidR="005450B9" w:rsidRPr="00B16E6B" w:rsidRDefault="005450B9" w:rsidP="009613E1">
      <w:pPr>
        <w:spacing w:line="271" w:lineRule="auto"/>
        <w:rPr>
          <w:rFonts w:ascii="Segoe UI" w:eastAsia="Times New Roman" w:hAnsi="Segoe UI" w:cs="Segoe UI"/>
          <w:sz w:val="18"/>
          <w:szCs w:val="18"/>
          <w:lang w:eastAsia="en-AU"/>
        </w:rPr>
      </w:pPr>
      <w:r w:rsidRPr="00B16E6B">
        <w:rPr>
          <w:rFonts w:eastAsia="Times New Roman"/>
          <w:lang w:eastAsia="en-AU"/>
        </w:rPr>
        <w:t>Consultation with industry occu</w:t>
      </w:r>
      <w:r w:rsidR="00AE1936" w:rsidRPr="00B16E6B">
        <w:rPr>
          <w:rFonts w:eastAsia="Times New Roman"/>
          <w:lang w:eastAsia="en-AU"/>
        </w:rPr>
        <w:t xml:space="preserve">rred following </w:t>
      </w:r>
      <w:r w:rsidR="00B124AA" w:rsidRPr="00B16E6B">
        <w:rPr>
          <w:rFonts w:eastAsia="Times New Roman"/>
          <w:lang w:eastAsia="en-AU"/>
        </w:rPr>
        <w:t xml:space="preserve">the </w:t>
      </w:r>
      <w:r w:rsidRPr="00B16E6B">
        <w:rPr>
          <w:rFonts w:eastAsia="Times New Roman"/>
          <w:lang w:eastAsia="en-AU"/>
        </w:rPr>
        <w:t xml:space="preserve">Independent Review. The </w:t>
      </w:r>
      <w:r w:rsidR="00B124AA" w:rsidRPr="00B16E6B">
        <w:rPr>
          <w:rFonts w:eastAsia="Times New Roman"/>
          <w:lang w:eastAsia="en-AU"/>
        </w:rPr>
        <w:t>Hon Clare O’Neil</w:t>
      </w:r>
      <w:r w:rsidR="00B124AA" w:rsidRPr="00B16E6B" w:rsidDel="00B124AA">
        <w:rPr>
          <w:rFonts w:eastAsia="Times New Roman"/>
          <w:lang w:eastAsia="en-AU"/>
        </w:rPr>
        <w:t xml:space="preserve"> </w:t>
      </w:r>
      <w:r w:rsidR="00B124AA" w:rsidRPr="00B16E6B">
        <w:rPr>
          <w:rFonts w:eastAsia="Times New Roman"/>
          <w:lang w:eastAsia="en-AU"/>
        </w:rPr>
        <w:t>former</w:t>
      </w:r>
      <w:r w:rsidR="0083706D" w:rsidRPr="00B16E6B">
        <w:rPr>
          <w:rFonts w:eastAsia="Times New Roman"/>
          <w:lang w:eastAsia="en-AU"/>
        </w:rPr>
        <w:t xml:space="preserve"> </w:t>
      </w:r>
      <w:r w:rsidRPr="00B16E6B">
        <w:rPr>
          <w:rFonts w:eastAsia="Times New Roman"/>
          <w:lang w:eastAsia="en-AU"/>
        </w:rPr>
        <w:t>Minister for Home Affairs</w:t>
      </w:r>
      <w:r w:rsidR="00E137B5" w:rsidRPr="00B16E6B">
        <w:rPr>
          <w:rFonts w:eastAsia="Times New Roman"/>
          <w:lang w:eastAsia="en-AU"/>
        </w:rPr>
        <w:t xml:space="preserve"> and Minister for Cyber Security</w:t>
      </w:r>
      <w:r w:rsidRPr="00B16E6B">
        <w:rPr>
          <w:rFonts w:eastAsia="Times New Roman"/>
          <w:lang w:eastAsia="en-AU"/>
        </w:rPr>
        <w:t>, invited more than 1</w:t>
      </w:r>
      <w:r w:rsidR="00621EF8" w:rsidRPr="00B16E6B">
        <w:rPr>
          <w:rFonts w:eastAsia="Times New Roman"/>
          <w:lang w:eastAsia="en-AU"/>
        </w:rPr>
        <w:t>,</w:t>
      </w:r>
      <w:r w:rsidRPr="00B16E6B">
        <w:rPr>
          <w:rFonts w:eastAsia="Times New Roman"/>
          <w:lang w:eastAsia="en-AU"/>
        </w:rPr>
        <w:t xml:space="preserve">795 aviation and maritime industry participants, to provide submissions on the Independent Review Final Report and </w:t>
      </w:r>
      <w:r w:rsidR="009170C6" w:rsidRPr="00B16E6B">
        <w:rPr>
          <w:rFonts w:eastAsia="Times New Roman"/>
          <w:lang w:eastAsia="en-AU"/>
        </w:rPr>
        <w:t xml:space="preserve">related </w:t>
      </w:r>
      <w:r w:rsidR="00AE1936" w:rsidRPr="00B16E6B">
        <w:rPr>
          <w:rFonts w:eastAsia="Times New Roman"/>
          <w:lang w:eastAsia="en-AU"/>
        </w:rPr>
        <w:t>d</w:t>
      </w:r>
      <w:r w:rsidRPr="00B16E6B">
        <w:rPr>
          <w:rFonts w:eastAsia="Times New Roman"/>
          <w:lang w:eastAsia="en-AU"/>
        </w:rPr>
        <w:t xml:space="preserve">iscussion </w:t>
      </w:r>
      <w:r w:rsidR="00AE1936" w:rsidRPr="00B16E6B">
        <w:rPr>
          <w:rFonts w:eastAsia="Times New Roman"/>
          <w:lang w:eastAsia="en-AU"/>
        </w:rPr>
        <w:t>p</w:t>
      </w:r>
      <w:r w:rsidRPr="00B16E6B">
        <w:rPr>
          <w:rFonts w:eastAsia="Times New Roman"/>
          <w:lang w:eastAsia="en-AU"/>
        </w:rPr>
        <w:t>aper between 31</w:t>
      </w:r>
      <w:r w:rsidR="00AE1936" w:rsidRPr="00B16E6B">
        <w:rPr>
          <w:rFonts w:eastAsia="Times New Roman"/>
          <w:lang w:eastAsia="en-AU"/>
        </w:rPr>
        <w:t> </w:t>
      </w:r>
      <w:r w:rsidRPr="00B16E6B">
        <w:rPr>
          <w:rFonts w:eastAsia="Times New Roman"/>
          <w:lang w:eastAsia="en-AU"/>
        </w:rPr>
        <w:t>March and 12 May 2023.  </w:t>
      </w:r>
    </w:p>
    <w:p w14:paraId="1A71C0B7" w14:textId="6F663DEA" w:rsidR="00063F89" w:rsidRPr="00B16E6B" w:rsidRDefault="005450B9" w:rsidP="009613E1">
      <w:pPr>
        <w:spacing w:line="271" w:lineRule="auto"/>
        <w:rPr>
          <w:rFonts w:eastAsia="Times New Roman"/>
          <w:lang w:eastAsia="en-AU"/>
        </w:rPr>
      </w:pPr>
      <w:r w:rsidRPr="00B16E6B">
        <w:rPr>
          <w:rFonts w:eastAsia="Times New Roman"/>
          <w:lang w:eastAsia="en-AU"/>
        </w:rPr>
        <w:t xml:space="preserve">The department received 38 industry submissions </w:t>
      </w:r>
      <w:r w:rsidR="009170C6" w:rsidRPr="00B16E6B">
        <w:rPr>
          <w:rFonts w:eastAsia="Times New Roman"/>
          <w:lang w:eastAsia="en-AU"/>
        </w:rPr>
        <w:t>in response to</w:t>
      </w:r>
      <w:r w:rsidRPr="00B16E6B">
        <w:rPr>
          <w:rFonts w:eastAsia="Times New Roman"/>
          <w:lang w:eastAsia="en-AU"/>
        </w:rPr>
        <w:t xml:space="preserve"> the discussion paper, which are summarised in the </w:t>
      </w:r>
      <w:r w:rsidR="00E2411D" w:rsidRPr="00B16E6B">
        <w:rPr>
          <w:rFonts w:eastAsia="Times New Roman"/>
          <w:lang w:eastAsia="en-AU"/>
        </w:rPr>
        <w:t>table</w:t>
      </w:r>
      <w:r w:rsidR="00CA4481" w:rsidRPr="00B16E6B">
        <w:rPr>
          <w:rFonts w:eastAsia="Times New Roman"/>
          <w:lang w:eastAsia="en-AU"/>
        </w:rPr>
        <w:t xml:space="preserve"> </w:t>
      </w:r>
      <w:r w:rsidR="00A027FB" w:rsidRPr="00B16E6B">
        <w:rPr>
          <w:rFonts w:eastAsia="Times New Roman"/>
          <w:lang w:eastAsia="en-AU"/>
        </w:rPr>
        <w:t>20</w:t>
      </w:r>
      <w:r w:rsidR="00CA4481" w:rsidRPr="00B16E6B">
        <w:rPr>
          <w:rFonts w:eastAsia="Times New Roman"/>
          <w:lang w:eastAsia="en-AU"/>
        </w:rPr>
        <w:t xml:space="preserve"> </w:t>
      </w:r>
      <w:r w:rsidRPr="00B16E6B">
        <w:rPr>
          <w:rFonts w:eastAsia="Times New Roman"/>
          <w:lang w:eastAsia="en-AU"/>
        </w:rPr>
        <w:t>below.</w:t>
      </w:r>
      <w:r w:rsidR="00F1683C" w:rsidRPr="00B16E6B" w:rsidDel="00F1683C">
        <w:rPr>
          <w:rFonts w:eastAsia="Times New Roman"/>
          <w:lang w:eastAsia="en-AU"/>
        </w:rPr>
        <w:t xml:space="preserve"> </w:t>
      </w:r>
    </w:p>
    <w:p w14:paraId="26035236" w14:textId="2D42F54D" w:rsidR="00CC7D78" w:rsidRPr="00B16E6B" w:rsidRDefault="00CC7D78" w:rsidP="009613E1">
      <w:pPr>
        <w:spacing w:line="271" w:lineRule="auto"/>
        <w:rPr>
          <w:rFonts w:eastAsia="Times New Roman"/>
          <w:lang w:eastAsia="en-AU"/>
        </w:rPr>
      </w:pPr>
    </w:p>
    <w:p w14:paraId="46990959" w14:textId="77777777" w:rsidR="00063F89" w:rsidRPr="00B16E6B" w:rsidRDefault="00063F89" w:rsidP="009613E1">
      <w:pPr>
        <w:spacing w:after="200" w:line="271" w:lineRule="auto"/>
        <w:rPr>
          <w:rFonts w:eastAsia="Times New Roman"/>
          <w:lang w:eastAsia="en-AU"/>
        </w:rPr>
      </w:pPr>
      <w:r w:rsidRPr="00B16E6B">
        <w:rPr>
          <w:rFonts w:eastAsia="Times New Roman"/>
          <w:lang w:eastAsia="en-AU"/>
        </w:rPr>
        <w:br w:type="page"/>
      </w:r>
    </w:p>
    <w:p w14:paraId="5A6E0AE9" w14:textId="6976730C" w:rsidR="005450B9" w:rsidRPr="00B16E6B" w:rsidRDefault="005450B9" w:rsidP="009613E1">
      <w:pPr>
        <w:spacing w:after="60" w:line="271" w:lineRule="auto"/>
        <w:rPr>
          <w:rFonts w:ascii="Segoe UI" w:eastAsia="Times New Roman" w:hAnsi="Segoe UI" w:cs="Segoe UI"/>
          <w:i/>
          <w:iCs/>
          <w:color w:val="44546A"/>
          <w:sz w:val="18"/>
          <w:szCs w:val="18"/>
          <w:lang w:eastAsia="en-AU"/>
        </w:rPr>
      </w:pPr>
      <w:r w:rsidRPr="00B16E6B">
        <w:rPr>
          <w:rFonts w:ascii="Arial" w:eastAsia="Times New Roman" w:hAnsi="Arial" w:cs="Arial"/>
          <w:b/>
          <w:bCs/>
          <w:i/>
          <w:iCs/>
          <w:color w:val="44546A"/>
          <w:sz w:val="18"/>
          <w:szCs w:val="18"/>
          <w:lang w:eastAsia="en-AU"/>
        </w:rPr>
        <w:lastRenderedPageBreak/>
        <w:t xml:space="preserve">Table </w:t>
      </w:r>
      <w:r w:rsidR="00A027FB" w:rsidRPr="00B16E6B">
        <w:rPr>
          <w:rFonts w:ascii="Arial" w:eastAsia="Times New Roman" w:hAnsi="Arial" w:cs="Arial"/>
          <w:b/>
          <w:bCs/>
          <w:i/>
          <w:iCs/>
          <w:color w:val="44546A"/>
          <w:sz w:val="18"/>
          <w:szCs w:val="18"/>
          <w:lang w:eastAsia="en-AU"/>
        </w:rPr>
        <w:t>20</w:t>
      </w:r>
      <w:r w:rsidRPr="00B16E6B">
        <w:rPr>
          <w:rFonts w:ascii="Arial" w:eastAsia="Times New Roman" w:hAnsi="Arial" w:cs="Arial"/>
          <w:b/>
          <w:bCs/>
          <w:i/>
          <w:iCs/>
          <w:color w:val="44546A"/>
          <w:sz w:val="18"/>
          <w:szCs w:val="18"/>
          <w:lang w:eastAsia="en-AU"/>
        </w:rPr>
        <w:t>:</w:t>
      </w:r>
      <w:r w:rsidRPr="00B16E6B">
        <w:rPr>
          <w:rFonts w:ascii="Arial" w:eastAsia="Times New Roman" w:hAnsi="Arial" w:cs="Arial"/>
          <w:i/>
          <w:iCs/>
          <w:color w:val="44546A"/>
          <w:sz w:val="18"/>
          <w:szCs w:val="18"/>
          <w:lang w:eastAsia="en-AU"/>
        </w:rPr>
        <w:t xml:space="preserve"> Summary of industry submissions to Independent Review </w:t>
      </w: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521"/>
      </w:tblGrid>
      <w:tr w:rsidR="00AE1936" w:rsidRPr="00B16E6B" w14:paraId="1471D990" w14:textId="77777777" w:rsidTr="00636E0E">
        <w:trPr>
          <w:trHeight w:val="300"/>
        </w:trPr>
        <w:tc>
          <w:tcPr>
            <w:tcW w:w="2977" w:type="dxa"/>
            <w:tcBorders>
              <w:top w:val="single" w:sz="4" w:space="0" w:color="BFBFBF" w:themeColor="background2" w:themeShade="BF"/>
              <w:left w:val="nil"/>
              <w:bottom w:val="single" w:sz="6" w:space="0" w:color="D9D9D9"/>
              <w:right w:val="single" w:sz="6" w:space="0" w:color="D9D9D9"/>
            </w:tcBorders>
            <w:shd w:val="clear" w:color="auto" w:fill="1C2B39" w:themeFill="accent1"/>
            <w:vAlign w:val="center"/>
            <w:hideMark/>
          </w:tcPr>
          <w:p w14:paraId="4AA56177" w14:textId="77777777" w:rsidR="00AE1936" w:rsidRPr="00B16E6B" w:rsidRDefault="00AE1936" w:rsidP="009613E1">
            <w:pPr>
              <w:spacing w:before="60" w:after="60" w:line="271" w:lineRule="auto"/>
              <w:ind w:left="113" w:right="113"/>
              <w:rPr>
                <w:rFonts w:eastAsiaTheme="minorHAnsi" w:cs="Arial"/>
                <w:b/>
                <w:bCs/>
                <w:sz w:val="20"/>
                <w:szCs w:val="20"/>
                <w:lang w:eastAsia="en-AU"/>
              </w:rPr>
            </w:pPr>
            <w:r w:rsidRPr="00B16E6B">
              <w:rPr>
                <w:rFonts w:cs="Arial"/>
                <w:b/>
                <w:bCs/>
                <w:sz w:val="20"/>
                <w:szCs w:val="20"/>
                <w:lang w:eastAsia="en-AU"/>
              </w:rPr>
              <w:t>Proposal  </w:t>
            </w:r>
          </w:p>
        </w:tc>
        <w:tc>
          <w:tcPr>
            <w:tcW w:w="6521" w:type="dxa"/>
            <w:tcBorders>
              <w:top w:val="single" w:sz="4" w:space="0" w:color="BFBFBF" w:themeColor="background2" w:themeShade="BF"/>
              <w:left w:val="single" w:sz="6" w:space="0" w:color="D9D9D9"/>
              <w:bottom w:val="single" w:sz="6" w:space="0" w:color="D9D9D9"/>
              <w:right w:val="nil"/>
            </w:tcBorders>
            <w:shd w:val="clear" w:color="auto" w:fill="1C2B39" w:themeFill="accent1"/>
            <w:vAlign w:val="center"/>
            <w:hideMark/>
          </w:tcPr>
          <w:p w14:paraId="4598DD62" w14:textId="77777777" w:rsidR="00AE1936" w:rsidRPr="00B16E6B" w:rsidRDefault="00AE1936" w:rsidP="009613E1">
            <w:pPr>
              <w:spacing w:before="60" w:after="60" w:line="271" w:lineRule="auto"/>
              <w:ind w:left="113" w:right="113"/>
              <w:rPr>
                <w:rFonts w:cs="Arial"/>
                <w:b/>
                <w:bCs/>
                <w:sz w:val="20"/>
                <w:szCs w:val="20"/>
                <w:lang w:eastAsia="en-AU"/>
              </w:rPr>
            </w:pPr>
            <w:r w:rsidRPr="00B16E6B">
              <w:rPr>
                <w:rFonts w:cs="Arial"/>
                <w:b/>
                <w:bCs/>
                <w:sz w:val="20"/>
                <w:szCs w:val="20"/>
                <w:lang w:eastAsia="en-AU"/>
              </w:rPr>
              <w:t xml:space="preserve">Summary of </w:t>
            </w:r>
            <w:r w:rsidR="00D364D2" w:rsidRPr="00B16E6B">
              <w:rPr>
                <w:rFonts w:cs="Arial"/>
                <w:b/>
                <w:bCs/>
                <w:sz w:val="20"/>
                <w:szCs w:val="20"/>
                <w:lang w:eastAsia="en-AU"/>
              </w:rPr>
              <w:t>submissions</w:t>
            </w:r>
            <w:r w:rsidRPr="00B16E6B">
              <w:rPr>
                <w:rFonts w:cs="Arial"/>
                <w:b/>
                <w:bCs/>
                <w:sz w:val="20"/>
                <w:szCs w:val="20"/>
                <w:lang w:eastAsia="en-AU"/>
              </w:rPr>
              <w:t xml:space="preserve"> </w:t>
            </w:r>
            <w:r w:rsidR="00D364D2" w:rsidRPr="00B16E6B">
              <w:rPr>
                <w:rFonts w:cs="Arial"/>
                <w:b/>
                <w:bCs/>
                <w:sz w:val="20"/>
                <w:szCs w:val="20"/>
                <w:lang w:eastAsia="en-AU"/>
              </w:rPr>
              <w:t>received</w:t>
            </w:r>
            <w:r w:rsidRPr="00B16E6B">
              <w:rPr>
                <w:rFonts w:cs="Arial"/>
                <w:b/>
                <w:bCs/>
                <w:sz w:val="20"/>
                <w:szCs w:val="20"/>
                <w:lang w:eastAsia="en-AU"/>
              </w:rPr>
              <w:t> </w:t>
            </w:r>
          </w:p>
        </w:tc>
      </w:tr>
      <w:tr w:rsidR="00AE1936" w:rsidRPr="00B16E6B" w14:paraId="790797BA" w14:textId="77777777" w:rsidTr="008F0C3F">
        <w:trPr>
          <w:trHeight w:val="300"/>
        </w:trPr>
        <w:tc>
          <w:tcPr>
            <w:tcW w:w="2977" w:type="dxa"/>
            <w:tcBorders>
              <w:top w:val="single" w:sz="6" w:space="0" w:color="D9D9D9"/>
              <w:left w:val="nil"/>
              <w:bottom w:val="single" w:sz="6" w:space="0" w:color="D9D9D9"/>
              <w:right w:val="single" w:sz="6" w:space="0" w:color="D9D9D9"/>
            </w:tcBorders>
            <w:shd w:val="clear" w:color="auto" w:fill="F2F2F2"/>
            <w:vAlign w:val="center"/>
            <w:hideMark/>
          </w:tcPr>
          <w:p w14:paraId="6EB41E6F" w14:textId="77777777" w:rsidR="00AE1936" w:rsidRPr="00B16E6B" w:rsidRDefault="00AE1936" w:rsidP="009613E1">
            <w:pPr>
              <w:spacing w:before="20" w:after="20" w:line="271" w:lineRule="auto"/>
              <w:ind w:left="113" w:right="113"/>
              <w:rPr>
                <w:rFonts w:cs="Arial"/>
                <w:sz w:val="20"/>
                <w:szCs w:val="24"/>
                <w:lang w:eastAsia="en-AU"/>
              </w:rPr>
            </w:pPr>
            <w:r w:rsidRPr="00B16E6B">
              <w:rPr>
                <w:rFonts w:eastAsia="Times New Roman" w:cs="Arial"/>
                <w:b/>
                <w:bCs/>
                <w:sz w:val="20"/>
                <w:szCs w:val="20"/>
                <w:lang w:eastAsia="en-AU"/>
              </w:rPr>
              <w:t>Proposal 1:</w:t>
            </w:r>
            <w:r w:rsidRPr="00B16E6B">
              <w:rPr>
                <w:rFonts w:eastAsia="Times New Roman" w:cs="Arial"/>
                <w:sz w:val="20"/>
                <w:szCs w:val="20"/>
                <w:lang w:eastAsia="en-AU"/>
              </w:rPr>
              <w:t xml:space="preserve"> Reduce prescription of security programs </w:t>
            </w:r>
          </w:p>
        </w:tc>
        <w:tc>
          <w:tcPr>
            <w:tcW w:w="6521" w:type="dxa"/>
            <w:tcBorders>
              <w:top w:val="single" w:sz="6" w:space="0" w:color="D9D9D9"/>
              <w:left w:val="single" w:sz="6" w:space="0" w:color="D9D9D9"/>
              <w:bottom w:val="single" w:sz="6" w:space="0" w:color="D9D9D9"/>
              <w:right w:val="nil"/>
            </w:tcBorders>
            <w:vAlign w:val="center"/>
            <w:hideMark/>
          </w:tcPr>
          <w:p w14:paraId="0F008036" w14:textId="77777777" w:rsidR="00AE1936" w:rsidRPr="00B16E6B" w:rsidRDefault="00AE1936" w:rsidP="009613E1">
            <w:pPr>
              <w:spacing w:before="20" w:after="120" w:line="271" w:lineRule="auto"/>
              <w:ind w:left="113" w:right="113"/>
              <w:rPr>
                <w:rFonts w:cs="Arial"/>
                <w:sz w:val="18"/>
                <w:szCs w:val="24"/>
                <w:lang w:eastAsia="en-AU"/>
              </w:rPr>
            </w:pPr>
            <w:r w:rsidRPr="00B16E6B">
              <w:rPr>
                <w:rFonts w:eastAsia="Times New Roman" w:cs="Arial"/>
                <w:sz w:val="18"/>
                <w:szCs w:val="20"/>
                <w:lang w:eastAsia="en-AU"/>
              </w:rPr>
              <w:t>29 entities agreed, or agreed in principle. 3 entities did not agree. 6 entities noted or did not comment.  </w:t>
            </w:r>
          </w:p>
          <w:p w14:paraId="21436312" w14:textId="77777777" w:rsidR="00AE1936" w:rsidRPr="00B16E6B" w:rsidRDefault="00AE1936" w:rsidP="00A11AF5">
            <w:pPr>
              <w:pStyle w:val="ListParagraph"/>
              <w:numPr>
                <w:ilvl w:val="0"/>
                <w:numId w:val="26"/>
              </w:numPr>
              <w:spacing w:before="20" w:after="120" w:line="271" w:lineRule="auto"/>
              <w:ind w:left="113" w:right="113"/>
              <w:contextualSpacing w:val="0"/>
              <w:rPr>
                <w:rFonts w:eastAsia="Times New Roman" w:cs="Arial"/>
                <w:sz w:val="18"/>
                <w:szCs w:val="20"/>
                <w:lang w:eastAsia="en-AU"/>
              </w:rPr>
            </w:pPr>
            <w:r w:rsidRPr="00B16E6B">
              <w:rPr>
                <w:rFonts w:eastAsia="Times New Roman" w:cs="Arial"/>
                <w:sz w:val="18"/>
                <w:szCs w:val="20"/>
                <w:lang w:eastAsia="en-AU"/>
              </w:rPr>
              <w:t>Majority support for reduced prescription in security programs.  </w:t>
            </w:r>
          </w:p>
          <w:p w14:paraId="313C8002" w14:textId="77777777" w:rsidR="00AE1936" w:rsidRPr="00B16E6B" w:rsidRDefault="00AE1936" w:rsidP="00A11AF5">
            <w:pPr>
              <w:pStyle w:val="ListParagraph"/>
              <w:numPr>
                <w:ilvl w:val="0"/>
                <w:numId w:val="26"/>
              </w:numPr>
              <w:spacing w:before="20" w:after="20" w:line="271" w:lineRule="auto"/>
              <w:ind w:left="113" w:right="113"/>
              <w:contextualSpacing w:val="0"/>
              <w:rPr>
                <w:rFonts w:eastAsia="Times New Roman" w:cs="Arial"/>
                <w:sz w:val="18"/>
                <w:szCs w:val="20"/>
                <w:lang w:eastAsia="en-AU"/>
              </w:rPr>
            </w:pPr>
            <w:r w:rsidRPr="00B16E6B">
              <w:rPr>
                <w:rFonts w:eastAsia="Times New Roman" w:cs="Arial"/>
                <w:sz w:val="18"/>
                <w:szCs w:val="20"/>
                <w:lang w:eastAsia="en-AU"/>
              </w:rPr>
              <w:t>Guidance and support from the Regulator should accompany any legislative reform to reduce prescription.  </w:t>
            </w:r>
          </w:p>
        </w:tc>
      </w:tr>
      <w:tr w:rsidR="00AE1936" w:rsidRPr="00B16E6B" w14:paraId="15D10F05" w14:textId="77777777" w:rsidTr="008F0C3F">
        <w:trPr>
          <w:trHeight w:val="300"/>
        </w:trPr>
        <w:tc>
          <w:tcPr>
            <w:tcW w:w="2977" w:type="dxa"/>
            <w:tcBorders>
              <w:top w:val="single" w:sz="6" w:space="0" w:color="D9D9D9"/>
              <w:left w:val="nil"/>
              <w:bottom w:val="single" w:sz="6" w:space="0" w:color="D9D9D9"/>
              <w:right w:val="single" w:sz="6" w:space="0" w:color="D9D9D9"/>
            </w:tcBorders>
            <w:shd w:val="clear" w:color="auto" w:fill="F2F2F2"/>
            <w:vAlign w:val="center"/>
            <w:hideMark/>
          </w:tcPr>
          <w:p w14:paraId="3354B3F5" w14:textId="77777777" w:rsidR="00AE1936" w:rsidRPr="00B16E6B" w:rsidRDefault="00AE1936" w:rsidP="009613E1">
            <w:pPr>
              <w:spacing w:before="20" w:after="20" w:line="271" w:lineRule="auto"/>
              <w:ind w:left="113" w:right="113"/>
              <w:rPr>
                <w:rFonts w:cs="Arial"/>
                <w:sz w:val="20"/>
                <w:szCs w:val="24"/>
                <w:lang w:eastAsia="en-AU"/>
              </w:rPr>
            </w:pPr>
            <w:r w:rsidRPr="00B16E6B">
              <w:rPr>
                <w:rFonts w:eastAsia="Times New Roman" w:cs="Arial"/>
                <w:b/>
                <w:bCs/>
                <w:sz w:val="20"/>
                <w:szCs w:val="20"/>
                <w:lang w:eastAsia="en-AU"/>
              </w:rPr>
              <w:t>Proposal 2:</w:t>
            </w:r>
            <w:r w:rsidRPr="00B16E6B">
              <w:rPr>
                <w:rFonts w:eastAsia="Times New Roman" w:cs="Arial"/>
                <w:sz w:val="20"/>
                <w:szCs w:val="20"/>
                <w:lang w:eastAsia="en-AU"/>
              </w:rPr>
              <w:t xml:space="preserve"> Move to an outcomes and risk-based security management approach </w:t>
            </w:r>
          </w:p>
        </w:tc>
        <w:tc>
          <w:tcPr>
            <w:tcW w:w="6521" w:type="dxa"/>
            <w:tcBorders>
              <w:top w:val="single" w:sz="6" w:space="0" w:color="D9D9D9"/>
              <w:left w:val="single" w:sz="6" w:space="0" w:color="D9D9D9"/>
              <w:bottom w:val="single" w:sz="6" w:space="0" w:color="D9D9D9"/>
              <w:right w:val="nil"/>
            </w:tcBorders>
            <w:vAlign w:val="center"/>
            <w:hideMark/>
          </w:tcPr>
          <w:p w14:paraId="53887B5F" w14:textId="77777777" w:rsidR="00AE1936" w:rsidRPr="00B16E6B" w:rsidRDefault="00AE1936" w:rsidP="009613E1">
            <w:pPr>
              <w:spacing w:before="20" w:after="120" w:line="271" w:lineRule="auto"/>
              <w:ind w:left="113" w:right="113"/>
              <w:rPr>
                <w:rFonts w:cs="Arial"/>
                <w:sz w:val="18"/>
                <w:szCs w:val="24"/>
                <w:lang w:eastAsia="en-AU"/>
              </w:rPr>
            </w:pPr>
            <w:r w:rsidRPr="00B16E6B">
              <w:rPr>
                <w:rFonts w:eastAsia="Times New Roman" w:cs="Arial"/>
                <w:sz w:val="18"/>
                <w:szCs w:val="20"/>
                <w:lang w:eastAsia="en-AU"/>
              </w:rPr>
              <w:t>22 entities agreed, or agreed in principle. 3 entities did not agree. 10 entities noted or did not comment.  </w:t>
            </w:r>
          </w:p>
          <w:p w14:paraId="35F1BC49" w14:textId="77777777" w:rsidR="00AE1936" w:rsidRPr="00B16E6B" w:rsidRDefault="00AE1936" w:rsidP="009613E1">
            <w:pPr>
              <w:spacing w:before="20" w:after="20" w:line="271" w:lineRule="auto"/>
              <w:ind w:left="113" w:right="113"/>
              <w:rPr>
                <w:rFonts w:eastAsia="Times New Roman" w:cs="Arial"/>
                <w:sz w:val="18"/>
                <w:szCs w:val="20"/>
                <w:lang w:eastAsia="en-AU"/>
              </w:rPr>
            </w:pPr>
            <w:r w:rsidRPr="00B16E6B">
              <w:rPr>
                <w:rFonts w:eastAsia="Times New Roman" w:cs="Arial"/>
                <w:sz w:val="18"/>
                <w:szCs w:val="20"/>
                <w:lang w:eastAsia="en-AU"/>
              </w:rPr>
              <w:t>General support for an outcomes-based framework that includes the introduction of a Security Management System, where voluntary and accompanied by guidance.  </w:t>
            </w:r>
          </w:p>
        </w:tc>
      </w:tr>
      <w:tr w:rsidR="00AE1936" w:rsidRPr="00B16E6B" w14:paraId="73BB9B58" w14:textId="77777777" w:rsidTr="008F0C3F">
        <w:trPr>
          <w:trHeight w:val="300"/>
        </w:trPr>
        <w:tc>
          <w:tcPr>
            <w:tcW w:w="2977" w:type="dxa"/>
            <w:tcBorders>
              <w:top w:val="single" w:sz="6" w:space="0" w:color="D9D9D9"/>
              <w:left w:val="nil"/>
              <w:bottom w:val="single" w:sz="6" w:space="0" w:color="D9D9D9"/>
              <w:right w:val="single" w:sz="6" w:space="0" w:color="D9D9D9"/>
            </w:tcBorders>
            <w:shd w:val="clear" w:color="auto" w:fill="F2F2F2"/>
            <w:vAlign w:val="center"/>
            <w:hideMark/>
          </w:tcPr>
          <w:p w14:paraId="1039E5C5" w14:textId="77777777" w:rsidR="00AE1936" w:rsidRPr="00B16E6B" w:rsidRDefault="00AE1936" w:rsidP="009613E1">
            <w:pPr>
              <w:spacing w:before="20" w:after="20" w:line="271" w:lineRule="auto"/>
              <w:ind w:left="113" w:right="113"/>
              <w:rPr>
                <w:rFonts w:cs="Arial"/>
                <w:sz w:val="20"/>
                <w:szCs w:val="24"/>
                <w:lang w:eastAsia="en-AU"/>
              </w:rPr>
            </w:pPr>
            <w:r w:rsidRPr="00B16E6B">
              <w:rPr>
                <w:rFonts w:eastAsia="Times New Roman" w:cs="Arial"/>
                <w:b/>
                <w:bCs/>
                <w:sz w:val="20"/>
                <w:szCs w:val="20"/>
                <w:lang w:eastAsia="en-AU"/>
              </w:rPr>
              <w:t>Proposal 3:</w:t>
            </w:r>
            <w:r w:rsidR="00D364D2" w:rsidRPr="00B16E6B">
              <w:rPr>
                <w:rFonts w:eastAsia="Times New Roman" w:cs="Arial"/>
                <w:sz w:val="20"/>
                <w:szCs w:val="20"/>
                <w:lang w:eastAsia="en-AU"/>
              </w:rPr>
              <w:t xml:space="preserve"> Enable</w:t>
            </w:r>
            <w:r w:rsidRPr="00B16E6B">
              <w:rPr>
                <w:rFonts w:eastAsia="Times New Roman" w:cs="Arial"/>
                <w:sz w:val="20"/>
                <w:szCs w:val="20"/>
                <w:lang w:eastAsia="en-AU"/>
              </w:rPr>
              <w:t xml:space="preserve"> </w:t>
            </w:r>
            <w:r w:rsidR="00D364D2" w:rsidRPr="00B16E6B">
              <w:rPr>
                <w:rFonts w:eastAsia="Times New Roman" w:cs="Arial"/>
                <w:sz w:val="20"/>
                <w:szCs w:val="20"/>
                <w:lang w:eastAsia="en-AU"/>
              </w:rPr>
              <w:t>d</w:t>
            </w:r>
            <w:r w:rsidRPr="00B16E6B">
              <w:rPr>
                <w:rFonts w:eastAsia="Times New Roman" w:cs="Arial"/>
                <w:sz w:val="20"/>
                <w:szCs w:val="20"/>
                <w:lang w:eastAsia="en-AU"/>
              </w:rPr>
              <w:t>epartment to intervene and take a more direct regulatory role with screening and other security providers </w:t>
            </w:r>
          </w:p>
        </w:tc>
        <w:tc>
          <w:tcPr>
            <w:tcW w:w="6521" w:type="dxa"/>
            <w:tcBorders>
              <w:top w:val="single" w:sz="6" w:space="0" w:color="D9D9D9"/>
              <w:left w:val="single" w:sz="6" w:space="0" w:color="D9D9D9"/>
              <w:bottom w:val="single" w:sz="6" w:space="0" w:color="D9D9D9"/>
              <w:right w:val="nil"/>
            </w:tcBorders>
            <w:vAlign w:val="center"/>
            <w:hideMark/>
          </w:tcPr>
          <w:p w14:paraId="18307DD3" w14:textId="77777777" w:rsidR="00AE1936" w:rsidRPr="00B16E6B" w:rsidRDefault="00AE1936" w:rsidP="009613E1">
            <w:pPr>
              <w:spacing w:before="20" w:after="120" w:line="271" w:lineRule="auto"/>
              <w:ind w:left="113" w:right="113"/>
              <w:rPr>
                <w:rFonts w:cs="Arial"/>
                <w:sz w:val="18"/>
                <w:szCs w:val="24"/>
                <w:lang w:eastAsia="en-AU"/>
              </w:rPr>
            </w:pPr>
            <w:r w:rsidRPr="00B16E6B">
              <w:rPr>
                <w:rFonts w:eastAsia="Times New Roman" w:cs="Arial"/>
                <w:sz w:val="18"/>
                <w:szCs w:val="20"/>
                <w:lang w:eastAsia="en-AU"/>
              </w:rPr>
              <w:t>20 entities agreed, or agreed in principle. 6 entities did not agree. 12 entities noted or did not comment.  </w:t>
            </w:r>
          </w:p>
          <w:p w14:paraId="1757D787" w14:textId="77777777" w:rsidR="00AE1936" w:rsidRPr="00B16E6B" w:rsidRDefault="00AE1936" w:rsidP="00A11AF5">
            <w:pPr>
              <w:pStyle w:val="ListParagraph"/>
              <w:numPr>
                <w:ilvl w:val="0"/>
                <w:numId w:val="27"/>
              </w:numPr>
              <w:spacing w:before="20" w:after="120" w:line="271" w:lineRule="auto"/>
              <w:ind w:left="113" w:right="113"/>
              <w:contextualSpacing w:val="0"/>
              <w:rPr>
                <w:rFonts w:eastAsia="Times New Roman" w:cs="Arial"/>
                <w:sz w:val="18"/>
                <w:szCs w:val="20"/>
                <w:lang w:eastAsia="en-AU"/>
              </w:rPr>
            </w:pPr>
            <w:r w:rsidRPr="00B16E6B">
              <w:rPr>
                <w:rFonts w:eastAsia="Times New Roman" w:cs="Arial"/>
                <w:sz w:val="18"/>
                <w:szCs w:val="20"/>
                <w:lang w:eastAsia="en-AU"/>
              </w:rPr>
              <w:t>Emphasis on ensuring transparency in any additional regulatory relationships with third parties.  </w:t>
            </w:r>
          </w:p>
          <w:p w14:paraId="1FF421A6" w14:textId="77777777" w:rsidR="00AE1936" w:rsidRPr="00B16E6B" w:rsidRDefault="00AE1936" w:rsidP="00A11AF5">
            <w:pPr>
              <w:pStyle w:val="ListParagraph"/>
              <w:numPr>
                <w:ilvl w:val="0"/>
                <w:numId w:val="27"/>
              </w:numPr>
              <w:spacing w:before="20" w:after="20" w:line="271" w:lineRule="auto"/>
              <w:ind w:left="113" w:right="113"/>
              <w:contextualSpacing w:val="0"/>
              <w:rPr>
                <w:rFonts w:eastAsiaTheme="minorHAnsi" w:cs="Arial"/>
                <w:sz w:val="18"/>
                <w:szCs w:val="24"/>
                <w:lang w:eastAsia="en-AU"/>
              </w:rPr>
            </w:pPr>
            <w:r w:rsidRPr="00B16E6B">
              <w:rPr>
                <w:rFonts w:eastAsia="Times New Roman" w:cs="Arial"/>
                <w:sz w:val="18"/>
                <w:szCs w:val="20"/>
                <w:lang w:eastAsia="en-AU"/>
              </w:rPr>
              <w:t>Concerns related to duplicative effort, inconsistent messaging and its impact on contractual relations between an entity and third party provider.  </w:t>
            </w:r>
          </w:p>
        </w:tc>
      </w:tr>
      <w:tr w:rsidR="00AE1936" w:rsidRPr="00B16E6B" w14:paraId="42297210" w14:textId="77777777" w:rsidTr="008F0C3F">
        <w:trPr>
          <w:trHeight w:val="300"/>
        </w:trPr>
        <w:tc>
          <w:tcPr>
            <w:tcW w:w="2977" w:type="dxa"/>
            <w:tcBorders>
              <w:top w:val="single" w:sz="6" w:space="0" w:color="D9D9D9"/>
              <w:left w:val="nil"/>
              <w:bottom w:val="single" w:sz="6" w:space="0" w:color="D9D9D9"/>
              <w:right w:val="single" w:sz="6" w:space="0" w:color="D9D9D9"/>
            </w:tcBorders>
            <w:shd w:val="clear" w:color="auto" w:fill="F2F2F2"/>
            <w:vAlign w:val="center"/>
            <w:hideMark/>
          </w:tcPr>
          <w:p w14:paraId="7F436817" w14:textId="77777777" w:rsidR="00AE1936" w:rsidRPr="00B16E6B" w:rsidRDefault="00AE1936" w:rsidP="009613E1">
            <w:pPr>
              <w:spacing w:before="20" w:after="20" w:line="271" w:lineRule="auto"/>
              <w:ind w:left="113" w:right="113"/>
              <w:rPr>
                <w:rFonts w:cs="Arial"/>
                <w:sz w:val="20"/>
                <w:szCs w:val="24"/>
                <w:lang w:eastAsia="en-AU"/>
              </w:rPr>
            </w:pPr>
            <w:r w:rsidRPr="00B16E6B">
              <w:rPr>
                <w:rFonts w:eastAsia="Times New Roman" w:cs="Arial"/>
                <w:b/>
                <w:bCs/>
                <w:sz w:val="20"/>
                <w:szCs w:val="20"/>
                <w:lang w:eastAsia="en-AU"/>
              </w:rPr>
              <w:t>Proposal 4:</w:t>
            </w:r>
            <w:r w:rsidRPr="00B16E6B">
              <w:rPr>
                <w:rFonts w:eastAsia="Times New Roman" w:cs="Arial"/>
                <w:sz w:val="20"/>
                <w:szCs w:val="20"/>
                <w:lang w:eastAsia="en-AU"/>
              </w:rPr>
              <w:t xml:space="preserve"> Requiring screening airports to screen for all regular public transport and open charter flights </w:t>
            </w:r>
          </w:p>
        </w:tc>
        <w:tc>
          <w:tcPr>
            <w:tcW w:w="6521" w:type="dxa"/>
            <w:tcBorders>
              <w:top w:val="single" w:sz="6" w:space="0" w:color="D9D9D9"/>
              <w:left w:val="single" w:sz="6" w:space="0" w:color="D9D9D9"/>
              <w:bottom w:val="single" w:sz="6" w:space="0" w:color="D9D9D9"/>
              <w:right w:val="nil"/>
            </w:tcBorders>
            <w:vAlign w:val="center"/>
            <w:hideMark/>
          </w:tcPr>
          <w:p w14:paraId="57FD3490" w14:textId="77777777" w:rsidR="00AE1936" w:rsidRPr="00B16E6B" w:rsidRDefault="00AE1936" w:rsidP="009613E1">
            <w:pPr>
              <w:spacing w:before="20" w:after="120" w:line="271" w:lineRule="auto"/>
              <w:ind w:left="113" w:right="113"/>
              <w:rPr>
                <w:rFonts w:cs="Arial"/>
                <w:sz w:val="18"/>
                <w:szCs w:val="24"/>
                <w:lang w:eastAsia="en-AU"/>
              </w:rPr>
            </w:pPr>
            <w:r w:rsidRPr="00B16E6B">
              <w:rPr>
                <w:rFonts w:eastAsia="Times New Roman" w:cs="Arial"/>
                <w:sz w:val="18"/>
                <w:szCs w:val="20"/>
                <w:lang w:eastAsia="en-AU"/>
              </w:rPr>
              <w:t>12 entities agreed, or agreed in principle. 6 entities did not agree. 20 entities noted or did not comment. </w:t>
            </w:r>
          </w:p>
          <w:p w14:paraId="27D65C0B" w14:textId="77777777" w:rsidR="00AE1936" w:rsidRPr="00B16E6B" w:rsidRDefault="00AE1936" w:rsidP="00A11AF5">
            <w:pPr>
              <w:pStyle w:val="ListParagraph"/>
              <w:numPr>
                <w:ilvl w:val="0"/>
                <w:numId w:val="28"/>
              </w:numPr>
              <w:spacing w:before="20" w:after="120" w:line="271" w:lineRule="auto"/>
              <w:ind w:left="113" w:right="113"/>
              <w:contextualSpacing w:val="0"/>
              <w:rPr>
                <w:rFonts w:cs="Arial"/>
                <w:sz w:val="18"/>
                <w:szCs w:val="24"/>
                <w:lang w:eastAsia="en-AU"/>
              </w:rPr>
            </w:pPr>
            <w:r w:rsidRPr="00B16E6B">
              <w:rPr>
                <w:rFonts w:eastAsia="Times New Roman" w:cs="Arial"/>
                <w:sz w:val="18"/>
                <w:szCs w:val="20"/>
                <w:lang w:eastAsia="en-AU"/>
              </w:rPr>
              <w:t>Requirement that all screening airports screen regular public transport and open charter flights generally supported by major airlines and airports.</w:t>
            </w:r>
          </w:p>
          <w:p w14:paraId="6595E2C4" w14:textId="77777777" w:rsidR="00AE1936" w:rsidRPr="00B16E6B" w:rsidRDefault="00AE1936" w:rsidP="00A11AF5">
            <w:pPr>
              <w:pStyle w:val="ListParagraph"/>
              <w:numPr>
                <w:ilvl w:val="0"/>
                <w:numId w:val="28"/>
              </w:numPr>
              <w:spacing w:before="20" w:after="20" w:line="271" w:lineRule="auto"/>
              <w:ind w:left="113" w:right="113"/>
              <w:contextualSpacing w:val="0"/>
              <w:rPr>
                <w:rFonts w:cs="Arial"/>
                <w:sz w:val="18"/>
                <w:szCs w:val="24"/>
                <w:lang w:eastAsia="en-AU"/>
              </w:rPr>
            </w:pPr>
            <w:r w:rsidRPr="00B16E6B">
              <w:rPr>
                <w:rFonts w:eastAsia="Times New Roman" w:cs="Arial"/>
                <w:sz w:val="18"/>
                <w:szCs w:val="20"/>
                <w:lang w:eastAsia="en-AU"/>
              </w:rPr>
              <w:t>Concerns raised on the costs and personnel burden this may create for regional airports.  </w:t>
            </w:r>
          </w:p>
        </w:tc>
      </w:tr>
      <w:tr w:rsidR="00AE1936" w:rsidRPr="00B16E6B" w14:paraId="6B76D271" w14:textId="77777777" w:rsidTr="008F0C3F">
        <w:trPr>
          <w:trHeight w:val="300"/>
        </w:trPr>
        <w:tc>
          <w:tcPr>
            <w:tcW w:w="2977" w:type="dxa"/>
            <w:tcBorders>
              <w:top w:val="single" w:sz="6" w:space="0" w:color="D9D9D9"/>
              <w:left w:val="nil"/>
              <w:bottom w:val="single" w:sz="4" w:space="0" w:color="BFBFBF" w:themeColor="background2" w:themeShade="BF"/>
              <w:right w:val="single" w:sz="6" w:space="0" w:color="D9D9D9"/>
            </w:tcBorders>
            <w:shd w:val="clear" w:color="auto" w:fill="F2F2F2"/>
            <w:vAlign w:val="center"/>
            <w:hideMark/>
          </w:tcPr>
          <w:p w14:paraId="4B09A920" w14:textId="77777777" w:rsidR="00AE1936" w:rsidRPr="00B16E6B" w:rsidRDefault="00AE1936" w:rsidP="009613E1">
            <w:pPr>
              <w:spacing w:before="20" w:after="20" w:line="271" w:lineRule="auto"/>
              <w:ind w:left="113" w:right="113"/>
              <w:rPr>
                <w:rFonts w:cs="Arial"/>
                <w:sz w:val="20"/>
                <w:szCs w:val="24"/>
                <w:lang w:eastAsia="en-AU"/>
              </w:rPr>
            </w:pPr>
            <w:r w:rsidRPr="00B16E6B">
              <w:rPr>
                <w:rFonts w:eastAsia="Times New Roman" w:cs="Arial"/>
                <w:b/>
                <w:bCs/>
                <w:sz w:val="20"/>
                <w:szCs w:val="20"/>
                <w:lang w:eastAsia="en-AU"/>
              </w:rPr>
              <w:t>Proposal 5:</w:t>
            </w:r>
            <w:r w:rsidRPr="00B16E6B">
              <w:rPr>
                <w:rFonts w:eastAsia="Times New Roman" w:cs="Arial"/>
                <w:sz w:val="20"/>
                <w:szCs w:val="20"/>
                <w:lang w:eastAsia="en-AU"/>
              </w:rPr>
              <w:t xml:space="preserve"> Opportunities to broaden and improve industry engagement, partnership and collaboration </w:t>
            </w:r>
          </w:p>
        </w:tc>
        <w:tc>
          <w:tcPr>
            <w:tcW w:w="6521" w:type="dxa"/>
            <w:tcBorders>
              <w:top w:val="single" w:sz="6" w:space="0" w:color="D9D9D9"/>
              <w:left w:val="single" w:sz="6" w:space="0" w:color="D9D9D9"/>
              <w:bottom w:val="single" w:sz="4" w:space="0" w:color="BFBFBF" w:themeColor="background2" w:themeShade="BF"/>
              <w:right w:val="nil"/>
            </w:tcBorders>
            <w:vAlign w:val="center"/>
            <w:hideMark/>
          </w:tcPr>
          <w:p w14:paraId="4CAA1E3F" w14:textId="77777777" w:rsidR="00AE1936" w:rsidRPr="00B16E6B" w:rsidRDefault="00AE1936" w:rsidP="009613E1">
            <w:pPr>
              <w:spacing w:before="20" w:after="120" w:line="271" w:lineRule="auto"/>
              <w:ind w:left="113" w:right="113"/>
              <w:rPr>
                <w:rFonts w:cs="Arial"/>
                <w:sz w:val="18"/>
                <w:szCs w:val="24"/>
                <w:lang w:eastAsia="en-AU"/>
              </w:rPr>
            </w:pPr>
            <w:r w:rsidRPr="00B16E6B">
              <w:rPr>
                <w:rFonts w:eastAsia="Times New Roman" w:cs="Arial"/>
                <w:sz w:val="18"/>
                <w:szCs w:val="20"/>
                <w:lang w:eastAsia="en-AU"/>
              </w:rPr>
              <w:t>29 entities agreed or agreed in principle. 0 entities did not agree. 9 entities noted or did not comment.  </w:t>
            </w:r>
          </w:p>
          <w:p w14:paraId="355726C3" w14:textId="77777777" w:rsidR="00AE1936" w:rsidRPr="00B16E6B" w:rsidRDefault="00AE1936" w:rsidP="009613E1">
            <w:pPr>
              <w:spacing w:before="20" w:after="20" w:line="271" w:lineRule="auto"/>
              <w:ind w:left="113" w:right="113"/>
              <w:rPr>
                <w:rFonts w:cs="Arial"/>
                <w:sz w:val="18"/>
                <w:szCs w:val="24"/>
                <w:lang w:eastAsia="en-AU"/>
              </w:rPr>
            </w:pPr>
            <w:r w:rsidRPr="00B16E6B">
              <w:rPr>
                <w:rFonts w:eastAsia="Times New Roman" w:cs="Arial"/>
                <w:sz w:val="18"/>
                <w:szCs w:val="20"/>
                <w:lang w:eastAsia="en-AU"/>
              </w:rPr>
              <w:t xml:space="preserve">Broad agreement of benefits that arise from increased collaboration between </w:t>
            </w:r>
            <w:r w:rsidR="00487C6A" w:rsidRPr="00B16E6B">
              <w:rPr>
                <w:rFonts w:eastAsia="Times New Roman" w:cs="Arial"/>
                <w:sz w:val="18"/>
                <w:szCs w:val="20"/>
                <w:lang w:eastAsia="en-AU"/>
              </w:rPr>
              <w:t>government</w:t>
            </w:r>
            <w:r w:rsidRPr="00B16E6B">
              <w:rPr>
                <w:rFonts w:eastAsia="Times New Roman" w:cs="Arial"/>
                <w:sz w:val="18"/>
                <w:szCs w:val="20"/>
                <w:lang w:eastAsia="en-AU"/>
              </w:rPr>
              <w:t xml:space="preserve"> and industry. Welcomed opportunities to enhance existing engagement initiatives and receive more guidance material from the department, to help industry in meeting security obligations and </w:t>
            </w:r>
            <w:r w:rsidR="00022711" w:rsidRPr="00B16E6B">
              <w:rPr>
                <w:rFonts w:eastAsia="Times New Roman" w:cs="Arial"/>
                <w:sz w:val="18"/>
                <w:szCs w:val="20"/>
                <w:lang w:eastAsia="en-AU"/>
              </w:rPr>
              <w:t xml:space="preserve">on the </w:t>
            </w:r>
            <w:r w:rsidRPr="00B16E6B">
              <w:rPr>
                <w:rFonts w:eastAsia="Times New Roman" w:cs="Arial"/>
                <w:sz w:val="18"/>
                <w:szCs w:val="20"/>
                <w:lang w:eastAsia="en-AU"/>
              </w:rPr>
              <w:t>broader risk environment.  </w:t>
            </w:r>
          </w:p>
        </w:tc>
      </w:tr>
    </w:tbl>
    <w:p w14:paraId="48741D74" w14:textId="77777777" w:rsidR="0000375D" w:rsidRPr="00B16E6B" w:rsidRDefault="0000375D" w:rsidP="009613E1">
      <w:pPr>
        <w:spacing w:after="0" w:line="271" w:lineRule="auto"/>
        <w:rPr>
          <w:rFonts w:cstheme="majorHAnsi"/>
          <w:b/>
          <w:bCs/>
          <w:sz w:val="20"/>
          <w:szCs w:val="20"/>
          <w:lang w:eastAsia="en-AU"/>
        </w:rPr>
        <w:sectPr w:rsidR="0000375D" w:rsidRPr="00B16E6B" w:rsidSect="009613E1">
          <w:pgSz w:w="11906" w:h="16838"/>
          <w:pgMar w:top="1276" w:right="1134" w:bottom="1843" w:left="1134" w:header="993" w:footer="709" w:gutter="0"/>
          <w:cols w:space="708"/>
          <w:titlePg/>
          <w:docGrid w:linePitch="360"/>
        </w:sectPr>
      </w:pPr>
    </w:p>
    <w:tbl>
      <w:tblPr>
        <w:tblStyle w:val="DHATable"/>
        <w:tblW w:w="5705" w:type="pct"/>
        <w:tblInd w:w="-567" w:type="dxa"/>
        <w:tblLayout w:type="fixed"/>
        <w:tblLook w:val="04A0" w:firstRow="1" w:lastRow="0" w:firstColumn="1" w:lastColumn="0" w:noHBand="0" w:noVBand="1"/>
      </w:tblPr>
      <w:tblGrid>
        <w:gridCol w:w="709"/>
        <w:gridCol w:w="1276"/>
        <w:gridCol w:w="2946"/>
        <w:gridCol w:w="3033"/>
        <w:gridCol w:w="2242"/>
        <w:gridCol w:w="4962"/>
      </w:tblGrid>
      <w:tr w:rsidR="0000375D" w:rsidRPr="00B16E6B" w14:paraId="6E5ECC90" w14:textId="77777777" w:rsidTr="00636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BFBFBF" w:themeColor="background1" w:themeShade="BF"/>
              <w:bottom w:val="single" w:sz="4" w:space="0" w:color="BFBFBF" w:themeColor="background1" w:themeShade="BF"/>
            </w:tcBorders>
            <w:shd w:val="clear" w:color="auto" w:fill="1C2B39" w:themeFill="accent1"/>
            <w:vAlign w:val="center"/>
          </w:tcPr>
          <w:p w14:paraId="299AD444" w14:textId="53D69A45" w:rsidR="0000375D" w:rsidRPr="00B16E6B" w:rsidRDefault="00F1683C" w:rsidP="009613E1">
            <w:pPr>
              <w:spacing w:before="60" w:after="60" w:line="271" w:lineRule="auto"/>
              <w:ind w:left="113" w:right="113"/>
              <w:rPr>
                <w:rFonts w:asciiTheme="minorHAnsi" w:eastAsiaTheme="minorEastAsia" w:hAnsiTheme="minorHAnsi" w:cs="Arial"/>
                <w:bCs/>
                <w:color w:val="auto"/>
                <w:sz w:val="18"/>
                <w:lang w:eastAsia="en-AU"/>
              </w:rPr>
            </w:pPr>
            <w:r w:rsidRPr="00B16E6B">
              <w:rPr>
                <w:rFonts w:cstheme="majorHAnsi"/>
                <w:bCs/>
                <w:noProof/>
                <w:sz w:val="18"/>
                <w:lang w:eastAsia="en-AU"/>
              </w:rPr>
              <w:lastRenderedPageBreak/>
              <mc:AlternateContent>
                <mc:Choice Requires="wps">
                  <w:drawing>
                    <wp:anchor distT="45720" distB="45720" distL="114300" distR="114300" simplePos="0" relativeHeight="251695104" behindDoc="1" locked="0" layoutInCell="1" allowOverlap="1" wp14:anchorId="360EAD3D" wp14:editId="0BFDDBB9">
                      <wp:simplePos x="0" y="0"/>
                      <wp:positionH relativeFrom="margin">
                        <wp:posOffset>-157480</wp:posOffset>
                      </wp:positionH>
                      <wp:positionV relativeFrom="paragraph">
                        <wp:posOffset>-510540</wp:posOffset>
                      </wp:positionV>
                      <wp:extent cx="2955290" cy="1404620"/>
                      <wp:effectExtent l="0" t="0" r="0" b="0"/>
                      <wp:wrapNone/>
                      <wp:docPr id="217" name="Text Box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1404620"/>
                              </a:xfrm>
                              <a:prstGeom prst="rect">
                                <a:avLst/>
                              </a:prstGeom>
                              <a:solidFill>
                                <a:srgbClr val="FFFFFF"/>
                              </a:solidFill>
                              <a:ln w="9525">
                                <a:noFill/>
                                <a:miter lim="800000"/>
                                <a:headEnd/>
                                <a:tailEnd/>
                              </a:ln>
                            </wps:spPr>
                            <wps:txbx>
                              <w:txbxContent>
                                <w:p w14:paraId="785B3B42" w14:textId="33CA0ED0" w:rsidR="00730ACC" w:rsidRPr="007E1CCF" w:rsidRDefault="00730ACC" w:rsidP="007E1CCF">
                                  <w:pPr>
                                    <w:spacing w:after="0" w:line="240" w:lineRule="auto"/>
                                    <w:textAlignment w:val="baseline"/>
                                    <w:rPr>
                                      <w:rFonts w:ascii="Arial" w:eastAsia="Times New Roman" w:hAnsi="Arial" w:cs="Arial"/>
                                      <w:bCs/>
                                      <w:i/>
                                      <w:iCs/>
                                      <w:color w:val="44546A"/>
                                      <w:sz w:val="18"/>
                                      <w:szCs w:val="18"/>
                                      <w:lang w:eastAsia="en-AU"/>
                                    </w:rPr>
                                  </w:pPr>
                                  <w:r w:rsidRPr="007E1CCF">
                                    <w:rPr>
                                      <w:rFonts w:ascii="Arial" w:eastAsia="Times New Roman" w:hAnsi="Arial" w:cs="Arial"/>
                                      <w:b/>
                                      <w:bCs/>
                                      <w:i/>
                                      <w:iCs/>
                                      <w:color w:val="44546A"/>
                                      <w:sz w:val="18"/>
                                      <w:szCs w:val="18"/>
                                      <w:lang w:eastAsia="en-AU"/>
                                    </w:rPr>
                                    <w:t xml:space="preserve">Table </w:t>
                                  </w:r>
                                  <w:r>
                                    <w:rPr>
                                      <w:rFonts w:ascii="Arial" w:eastAsia="Times New Roman" w:hAnsi="Arial" w:cs="Arial"/>
                                      <w:b/>
                                      <w:bCs/>
                                      <w:i/>
                                      <w:iCs/>
                                      <w:color w:val="44546A"/>
                                      <w:sz w:val="18"/>
                                      <w:szCs w:val="18"/>
                                      <w:lang w:eastAsia="en-AU"/>
                                    </w:rPr>
                                    <w:t>21</w:t>
                                  </w:r>
                                  <w:r w:rsidRPr="007E1CCF">
                                    <w:rPr>
                                      <w:rFonts w:ascii="Arial" w:eastAsia="Times New Roman" w:hAnsi="Arial" w:cs="Arial"/>
                                      <w:b/>
                                      <w:bCs/>
                                      <w:i/>
                                      <w:iCs/>
                                      <w:color w:val="44546A"/>
                                      <w:sz w:val="18"/>
                                      <w:szCs w:val="18"/>
                                      <w:lang w:eastAsia="en-AU"/>
                                    </w:rPr>
                                    <w:t xml:space="preserve">: </w:t>
                                  </w:r>
                                  <w:r w:rsidRPr="007E1CCF">
                                    <w:rPr>
                                      <w:rFonts w:ascii="Arial" w:eastAsia="Times New Roman" w:hAnsi="Arial" w:cs="Arial"/>
                                      <w:bCs/>
                                      <w:i/>
                                      <w:iCs/>
                                      <w:color w:val="44546A"/>
                                      <w:sz w:val="18"/>
                                      <w:szCs w:val="18"/>
                                      <w:lang w:eastAsia="en-AU"/>
                                    </w:rPr>
                                    <w:t>Responses to industry consultation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0EAD3D" id="_x0000_t202" coordsize="21600,21600" o:spt="202" path="m,l,21600r21600,l21600,xe">
                      <v:stroke joinstyle="miter"/>
                      <v:path gradientshapeok="t" o:connecttype="rect"/>
                    </v:shapetype>
                    <v:shape id="_x0000_s1026" type="#_x0000_t202" alt="&quot;&quot;" style="position:absolute;left:0;text-align:left;margin-left:-12.4pt;margin-top:-40.2pt;width:232.7pt;height:110.6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" stroked="f">
                      <v:textbox style="mso-fit-shape-to-text:t">
                        <w:txbxContent>
                          <w:p w14:paraId="785B3B42" w14:textId="33CA0ED0" w:rsidR="00730ACC" w:rsidRPr="007E1CCF" w:rsidRDefault="00730ACC" w:rsidP="007E1CCF">
                            <w:pPr>
                              <w:spacing w:after="0" w:line="240" w:lineRule="auto"/>
                              <w:textAlignment w:val="baseline"/>
                              <w:rPr>
                                <w:rFonts w:ascii="Arial" w:eastAsia="Times New Roman" w:hAnsi="Arial" w:cs="Arial"/>
                                <w:bCs/>
                                <w:i/>
                                <w:iCs/>
                                <w:color w:val="44546A"/>
                                <w:sz w:val="18"/>
                                <w:szCs w:val="18"/>
                                <w:lang w:eastAsia="en-AU"/>
                              </w:rPr>
                            </w:pPr>
                            <w:r w:rsidRPr="007E1CCF">
                              <w:rPr>
                                <w:rFonts w:ascii="Arial" w:eastAsia="Times New Roman" w:hAnsi="Arial" w:cs="Arial"/>
                                <w:b/>
                                <w:bCs/>
                                <w:i/>
                                <w:iCs/>
                                <w:color w:val="44546A"/>
                                <w:sz w:val="18"/>
                                <w:szCs w:val="18"/>
                                <w:lang w:eastAsia="en-AU"/>
                              </w:rPr>
                              <w:t xml:space="preserve">Table </w:t>
                            </w:r>
                            <w:r>
                              <w:rPr>
                                <w:rFonts w:ascii="Arial" w:eastAsia="Times New Roman" w:hAnsi="Arial" w:cs="Arial"/>
                                <w:b/>
                                <w:bCs/>
                                <w:i/>
                                <w:iCs/>
                                <w:color w:val="44546A"/>
                                <w:sz w:val="18"/>
                                <w:szCs w:val="18"/>
                                <w:lang w:eastAsia="en-AU"/>
                              </w:rPr>
                              <w:t>21</w:t>
                            </w:r>
                            <w:r w:rsidRPr="007E1CCF">
                              <w:rPr>
                                <w:rFonts w:ascii="Arial" w:eastAsia="Times New Roman" w:hAnsi="Arial" w:cs="Arial"/>
                                <w:b/>
                                <w:bCs/>
                                <w:i/>
                                <w:iCs/>
                                <w:color w:val="44546A"/>
                                <w:sz w:val="18"/>
                                <w:szCs w:val="18"/>
                                <w:lang w:eastAsia="en-AU"/>
                              </w:rPr>
                              <w:t xml:space="preserve">: </w:t>
                            </w:r>
                            <w:r w:rsidRPr="007E1CCF">
                              <w:rPr>
                                <w:rFonts w:ascii="Arial" w:eastAsia="Times New Roman" w:hAnsi="Arial" w:cs="Arial"/>
                                <w:bCs/>
                                <w:i/>
                                <w:iCs/>
                                <w:color w:val="44546A"/>
                                <w:sz w:val="18"/>
                                <w:szCs w:val="18"/>
                                <w:lang w:eastAsia="en-AU"/>
                              </w:rPr>
                              <w:t>Responses to industry consultation</w:t>
                            </w:r>
                          </w:p>
                        </w:txbxContent>
                      </v:textbox>
                      <w10:wrap anchorx="margin"/>
                    </v:shape>
                  </w:pict>
                </mc:Fallback>
              </mc:AlternateContent>
            </w:r>
            <w:r w:rsidR="0000375D" w:rsidRPr="00B16E6B">
              <w:rPr>
                <w:rFonts w:cs="Arial"/>
                <w:bCs/>
                <w:sz w:val="18"/>
                <w:lang w:eastAsia="en-AU"/>
              </w:rPr>
              <w:t>No.</w:t>
            </w:r>
          </w:p>
        </w:tc>
        <w:tc>
          <w:tcPr>
            <w:tcW w:w="1276" w:type="dxa"/>
            <w:tcBorders>
              <w:top w:val="single" w:sz="4" w:space="0" w:color="BFBFBF" w:themeColor="background1" w:themeShade="BF"/>
              <w:bottom w:val="single" w:sz="4" w:space="0" w:color="BFBFBF" w:themeColor="background1" w:themeShade="BF"/>
            </w:tcBorders>
            <w:shd w:val="clear" w:color="auto" w:fill="1C2B39" w:themeFill="accent1"/>
            <w:vAlign w:val="center"/>
          </w:tcPr>
          <w:p w14:paraId="33CE0879" w14:textId="77777777" w:rsidR="0000375D" w:rsidRPr="00B16E6B" w:rsidRDefault="0000375D" w:rsidP="009613E1">
            <w:pPr>
              <w:spacing w:before="60" w:after="60" w:line="271"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Cs/>
                <w:color w:val="auto"/>
                <w:sz w:val="18"/>
                <w:lang w:eastAsia="en-AU"/>
              </w:rPr>
            </w:pPr>
            <w:r w:rsidRPr="00B16E6B">
              <w:rPr>
                <w:rFonts w:cs="Arial"/>
                <w:bCs/>
                <w:sz w:val="18"/>
                <w:lang w:eastAsia="en-AU"/>
              </w:rPr>
              <w:t>Measure</w:t>
            </w:r>
          </w:p>
        </w:tc>
        <w:tc>
          <w:tcPr>
            <w:tcW w:w="2946" w:type="dxa"/>
            <w:tcBorders>
              <w:top w:val="single" w:sz="4" w:space="0" w:color="BFBFBF" w:themeColor="background1" w:themeShade="BF"/>
              <w:bottom w:val="single" w:sz="4" w:space="0" w:color="BFBFBF" w:themeColor="background1" w:themeShade="BF"/>
            </w:tcBorders>
            <w:shd w:val="clear" w:color="auto" w:fill="1C2B39" w:themeFill="accent1"/>
            <w:vAlign w:val="center"/>
          </w:tcPr>
          <w:p w14:paraId="0227E6A6" w14:textId="0B158687" w:rsidR="0000375D" w:rsidRPr="00B16E6B" w:rsidRDefault="0000375D" w:rsidP="009613E1">
            <w:pPr>
              <w:spacing w:before="60" w:after="60" w:line="271"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Cs/>
                <w:color w:val="auto"/>
                <w:sz w:val="18"/>
                <w:lang w:eastAsia="en-AU"/>
              </w:rPr>
            </w:pPr>
            <w:r w:rsidRPr="00B16E6B">
              <w:rPr>
                <w:rFonts w:cs="Arial"/>
                <w:bCs/>
                <w:sz w:val="18"/>
                <w:lang w:eastAsia="en-AU"/>
              </w:rPr>
              <w:t>Initial approach</w:t>
            </w:r>
          </w:p>
        </w:tc>
        <w:tc>
          <w:tcPr>
            <w:tcW w:w="3033" w:type="dxa"/>
            <w:tcBorders>
              <w:top w:val="single" w:sz="4" w:space="0" w:color="BFBFBF" w:themeColor="background1" w:themeShade="BF"/>
              <w:bottom w:val="single" w:sz="4" w:space="0" w:color="BFBFBF" w:themeColor="background1" w:themeShade="BF"/>
            </w:tcBorders>
            <w:shd w:val="clear" w:color="auto" w:fill="1C2B39" w:themeFill="accent1"/>
            <w:vAlign w:val="center"/>
          </w:tcPr>
          <w:p w14:paraId="4FC815DE" w14:textId="77777777" w:rsidR="0000375D" w:rsidRPr="00B16E6B" w:rsidRDefault="0000375D" w:rsidP="009613E1">
            <w:pPr>
              <w:spacing w:before="60" w:after="60" w:line="271"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Cs/>
                <w:color w:val="auto"/>
                <w:sz w:val="18"/>
                <w:lang w:eastAsia="en-AU"/>
              </w:rPr>
            </w:pPr>
            <w:r w:rsidRPr="00B16E6B">
              <w:rPr>
                <w:rFonts w:cs="Arial"/>
                <w:bCs/>
                <w:sz w:val="18"/>
                <w:lang w:eastAsia="en-AU"/>
              </w:rPr>
              <w:t>Industry feedback</w:t>
            </w:r>
          </w:p>
        </w:tc>
        <w:tc>
          <w:tcPr>
            <w:tcW w:w="2242" w:type="dxa"/>
            <w:tcBorders>
              <w:top w:val="single" w:sz="4" w:space="0" w:color="BFBFBF" w:themeColor="background1" w:themeShade="BF"/>
              <w:bottom w:val="single" w:sz="4" w:space="0" w:color="BFBFBF" w:themeColor="background1" w:themeShade="BF"/>
            </w:tcBorders>
            <w:shd w:val="clear" w:color="auto" w:fill="1C2B39" w:themeFill="accent1"/>
            <w:vAlign w:val="center"/>
          </w:tcPr>
          <w:p w14:paraId="49FBBBE5" w14:textId="60AC15C8" w:rsidR="0000375D" w:rsidRPr="00B16E6B" w:rsidDel="00F5070D" w:rsidRDefault="0000375D" w:rsidP="009613E1">
            <w:pPr>
              <w:spacing w:before="60" w:after="60" w:line="271"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Cs/>
                <w:color w:val="auto"/>
                <w:sz w:val="18"/>
                <w:lang w:eastAsia="en-AU"/>
              </w:rPr>
            </w:pPr>
            <w:r w:rsidRPr="00B16E6B">
              <w:rPr>
                <w:rFonts w:cs="Arial"/>
                <w:bCs/>
                <w:sz w:val="18"/>
                <w:lang w:eastAsia="en-AU"/>
              </w:rPr>
              <w:t>Updated approach</w:t>
            </w:r>
            <w:r w:rsidR="00AA5002" w:rsidRPr="00B16E6B">
              <w:rPr>
                <w:rFonts w:cs="Arial"/>
                <w:bCs/>
                <w:sz w:val="18"/>
                <w:lang w:eastAsia="en-AU"/>
              </w:rPr>
              <w:t xml:space="preserve"> following consultation</w:t>
            </w:r>
          </w:p>
        </w:tc>
        <w:tc>
          <w:tcPr>
            <w:tcW w:w="4962" w:type="dxa"/>
            <w:tcBorders>
              <w:top w:val="single" w:sz="4" w:space="0" w:color="BFBFBF" w:themeColor="background1" w:themeShade="BF"/>
              <w:bottom w:val="single" w:sz="4" w:space="0" w:color="BFBFBF" w:themeColor="background1" w:themeShade="BF"/>
            </w:tcBorders>
            <w:shd w:val="clear" w:color="auto" w:fill="1C2B39" w:themeFill="accent1"/>
            <w:vAlign w:val="center"/>
          </w:tcPr>
          <w:p w14:paraId="59640D4B" w14:textId="77777777" w:rsidR="0000375D" w:rsidRPr="00B16E6B" w:rsidRDefault="0000375D" w:rsidP="009613E1">
            <w:pPr>
              <w:spacing w:before="60" w:after="60" w:line="271"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
                <w:bCs/>
                <w:color w:val="auto"/>
                <w:sz w:val="18"/>
                <w:lang w:eastAsia="en-AU"/>
              </w:rPr>
            </w:pPr>
            <w:r w:rsidRPr="00B16E6B">
              <w:rPr>
                <w:rFonts w:cs="Arial"/>
                <w:bCs/>
                <w:sz w:val="18"/>
                <w:lang w:eastAsia="en-AU"/>
              </w:rPr>
              <w:t>Additional considerations</w:t>
            </w:r>
          </w:p>
        </w:tc>
      </w:tr>
      <w:tr w:rsidR="0000375D" w:rsidRPr="00B16E6B" w14:paraId="30529707" w14:textId="77777777" w:rsidTr="007E1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BFBFBF" w:themeColor="background1" w:themeShade="BF"/>
              <w:bottom w:val="single" w:sz="4" w:space="0" w:color="BFBFBF" w:themeColor="background1" w:themeShade="BF"/>
            </w:tcBorders>
            <w:shd w:val="clear" w:color="auto" w:fill="FFFFFF" w:themeFill="background1"/>
          </w:tcPr>
          <w:p w14:paraId="45DA93BE" w14:textId="77777777" w:rsidR="0000375D" w:rsidRPr="00B16E6B" w:rsidRDefault="0000375D" w:rsidP="009613E1">
            <w:pPr>
              <w:spacing w:after="40" w:line="271" w:lineRule="auto"/>
              <w:rPr>
                <w:rFonts w:cs="Arial"/>
                <w:sz w:val="16"/>
                <w:szCs w:val="16"/>
              </w:rPr>
            </w:pPr>
          </w:p>
        </w:tc>
        <w:tc>
          <w:tcPr>
            <w:tcW w:w="1276" w:type="dxa"/>
            <w:tcBorders>
              <w:top w:val="single" w:sz="4" w:space="0" w:color="BFBFBF" w:themeColor="background1" w:themeShade="BF"/>
              <w:bottom w:val="single" w:sz="4" w:space="0" w:color="BFBFBF" w:themeColor="background1" w:themeShade="BF"/>
            </w:tcBorders>
            <w:shd w:val="clear" w:color="auto" w:fill="FFFFFF" w:themeFill="background1"/>
          </w:tcPr>
          <w:p w14:paraId="6D62BB5C" w14:textId="77777777" w:rsidR="0000375D" w:rsidRPr="00B16E6B" w:rsidRDefault="0000375D" w:rsidP="009613E1">
            <w:pPr>
              <w:spacing w:before="60" w:after="40" w:line="271"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General</w:t>
            </w:r>
          </w:p>
        </w:tc>
        <w:tc>
          <w:tcPr>
            <w:tcW w:w="2946" w:type="dxa"/>
            <w:tcBorders>
              <w:top w:val="single" w:sz="4" w:space="0" w:color="BFBFBF" w:themeColor="background1" w:themeShade="BF"/>
              <w:bottom w:val="single" w:sz="4" w:space="0" w:color="BFBFBF" w:themeColor="background1" w:themeShade="BF"/>
            </w:tcBorders>
            <w:shd w:val="clear" w:color="auto" w:fill="FFFFFF" w:themeFill="background1"/>
          </w:tcPr>
          <w:p w14:paraId="7FBAA25E" w14:textId="1D515152" w:rsidR="0000375D" w:rsidRPr="00B16E6B" w:rsidRDefault="0000375D" w:rsidP="009613E1">
            <w:pPr>
              <w:pStyle w:val="TableBullet"/>
              <w:numPr>
                <w:ilvl w:val="0"/>
                <w:numId w:val="0"/>
              </w:numPr>
              <w:spacing w:before="60" w:after="40" w:line="271" w:lineRule="auto"/>
              <w:ind w:left="170" w:hanging="170"/>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033" w:type="dxa"/>
            <w:tcBorders>
              <w:top w:val="single" w:sz="4" w:space="0" w:color="BFBFBF" w:themeColor="background1" w:themeShade="BF"/>
              <w:bottom w:val="single" w:sz="4" w:space="0" w:color="BFBFBF" w:themeColor="background1" w:themeShade="BF"/>
            </w:tcBorders>
            <w:shd w:val="clear" w:color="auto" w:fill="FFFFFF" w:themeFill="background1"/>
          </w:tcPr>
          <w:p w14:paraId="35F3EA5C" w14:textId="77777777" w:rsidR="0000375D" w:rsidRPr="00B16E6B" w:rsidRDefault="0000375D" w:rsidP="009613E1">
            <w:pPr>
              <w:pStyle w:val="TableBullet"/>
              <w:spacing w:before="60"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Enquired how the reforms address the outcomes of the</w:t>
            </w:r>
            <w:r w:rsidR="006B5636" w:rsidRPr="00B16E6B">
              <w:rPr>
                <w:rFonts w:cs="Arial"/>
                <w:sz w:val="16"/>
                <w:szCs w:val="16"/>
              </w:rPr>
              <w:t xml:space="preserve"> Independent Review</w:t>
            </w:r>
          </w:p>
        </w:tc>
        <w:tc>
          <w:tcPr>
            <w:tcW w:w="2242" w:type="dxa"/>
            <w:tcBorders>
              <w:top w:val="single" w:sz="4" w:space="0" w:color="BFBFBF" w:themeColor="background1" w:themeShade="BF"/>
              <w:bottom w:val="single" w:sz="4" w:space="0" w:color="BFBFBF" w:themeColor="background1" w:themeShade="BF"/>
            </w:tcBorders>
            <w:shd w:val="clear" w:color="auto" w:fill="FFFFFF" w:themeFill="background1"/>
          </w:tcPr>
          <w:p w14:paraId="697288C9" w14:textId="77777777" w:rsidR="0000375D" w:rsidRPr="00B16E6B" w:rsidRDefault="0000375D" w:rsidP="009613E1">
            <w:pPr>
              <w:pStyle w:val="TableBullet"/>
              <w:numPr>
                <w:ilvl w:val="0"/>
                <w:numId w:val="0"/>
              </w:numPr>
              <w:spacing w:before="60" w:after="40" w:line="271" w:lineRule="auto"/>
              <w:contextualSpacing w:val="0"/>
              <w:cnfStyle w:val="000000100000" w:firstRow="0" w:lastRow="0" w:firstColumn="0" w:lastColumn="0" w:oddVBand="0" w:evenVBand="0" w:oddHBand="1" w:evenHBand="0" w:firstRowFirstColumn="0" w:firstRowLastColumn="0" w:lastRowFirstColumn="0" w:lastRowLastColumn="0"/>
              <w:rPr>
                <w:rFonts w:eastAsiaTheme="minorHAnsi" w:cs="Arial"/>
                <w:sz w:val="16"/>
                <w:szCs w:val="16"/>
              </w:rPr>
            </w:pPr>
          </w:p>
        </w:tc>
        <w:tc>
          <w:tcPr>
            <w:tcW w:w="4962" w:type="dxa"/>
            <w:tcBorders>
              <w:top w:val="single" w:sz="4" w:space="0" w:color="BFBFBF" w:themeColor="background1" w:themeShade="BF"/>
              <w:bottom w:val="single" w:sz="4" w:space="0" w:color="BFBFBF" w:themeColor="background1" w:themeShade="BF"/>
            </w:tcBorders>
            <w:shd w:val="clear" w:color="auto" w:fill="FFFFFF" w:themeFill="background1"/>
          </w:tcPr>
          <w:p w14:paraId="69F67E27" w14:textId="77777777" w:rsidR="0000375D" w:rsidRPr="00B16E6B" w:rsidRDefault="0000375D" w:rsidP="00A11AF5">
            <w:pPr>
              <w:pStyle w:val="TableBullet"/>
              <w:numPr>
                <w:ilvl w:val="0"/>
                <w:numId w:val="51"/>
              </w:numPr>
              <w:spacing w:before="60" w:after="40" w:line="271" w:lineRule="auto"/>
              <w:ind w:left="192" w:hanging="192"/>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The reforms address the Independent Review holistically. The reforms are multi-faceted and comprise a legislative and regulatory reform package, and an uplift of </w:t>
            </w:r>
            <w:r w:rsidR="00487C6A" w:rsidRPr="00B16E6B">
              <w:rPr>
                <w:rFonts w:cs="Arial"/>
                <w:sz w:val="16"/>
                <w:szCs w:val="16"/>
              </w:rPr>
              <w:t>g</w:t>
            </w:r>
            <w:r w:rsidRPr="00B16E6B">
              <w:rPr>
                <w:rFonts w:cs="Arial"/>
                <w:sz w:val="16"/>
                <w:szCs w:val="16"/>
              </w:rPr>
              <w:t>overnment and industry capability and partnership</w:t>
            </w:r>
          </w:p>
        </w:tc>
      </w:tr>
      <w:tr w:rsidR="0000375D" w:rsidRPr="00B16E6B" w14:paraId="594AECA3" w14:textId="77777777" w:rsidTr="007E1C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BFBFBF" w:themeColor="background1" w:themeShade="BF"/>
              <w:bottom w:val="single" w:sz="4" w:space="0" w:color="BFBFBF" w:themeColor="background1" w:themeShade="BF"/>
            </w:tcBorders>
            <w:shd w:val="clear" w:color="auto" w:fill="FFFFFF" w:themeFill="background1"/>
          </w:tcPr>
          <w:p w14:paraId="6B78C0DB" w14:textId="77777777" w:rsidR="0000375D" w:rsidRPr="00B16E6B" w:rsidRDefault="0000375D" w:rsidP="009613E1">
            <w:pPr>
              <w:spacing w:after="40" w:line="271" w:lineRule="auto"/>
              <w:rPr>
                <w:rFonts w:cs="Arial"/>
                <w:b w:val="0"/>
                <w:sz w:val="16"/>
                <w:szCs w:val="16"/>
              </w:rPr>
            </w:pPr>
            <w:r w:rsidRPr="00B16E6B">
              <w:rPr>
                <w:rFonts w:cs="Arial"/>
                <w:sz w:val="16"/>
                <w:szCs w:val="16"/>
              </w:rPr>
              <w:t>1</w:t>
            </w:r>
          </w:p>
        </w:tc>
        <w:tc>
          <w:tcPr>
            <w:tcW w:w="1276" w:type="dxa"/>
            <w:tcBorders>
              <w:top w:val="single" w:sz="4" w:space="0" w:color="BFBFBF" w:themeColor="background1" w:themeShade="BF"/>
              <w:bottom w:val="single" w:sz="4" w:space="0" w:color="BFBFBF" w:themeColor="background1" w:themeShade="BF"/>
            </w:tcBorders>
            <w:shd w:val="clear" w:color="auto" w:fill="FFFFFF" w:themeFill="background1"/>
          </w:tcPr>
          <w:p w14:paraId="128B7F2F" w14:textId="77777777" w:rsidR="0000375D" w:rsidRPr="00B16E6B" w:rsidRDefault="0000375D" w:rsidP="009613E1">
            <w:pPr>
              <w:spacing w:after="40" w:line="271" w:lineRule="auto"/>
              <w:cnfStyle w:val="000000010000" w:firstRow="0" w:lastRow="0" w:firstColumn="0" w:lastColumn="0" w:oddVBand="0" w:evenVBand="0" w:oddHBand="0" w:evenHBand="1" w:firstRowFirstColumn="0" w:firstRowLastColumn="0" w:lastRowFirstColumn="0" w:lastRowLastColumn="0"/>
              <w:rPr>
                <w:rFonts w:eastAsia="Times New Roman" w:cs="Arial"/>
                <w:b/>
                <w:sz w:val="16"/>
                <w:szCs w:val="16"/>
                <w:lang w:eastAsia="en-AU"/>
              </w:rPr>
            </w:pPr>
            <w:r w:rsidRPr="00B16E6B">
              <w:rPr>
                <w:rFonts w:cs="Arial"/>
                <w:sz w:val="16"/>
                <w:szCs w:val="16"/>
              </w:rPr>
              <w:t>Expand the definition of unlawful interference (UI)</w:t>
            </w:r>
          </w:p>
          <w:p w14:paraId="0C9AD7AA" w14:textId="77777777" w:rsidR="0000375D" w:rsidRPr="00B16E6B" w:rsidRDefault="0000375D" w:rsidP="009613E1">
            <w:pPr>
              <w:pStyle w:val="TableBody"/>
              <w:spacing w:after="40" w:line="271" w:lineRule="auto"/>
              <w:cnfStyle w:val="000000010000" w:firstRow="0" w:lastRow="0" w:firstColumn="0" w:lastColumn="0" w:oddVBand="0" w:evenVBand="0" w:oddHBand="0" w:evenHBand="1" w:firstRowFirstColumn="0" w:firstRowLastColumn="0" w:lastRowFirstColumn="0" w:lastRowLastColumn="0"/>
              <w:rPr>
                <w:rFonts w:cs="Arial"/>
                <w:b/>
                <w:bCs/>
                <w:sz w:val="16"/>
                <w:szCs w:val="16"/>
              </w:rPr>
            </w:pPr>
          </w:p>
        </w:tc>
        <w:tc>
          <w:tcPr>
            <w:tcW w:w="2946" w:type="dxa"/>
            <w:tcBorders>
              <w:top w:val="single" w:sz="4" w:space="0" w:color="BFBFBF" w:themeColor="background1" w:themeShade="BF"/>
              <w:bottom w:val="single" w:sz="4" w:space="0" w:color="BFBFBF" w:themeColor="background1" w:themeShade="BF"/>
            </w:tcBorders>
            <w:shd w:val="clear" w:color="auto" w:fill="FFFFFF" w:themeFill="background1"/>
          </w:tcPr>
          <w:p w14:paraId="2B5040F8"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Expand the definition of UI to include a variety of acts, including cyber security incidents</w:t>
            </w:r>
          </w:p>
          <w:p w14:paraId="40D92403" w14:textId="77777777" w:rsidR="0000375D" w:rsidRPr="00B16E6B" w:rsidRDefault="0000375D" w:rsidP="009613E1">
            <w:pPr>
              <w:pStyle w:val="TableBullet"/>
              <w:spacing w:after="40" w:line="271" w:lineRule="auto"/>
              <w:contextualSpacing w:val="0"/>
              <w:jc w:val="both"/>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Introduce security incident reporting requirements for cyber security incidents and attempted acts of UI</w:t>
            </w:r>
          </w:p>
          <w:p w14:paraId="65477096"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In MTOFSA, remove ‘terrorist act’ within the security incident definition to align the reporting requirements with the expanded definition of UI and the introduction of all hazards security obligations  </w:t>
            </w:r>
          </w:p>
        </w:tc>
        <w:tc>
          <w:tcPr>
            <w:tcW w:w="3033" w:type="dxa"/>
            <w:tcBorders>
              <w:top w:val="single" w:sz="4" w:space="0" w:color="BFBFBF" w:themeColor="background1" w:themeShade="BF"/>
              <w:bottom w:val="single" w:sz="4" w:space="0" w:color="BFBFBF" w:themeColor="background1" w:themeShade="BF"/>
            </w:tcBorders>
            <w:shd w:val="clear" w:color="auto" w:fill="FFFFFF" w:themeFill="background1"/>
          </w:tcPr>
          <w:p w14:paraId="00B7211C"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General support to incorporate cyber security incidents within the definition of UI</w:t>
            </w:r>
          </w:p>
          <w:p w14:paraId="0C7DD0E5"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Further clarification sought on what will constitute an attempted act of UI and terms such as ‘assets’</w:t>
            </w:r>
          </w:p>
          <w:p w14:paraId="51C38AA1"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Concerns raised included the short timeframes for reporting, the potential duplicative reporting burden, and the difficulty with identifying and reporting cyber</w:t>
            </w:r>
            <w:r w:rsidRPr="00B16E6B">
              <w:rPr>
                <w:rFonts w:cs="Arial"/>
                <w:sz w:val="16"/>
                <w:szCs w:val="16"/>
              </w:rPr>
              <w:noBreakHyphen/>
              <w:t>related attempted acts of UI</w:t>
            </w:r>
          </w:p>
        </w:tc>
        <w:tc>
          <w:tcPr>
            <w:tcW w:w="2242" w:type="dxa"/>
            <w:tcBorders>
              <w:top w:val="single" w:sz="4" w:space="0" w:color="BFBFBF" w:themeColor="background1" w:themeShade="BF"/>
              <w:bottom w:val="single" w:sz="4" w:space="0" w:color="BFBFBF" w:themeColor="background1" w:themeShade="BF"/>
            </w:tcBorders>
            <w:shd w:val="clear" w:color="auto" w:fill="FFFFFF" w:themeFill="background1"/>
          </w:tcPr>
          <w:p w14:paraId="55AA12A0"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eastAsiaTheme="minorHAnsi" w:cs="Arial"/>
                <w:sz w:val="16"/>
                <w:szCs w:val="16"/>
              </w:rPr>
            </w:pPr>
            <w:r w:rsidRPr="00B16E6B">
              <w:rPr>
                <w:rFonts w:eastAsiaTheme="minorHAnsi" w:cs="Arial"/>
                <w:sz w:val="16"/>
                <w:szCs w:val="16"/>
              </w:rPr>
              <w:t>No longer proceeding with the requirement to report cyber-related attempted acts of UI, due to its ambiguity</w:t>
            </w:r>
          </w:p>
          <w:p w14:paraId="789954E5" w14:textId="77777777" w:rsidR="0000375D" w:rsidRPr="00B16E6B" w:rsidRDefault="0000375D" w:rsidP="009613E1">
            <w:pPr>
              <w:pStyle w:val="TableBullet"/>
              <w:numPr>
                <w:ilvl w:val="0"/>
                <w:numId w:val="0"/>
              </w:numPr>
              <w:spacing w:after="40" w:line="271" w:lineRule="auto"/>
              <w:ind w:left="170"/>
              <w:contextualSpacing w:val="0"/>
              <w:cnfStyle w:val="000000010000" w:firstRow="0" w:lastRow="0" w:firstColumn="0" w:lastColumn="0" w:oddVBand="0" w:evenVBand="0" w:oddHBand="0" w:evenHBand="1" w:firstRowFirstColumn="0" w:firstRowLastColumn="0" w:lastRowFirstColumn="0" w:lastRowLastColumn="0"/>
              <w:rPr>
                <w:rFonts w:eastAsiaTheme="minorHAnsi" w:cs="Arial"/>
                <w:sz w:val="16"/>
                <w:szCs w:val="16"/>
              </w:rPr>
            </w:pPr>
          </w:p>
        </w:tc>
        <w:tc>
          <w:tcPr>
            <w:tcW w:w="4962" w:type="dxa"/>
            <w:tcBorders>
              <w:top w:val="single" w:sz="4" w:space="0" w:color="BFBFBF" w:themeColor="background1" w:themeShade="BF"/>
              <w:bottom w:val="single" w:sz="4" w:space="0" w:color="BFBFBF" w:themeColor="background1" w:themeShade="BF"/>
            </w:tcBorders>
            <w:shd w:val="clear" w:color="auto" w:fill="FFFFFF" w:themeFill="background1"/>
          </w:tcPr>
          <w:p w14:paraId="2D5ACE0D" w14:textId="77777777" w:rsidR="0000375D" w:rsidRPr="00B16E6B" w:rsidRDefault="0000375D" w:rsidP="00A11AF5">
            <w:pPr>
              <w:pStyle w:val="TableBullet"/>
              <w:numPr>
                <w:ilvl w:val="0"/>
                <w:numId w:val="51"/>
              </w:numPr>
              <w:spacing w:after="40" w:line="271" w:lineRule="auto"/>
              <w:ind w:left="192" w:hanging="192"/>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There will be </w:t>
            </w:r>
            <w:r w:rsidRPr="00B16E6B">
              <w:rPr>
                <w:rFonts w:cs="Arial"/>
                <w:sz w:val="16"/>
                <w:szCs w:val="16"/>
                <w:u w:val="single"/>
              </w:rPr>
              <w:t>no</w:t>
            </w:r>
            <w:r w:rsidRPr="00B16E6B">
              <w:rPr>
                <w:rFonts w:cs="Arial"/>
                <w:sz w:val="16"/>
                <w:szCs w:val="16"/>
              </w:rPr>
              <w:t xml:space="preserve"> dual reporting obligations for IPs. Cyber security incidents will </w:t>
            </w:r>
            <w:r w:rsidRPr="00B16E6B">
              <w:rPr>
                <w:rFonts w:cs="Arial"/>
                <w:sz w:val="16"/>
                <w:szCs w:val="16"/>
                <w:u w:val="single"/>
              </w:rPr>
              <w:t>not</w:t>
            </w:r>
            <w:r w:rsidRPr="00B16E6B">
              <w:rPr>
                <w:rFonts w:cs="Arial"/>
                <w:sz w:val="16"/>
                <w:szCs w:val="16"/>
              </w:rPr>
              <w:t xml:space="preserve"> need to be reported by IPs under both the </w:t>
            </w:r>
            <w:r w:rsidR="006B5636" w:rsidRPr="00B16E6B">
              <w:rPr>
                <w:rFonts w:cs="Arial"/>
                <w:sz w:val="16"/>
                <w:szCs w:val="16"/>
              </w:rPr>
              <w:t>SOCI Act</w:t>
            </w:r>
            <w:r w:rsidRPr="00B16E6B">
              <w:rPr>
                <w:rFonts w:cs="Arial"/>
                <w:sz w:val="16"/>
                <w:szCs w:val="16"/>
              </w:rPr>
              <w:t xml:space="preserve"> and the ATSA/MTOFSA</w:t>
            </w:r>
          </w:p>
          <w:p w14:paraId="0F9FA21E"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The </w:t>
            </w:r>
            <w:r w:rsidR="00487C6A" w:rsidRPr="00B16E6B">
              <w:rPr>
                <w:rFonts w:cs="Arial"/>
                <w:sz w:val="16"/>
                <w:szCs w:val="16"/>
              </w:rPr>
              <w:t>government</w:t>
            </w:r>
            <w:r w:rsidRPr="00B16E6B">
              <w:rPr>
                <w:rFonts w:cs="Arial"/>
                <w:sz w:val="16"/>
                <w:szCs w:val="16"/>
              </w:rPr>
              <w:t xml:space="preserve"> is developing a single cyber incident reporting portal that will aim to reduce administrative burden when reporting incidents</w:t>
            </w:r>
          </w:p>
          <w:p w14:paraId="7A1B00C2"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We will provide guidance on the new requirements, including on: </w:t>
            </w:r>
          </w:p>
          <w:p w14:paraId="78F90497" w14:textId="77777777" w:rsidR="0000375D" w:rsidRPr="00B16E6B" w:rsidRDefault="0000375D" w:rsidP="00A11AF5">
            <w:pPr>
              <w:pStyle w:val="TableBullet2"/>
              <w:numPr>
                <w:ilvl w:val="0"/>
                <w:numId w:val="52"/>
              </w:numPr>
              <w:spacing w:before="60" w:after="60" w:line="271" w:lineRule="auto"/>
              <w:ind w:left="612" w:hanging="357"/>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attempted acts of UI</w:t>
            </w:r>
          </w:p>
          <w:p w14:paraId="04320746" w14:textId="77777777" w:rsidR="0000375D" w:rsidRPr="00B16E6B" w:rsidRDefault="0000375D" w:rsidP="00A11AF5">
            <w:pPr>
              <w:pStyle w:val="TableBullet2"/>
              <w:numPr>
                <w:ilvl w:val="0"/>
                <w:numId w:val="52"/>
              </w:numPr>
              <w:spacing w:before="60" w:after="60" w:line="271" w:lineRule="auto"/>
              <w:ind w:left="612" w:hanging="357"/>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scope of cyber incident reporting, including for international incidents</w:t>
            </w:r>
          </w:p>
          <w:p w14:paraId="0E4DC9FF" w14:textId="77777777" w:rsidR="0000375D" w:rsidRPr="00B16E6B" w:rsidRDefault="0000375D" w:rsidP="00A11AF5">
            <w:pPr>
              <w:pStyle w:val="TableBullet2"/>
              <w:numPr>
                <w:ilvl w:val="0"/>
                <w:numId w:val="52"/>
              </w:numPr>
              <w:spacing w:before="60" w:after="60" w:line="271" w:lineRule="auto"/>
              <w:ind w:left="612" w:hanging="357"/>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definitions such as an ‘asset’ and ‘relevant impact’ </w:t>
            </w:r>
          </w:p>
        </w:tc>
      </w:tr>
      <w:tr w:rsidR="0000375D" w:rsidRPr="00B16E6B" w14:paraId="2C61B680" w14:textId="77777777" w:rsidTr="00003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BFBFBF" w:themeColor="background1" w:themeShade="BF"/>
              <w:bottom w:val="single" w:sz="4" w:space="0" w:color="BFBFBF" w:themeColor="background1" w:themeShade="BF"/>
            </w:tcBorders>
            <w:shd w:val="clear" w:color="auto" w:fill="FFFFFF" w:themeFill="background1"/>
          </w:tcPr>
          <w:p w14:paraId="2A65217A" w14:textId="77777777" w:rsidR="0000375D" w:rsidRPr="00B16E6B" w:rsidRDefault="0000375D" w:rsidP="009613E1">
            <w:pPr>
              <w:pStyle w:val="TableBody"/>
              <w:spacing w:after="40" w:line="271" w:lineRule="auto"/>
              <w:rPr>
                <w:rFonts w:cs="Arial"/>
                <w:b w:val="0"/>
                <w:sz w:val="16"/>
                <w:szCs w:val="16"/>
              </w:rPr>
            </w:pPr>
            <w:r w:rsidRPr="00B16E6B">
              <w:rPr>
                <w:rFonts w:cs="Arial"/>
                <w:sz w:val="16"/>
                <w:szCs w:val="16"/>
              </w:rPr>
              <w:t>2</w:t>
            </w:r>
          </w:p>
        </w:tc>
        <w:tc>
          <w:tcPr>
            <w:tcW w:w="1276" w:type="dxa"/>
            <w:tcBorders>
              <w:top w:val="single" w:sz="4" w:space="0" w:color="BFBFBF" w:themeColor="background1" w:themeShade="BF"/>
              <w:bottom w:val="single" w:sz="4" w:space="0" w:color="BFBFBF" w:themeColor="background1" w:themeShade="BF"/>
            </w:tcBorders>
            <w:shd w:val="clear" w:color="auto" w:fill="FFFFFF" w:themeFill="background1"/>
          </w:tcPr>
          <w:p w14:paraId="04C20D41" w14:textId="77777777" w:rsidR="0000375D" w:rsidRPr="00B16E6B" w:rsidRDefault="0000375D" w:rsidP="009613E1">
            <w:pPr>
              <w:pStyle w:val="TableBody"/>
              <w:spacing w:after="40" w:line="271" w:lineRule="auto"/>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B16E6B">
              <w:rPr>
                <w:rFonts w:cs="Arial"/>
                <w:sz w:val="16"/>
                <w:szCs w:val="16"/>
              </w:rPr>
              <w:t>All hazards security framework</w:t>
            </w:r>
          </w:p>
        </w:tc>
        <w:tc>
          <w:tcPr>
            <w:tcW w:w="2946" w:type="dxa"/>
            <w:tcBorders>
              <w:top w:val="single" w:sz="4" w:space="0" w:color="BFBFBF" w:themeColor="background1" w:themeShade="BF"/>
              <w:bottom w:val="single" w:sz="4" w:space="0" w:color="BFBFBF" w:themeColor="background1" w:themeShade="BF"/>
            </w:tcBorders>
            <w:shd w:val="clear" w:color="auto" w:fill="FFFFFF" w:themeFill="background1"/>
          </w:tcPr>
          <w:p w14:paraId="2383387A"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Introduce all hazard s</w:t>
            </w:r>
            <w:r w:rsidR="006B5636" w:rsidRPr="00B16E6B">
              <w:rPr>
                <w:rFonts w:cs="Arial"/>
                <w:sz w:val="16"/>
                <w:szCs w:val="16"/>
              </w:rPr>
              <w:t>ecurity obligations requiring industry participants</w:t>
            </w:r>
            <w:r w:rsidRPr="00B16E6B">
              <w:rPr>
                <w:rFonts w:cs="Arial"/>
                <w:sz w:val="16"/>
                <w:szCs w:val="16"/>
              </w:rPr>
              <w:t xml:space="preserve"> to manage risks associated with physical and personnel threats, cyber incidents, supply chain disruptions and natural hazards</w:t>
            </w:r>
          </w:p>
          <w:p w14:paraId="7C1A6D32"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Introduce/expand the requirement to submit an all hazards risk assessment, iden</w:t>
            </w:r>
            <w:r w:rsidR="006B5636" w:rsidRPr="00B16E6B">
              <w:rPr>
                <w:rFonts w:cs="Arial"/>
                <w:sz w:val="16"/>
                <w:szCs w:val="16"/>
              </w:rPr>
              <w:t>tifying risks relevant to the industry participant’</w:t>
            </w:r>
            <w:r w:rsidRPr="00B16E6B">
              <w:rPr>
                <w:rFonts w:cs="Arial"/>
                <w:sz w:val="16"/>
                <w:szCs w:val="16"/>
              </w:rPr>
              <w:t>s threat and operating environment and appropriate mitigation measures, alongsi</w:t>
            </w:r>
            <w:r w:rsidR="006B5636" w:rsidRPr="00B16E6B">
              <w:rPr>
                <w:rFonts w:cs="Arial"/>
                <w:sz w:val="16"/>
                <w:szCs w:val="16"/>
              </w:rPr>
              <w:t>de an industry participant’s security program</w:t>
            </w:r>
          </w:p>
          <w:p w14:paraId="1CDBFEF1"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Require yearly, at a minimum, an </w:t>
            </w:r>
            <w:r w:rsidR="006B5636" w:rsidRPr="00B16E6B">
              <w:rPr>
                <w:rFonts w:cs="Arial"/>
                <w:sz w:val="16"/>
                <w:szCs w:val="16"/>
              </w:rPr>
              <w:t>industry participant</w:t>
            </w:r>
            <w:r w:rsidRPr="00B16E6B">
              <w:rPr>
                <w:rFonts w:cs="Arial"/>
                <w:sz w:val="16"/>
                <w:szCs w:val="16"/>
              </w:rPr>
              <w:t xml:space="preserve">’s board or governing body to attest the </w:t>
            </w:r>
            <w:r w:rsidRPr="00B16E6B">
              <w:rPr>
                <w:rFonts w:cs="Arial"/>
                <w:sz w:val="16"/>
                <w:szCs w:val="16"/>
              </w:rPr>
              <w:lastRenderedPageBreak/>
              <w:t>mitigation measures address the identified risks, meet legislative requirements and is within the board or governing body’s agreed risk tolerance</w:t>
            </w:r>
          </w:p>
        </w:tc>
        <w:tc>
          <w:tcPr>
            <w:tcW w:w="3033" w:type="dxa"/>
            <w:tcBorders>
              <w:top w:val="single" w:sz="4" w:space="0" w:color="BFBFBF" w:themeColor="background1" w:themeShade="BF"/>
              <w:bottom w:val="single" w:sz="4" w:space="0" w:color="BFBFBF" w:themeColor="background1" w:themeShade="BF"/>
            </w:tcBorders>
            <w:shd w:val="clear" w:color="auto" w:fill="FFFFFF" w:themeFill="background1"/>
          </w:tcPr>
          <w:p w14:paraId="3ED02D0E"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lastRenderedPageBreak/>
              <w:t>General support. Note it would be resource intensive, may be duplicative to obligations under other legislative frameworks, and asked for comprehensive guidance to support implementation</w:t>
            </w:r>
          </w:p>
          <w:p w14:paraId="535D5331"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The requirement to provide an attestation more frequent than annually may be overly onerous </w:t>
            </w:r>
          </w:p>
          <w:p w14:paraId="3E4D683A"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More information sharing, including transport sector</w:t>
            </w:r>
            <w:r w:rsidRPr="00B16E6B">
              <w:rPr>
                <w:rFonts w:cs="Arial"/>
                <w:sz w:val="16"/>
                <w:szCs w:val="16"/>
              </w:rPr>
              <w:noBreakHyphen/>
              <w:t>specific risk and threat information, would be required to support the transition to the new all hazards security framework</w:t>
            </w:r>
          </w:p>
          <w:p w14:paraId="3AA4425A" w14:textId="77777777" w:rsidR="0000375D" w:rsidRPr="00B16E6B" w:rsidRDefault="0000375D" w:rsidP="009613E1">
            <w:pPr>
              <w:spacing w:line="271"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2242" w:type="dxa"/>
            <w:tcBorders>
              <w:top w:val="single" w:sz="4" w:space="0" w:color="BFBFBF" w:themeColor="background1" w:themeShade="BF"/>
              <w:bottom w:val="single" w:sz="4" w:space="0" w:color="BFBFBF" w:themeColor="background1" w:themeShade="BF"/>
            </w:tcBorders>
            <w:shd w:val="clear" w:color="auto" w:fill="FFFFFF" w:themeFill="background1"/>
          </w:tcPr>
          <w:p w14:paraId="4A9242E6"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Proceeding with initial approach </w:t>
            </w:r>
          </w:p>
          <w:p w14:paraId="681D40FA" w14:textId="77777777" w:rsidR="0000375D" w:rsidRPr="00B16E6B" w:rsidRDefault="0000375D" w:rsidP="009613E1">
            <w:pPr>
              <w:spacing w:line="271"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p w14:paraId="4552A557" w14:textId="77777777" w:rsidR="0000375D" w:rsidRPr="00B16E6B" w:rsidRDefault="0000375D" w:rsidP="009613E1">
            <w:pPr>
              <w:spacing w:line="271"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p w14:paraId="0E9DD160" w14:textId="77777777" w:rsidR="0000375D" w:rsidRPr="00B16E6B" w:rsidRDefault="0000375D" w:rsidP="009613E1">
            <w:pPr>
              <w:spacing w:line="271"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p w14:paraId="57761063" w14:textId="77777777" w:rsidR="0000375D" w:rsidRPr="00B16E6B" w:rsidRDefault="0000375D" w:rsidP="009613E1">
            <w:pPr>
              <w:spacing w:line="271"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p>
          <w:p w14:paraId="675F8EDD" w14:textId="77777777" w:rsidR="0000375D" w:rsidRPr="00B16E6B" w:rsidRDefault="0000375D" w:rsidP="009613E1">
            <w:pPr>
              <w:spacing w:line="271"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p>
          <w:p w14:paraId="57F89983" w14:textId="77777777" w:rsidR="0000375D" w:rsidRPr="00B16E6B" w:rsidRDefault="0000375D" w:rsidP="009613E1">
            <w:pPr>
              <w:spacing w:line="271"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4962" w:type="dxa"/>
            <w:tcBorders>
              <w:top w:val="single" w:sz="4" w:space="0" w:color="BFBFBF" w:themeColor="background1" w:themeShade="BF"/>
              <w:bottom w:val="single" w:sz="4" w:space="0" w:color="BFBFBF" w:themeColor="background1" w:themeShade="BF"/>
            </w:tcBorders>
            <w:shd w:val="clear" w:color="auto" w:fill="FFFFFF" w:themeFill="background1"/>
          </w:tcPr>
          <w:p w14:paraId="77261FA3"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We are consulting internally on the best approach to sharing risk and threat information with industry</w:t>
            </w:r>
          </w:p>
          <w:p w14:paraId="0C98A362"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We will provide guidance on the new requirements, including: </w:t>
            </w:r>
          </w:p>
          <w:p w14:paraId="56C0A11F" w14:textId="77777777" w:rsidR="0000375D" w:rsidRPr="00B16E6B" w:rsidRDefault="0000375D" w:rsidP="00A11AF5">
            <w:pPr>
              <w:pStyle w:val="TableBullet"/>
              <w:numPr>
                <w:ilvl w:val="0"/>
                <w:numId w:val="53"/>
              </w:numPr>
              <w:spacing w:before="60" w:after="40" w:line="271" w:lineRule="auto"/>
              <w:ind w:left="623" w:hanging="357"/>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addressing duplicative obligations under other legislative frameworks </w:t>
            </w:r>
          </w:p>
          <w:p w14:paraId="36F1F6C8" w14:textId="77777777" w:rsidR="0000375D" w:rsidRPr="00B16E6B" w:rsidRDefault="0000375D" w:rsidP="00A11AF5">
            <w:pPr>
              <w:pStyle w:val="TableBullet"/>
              <w:numPr>
                <w:ilvl w:val="0"/>
                <w:numId w:val="53"/>
              </w:numPr>
              <w:spacing w:before="60" w:after="40" w:line="271" w:lineRule="auto"/>
              <w:ind w:left="623" w:hanging="357"/>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on the risk assessment, including the scope of risks that may be considered, and where supporting documentation can be relied on</w:t>
            </w:r>
          </w:p>
          <w:p w14:paraId="7B952C4C" w14:textId="77777777" w:rsidR="0000375D" w:rsidRPr="00B16E6B" w:rsidRDefault="0000375D" w:rsidP="00A11AF5">
            <w:pPr>
              <w:pStyle w:val="TableBullet"/>
              <w:numPr>
                <w:ilvl w:val="0"/>
                <w:numId w:val="53"/>
              </w:numPr>
              <w:spacing w:before="60" w:after="40" w:line="271" w:lineRule="auto"/>
              <w:ind w:left="623" w:hanging="357"/>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the attestation</w:t>
            </w:r>
          </w:p>
          <w:p w14:paraId="24D1510E" w14:textId="77777777" w:rsidR="0000375D" w:rsidRPr="00B16E6B" w:rsidRDefault="0000375D" w:rsidP="00A11AF5">
            <w:pPr>
              <w:pStyle w:val="TableBullet"/>
              <w:numPr>
                <w:ilvl w:val="0"/>
                <w:numId w:val="53"/>
              </w:numPr>
              <w:spacing w:before="60" w:after="40" w:line="271" w:lineRule="auto"/>
              <w:ind w:left="623" w:hanging="357"/>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the scope of the supply chain security obligations </w:t>
            </w:r>
          </w:p>
          <w:p w14:paraId="0D1F39DD" w14:textId="77777777" w:rsidR="0000375D" w:rsidRPr="00B16E6B" w:rsidRDefault="0000375D" w:rsidP="00A11AF5">
            <w:pPr>
              <w:pStyle w:val="TableBullet"/>
              <w:numPr>
                <w:ilvl w:val="0"/>
                <w:numId w:val="53"/>
              </w:numPr>
              <w:spacing w:before="60" w:after="40" w:line="271" w:lineRule="auto"/>
              <w:ind w:left="623" w:hanging="357"/>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the assessment process for the new obligations, including if you hold a </w:t>
            </w:r>
            <w:r w:rsidR="006B5636" w:rsidRPr="00B16E6B">
              <w:rPr>
                <w:rFonts w:cs="Arial"/>
                <w:sz w:val="16"/>
                <w:szCs w:val="16"/>
              </w:rPr>
              <w:t xml:space="preserve">CIRMP </w:t>
            </w:r>
            <w:r w:rsidRPr="00B16E6B">
              <w:rPr>
                <w:rFonts w:cs="Arial"/>
                <w:sz w:val="16"/>
                <w:szCs w:val="16"/>
              </w:rPr>
              <w:t>under the SOCI Act</w:t>
            </w:r>
            <w:r w:rsidRPr="00B16E6B" w:rsidDel="00DF4278">
              <w:rPr>
                <w:rFonts w:cs="Arial"/>
                <w:sz w:val="16"/>
                <w:szCs w:val="16"/>
              </w:rPr>
              <w:t xml:space="preserve"> </w:t>
            </w:r>
          </w:p>
          <w:p w14:paraId="01FB9A79" w14:textId="77777777" w:rsidR="0000375D" w:rsidRPr="00B16E6B" w:rsidRDefault="0000375D" w:rsidP="00A11AF5">
            <w:pPr>
              <w:pStyle w:val="TableBullet"/>
              <w:numPr>
                <w:ilvl w:val="0"/>
                <w:numId w:val="53"/>
              </w:numPr>
              <w:spacing w:before="60" w:after="40" w:line="271" w:lineRule="auto"/>
              <w:ind w:left="623" w:hanging="357"/>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on implementation </w:t>
            </w:r>
          </w:p>
        </w:tc>
      </w:tr>
      <w:tr w:rsidR="0000375D" w:rsidRPr="00B16E6B" w14:paraId="5EB24BC8" w14:textId="77777777" w:rsidTr="0000375D">
        <w:trPr>
          <w:cnfStyle w:val="000000010000" w:firstRow="0" w:lastRow="0" w:firstColumn="0" w:lastColumn="0" w:oddVBand="0" w:evenVBand="0" w:oddHBand="0" w:evenHBand="1" w:firstRowFirstColumn="0" w:firstRowLastColumn="0" w:lastRowFirstColumn="0" w:lastRowLastColumn="0"/>
          <w:trHeight w:val="367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BFBFBF" w:themeColor="background1" w:themeShade="BF"/>
              <w:bottom w:val="single" w:sz="4" w:space="0" w:color="BFBFBF" w:themeColor="background1" w:themeShade="BF"/>
            </w:tcBorders>
            <w:shd w:val="clear" w:color="auto" w:fill="FFFFFF" w:themeFill="background1"/>
          </w:tcPr>
          <w:p w14:paraId="3BA31C3A" w14:textId="77777777" w:rsidR="0000375D" w:rsidRPr="00B16E6B" w:rsidRDefault="006B5636" w:rsidP="009613E1">
            <w:pPr>
              <w:pStyle w:val="TableNumber"/>
              <w:numPr>
                <w:ilvl w:val="0"/>
                <w:numId w:val="0"/>
              </w:numPr>
              <w:spacing w:after="40" w:line="271" w:lineRule="auto"/>
              <w:contextualSpacing w:val="0"/>
              <w:rPr>
                <w:rFonts w:cs="Arial"/>
                <w:b w:val="0"/>
                <w:sz w:val="16"/>
                <w:szCs w:val="16"/>
              </w:rPr>
            </w:pPr>
            <w:r w:rsidRPr="00B16E6B">
              <w:rPr>
                <w:rFonts w:cs="Arial"/>
                <w:sz w:val="16"/>
                <w:szCs w:val="16"/>
              </w:rPr>
              <w:t xml:space="preserve"> </w:t>
            </w:r>
            <w:r w:rsidR="0000375D" w:rsidRPr="00B16E6B">
              <w:rPr>
                <w:rFonts w:cs="Arial"/>
                <w:sz w:val="16"/>
                <w:szCs w:val="16"/>
              </w:rPr>
              <w:t>3</w:t>
            </w:r>
          </w:p>
        </w:tc>
        <w:tc>
          <w:tcPr>
            <w:tcW w:w="1276" w:type="dxa"/>
            <w:tcBorders>
              <w:top w:val="single" w:sz="4" w:space="0" w:color="BFBFBF" w:themeColor="background1" w:themeShade="BF"/>
              <w:bottom w:val="single" w:sz="4" w:space="0" w:color="BFBFBF" w:themeColor="background1" w:themeShade="BF"/>
            </w:tcBorders>
            <w:shd w:val="clear" w:color="auto" w:fill="FFFFFF" w:themeFill="background1"/>
          </w:tcPr>
          <w:p w14:paraId="7B7EB1BC" w14:textId="77777777" w:rsidR="0000375D" w:rsidRPr="00B16E6B" w:rsidRDefault="006B5636" w:rsidP="009613E1">
            <w:pPr>
              <w:pStyle w:val="TableNumber"/>
              <w:numPr>
                <w:ilvl w:val="0"/>
                <w:numId w:val="0"/>
              </w:numPr>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bCs/>
                <w:sz w:val="16"/>
                <w:szCs w:val="16"/>
              </w:rPr>
            </w:pPr>
            <w:r w:rsidRPr="00B16E6B">
              <w:rPr>
                <w:rFonts w:cs="Arial"/>
                <w:sz w:val="16"/>
                <w:szCs w:val="16"/>
              </w:rPr>
              <w:t>SCA</w:t>
            </w:r>
          </w:p>
        </w:tc>
        <w:tc>
          <w:tcPr>
            <w:tcW w:w="2946" w:type="dxa"/>
            <w:tcBorders>
              <w:top w:val="single" w:sz="4" w:space="0" w:color="BFBFBF" w:themeColor="background1" w:themeShade="BF"/>
              <w:bottom w:val="single" w:sz="4" w:space="0" w:color="BFBFBF" w:themeColor="background1" w:themeShade="BF"/>
            </w:tcBorders>
            <w:shd w:val="clear" w:color="auto" w:fill="FFFFFF" w:themeFill="background1"/>
          </w:tcPr>
          <w:p w14:paraId="4675833D"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Identify SCAs through a risk assessment and implement appropriate mitigation measures to manage risks associated with personnel undertaking SCAs </w:t>
            </w:r>
          </w:p>
          <w:p w14:paraId="2538A470"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Mitigation measures for SCAs may include requiring relevant personnel to hold an aviation and maritime security identification card (ASICs/MSICs), or implementing processes or procedures to ensure the security of relevant areas, information and systems</w:t>
            </w:r>
          </w:p>
          <w:p w14:paraId="09091809" w14:textId="77777777" w:rsidR="0000375D" w:rsidRPr="00B16E6B" w:rsidRDefault="0000375D" w:rsidP="009613E1">
            <w:pPr>
              <w:pStyle w:val="TableBullet"/>
              <w:spacing w:after="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For international-based personnel or third party suppliers, an </w:t>
            </w:r>
            <w:r w:rsidR="006B5636" w:rsidRPr="00B16E6B">
              <w:rPr>
                <w:rFonts w:cs="Arial"/>
                <w:sz w:val="16"/>
                <w:szCs w:val="16"/>
              </w:rPr>
              <w:t>industry participant</w:t>
            </w:r>
            <w:r w:rsidRPr="00B16E6B">
              <w:rPr>
                <w:rFonts w:cs="Arial"/>
                <w:sz w:val="16"/>
                <w:szCs w:val="16"/>
              </w:rPr>
              <w:t xml:space="preserve"> will be required to attest the personnel or entity it has engaged aligns with its legislative obligations and meets desired security outcomes</w:t>
            </w:r>
          </w:p>
        </w:tc>
        <w:tc>
          <w:tcPr>
            <w:tcW w:w="3033" w:type="dxa"/>
            <w:tcBorders>
              <w:top w:val="single" w:sz="4" w:space="0" w:color="BFBFBF" w:themeColor="background1" w:themeShade="BF"/>
              <w:bottom w:val="single" w:sz="4" w:space="0" w:color="BFBFBF" w:themeColor="background1" w:themeShade="BF"/>
            </w:tcBorders>
            <w:shd w:val="clear" w:color="auto" w:fill="FFFFFF" w:themeFill="background1"/>
          </w:tcPr>
          <w:p w14:paraId="3CEBBF5A"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General support with guidance sought on how to define SCAs</w:t>
            </w:r>
          </w:p>
          <w:p w14:paraId="3B18AE5F"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Lack of clarity on the voluntary/risk based nature of subjecting employees undertaking SCAs to ASIC/MSICs, with further guidance sought on alternative mitigation measures that could be implemented</w:t>
            </w:r>
          </w:p>
          <w:p w14:paraId="3CE641B6"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Concerns over increased costs and delays for obtaining ASICs/MSICs and the further pressure that may place on AusCheck as the single issuing body </w:t>
            </w:r>
          </w:p>
        </w:tc>
        <w:tc>
          <w:tcPr>
            <w:tcW w:w="2242" w:type="dxa"/>
            <w:tcBorders>
              <w:top w:val="single" w:sz="4" w:space="0" w:color="BFBFBF" w:themeColor="background1" w:themeShade="BF"/>
              <w:bottom w:val="single" w:sz="4" w:space="0" w:color="BFBFBF" w:themeColor="background1" w:themeShade="BF"/>
            </w:tcBorders>
            <w:shd w:val="clear" w:color="auto" w:fill="FFFFFF" w:themeFill="background1"/>
          </w:tcPr>
          <w:p w14:paraId="6873BCBB" w14:textId="77777777" w:rsidR="0000375D" w:rsidRPr="00B16E6B" w:rsidDel="004833B8"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Proceeding with initial approach</w:t>
            </w:r>
          </w:p>
        </w:tc>
        <w:tc>
          <w:tcPr>
            <w:tcW w:w="4962" w:type="dxa"/>
            <w:tcBorders>
              <w:top w:val="single" w:sz="4" w:space="0" w:color="BFBFBF" w:themeColor="background1" w:themeShade="BF"/>
              <w:bottom w:val="single" w:sz="4" w:space="0" w:color="BFBFBF" w:themeColor="background1" w:themeShade="BF"/>
            </w:tcBorders>
            <w:shd w:val="clear" w:color="auto" w:fill="FFFFFF" w:themeFill="background1"/>
          </w:tcPr>
          <w:p w14:paraId="3B1C3510" w14:textId="77777777" w:rsidR="0000375D" w:rsidRPr="00B16E6B" w:rsidRDefault="0000375D" w:rsidP="009613E1">
            <w:pPr>
              <w:pStyle w:val="TableBullet"/>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In February 2024, following targeted</w:t>
            </w:r>
            <w:r w:rsidR="006B5636" w:rsidRPr="00B16E6B">
              <w:rPr>
                <w:rFonts w:cs="Arial"/>
                <w:sz w:val="16"/>
                <w:szCs w:val="16"/>
              </w:rPr>
              <w:t xml:space="preserve"> high-level consultation with industry participant</w:t>
            </w:r>
            <w:r w:rsidRPr="00B16E6B">
              <w:rPr>
                <w:rFonts w:cs="Arial"/>
                <w:sz w:val="16"/>
                <w:szCs w:val="16"/>
              </w:rPr>
              <w:t>s, we changed the approach from p</w:t>
            </w:r>
            <w:r w:rsidR="006B5636" w:rsidRPr="00B16E6B">
              <w:rPr>
                <w:rFonts w:cs="Arial"/>
                <w:sz w:val="16"/>
                <w:szCs w:val="16"/>
              </w:rPr>
              <w:t>rescribing SCAs, to requiring industry participant</w:t>
            </w:r>
            <w:r w:rsidRPr="00B16E6B">
              <w:rPr>
                <w:rFonts w:cs="Arial"/>
                <w:sz w:val="16"/>
                <w:szCs w:val="16"/>
              </w:rPr>
              <w:t>s to self-identify SCAs through a risk assessment, and implementing appropriate mitigation measures to manage risks associated with personnel undertaking SCAs</w:t>
            </w:r>
          </w:p>
          <w:p w14:paraId="442C8C91" w14:textId="77777777" w:rsidR="0000375D" w:rsidRPr="00B16E6B" w:rsidRDefault="0000375D" w:rsidP="009613E1">
            <w:pPr>
              <w:pStyle w:val="TableBullet"/>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The </w:t>
            </w:r>
            <w:r w:rsidR="006B5636" w:rsidRPr="00B16E6B">
              <w:rPr>
                <w:rFonts w:cs="Arial"/>
                <w:sz w:val="16"/>
                <w:szCs w:val="16"/>
              </w:rPr>
              <w:t>CISC</w:t>
            </w:r>
            <w:r w:rsidRPr="00B16E6B">
              <w:rPr>
                <w:rFonts w:cs="Arial"/>
                <w:sz w:val="16"/>
                <w:szCs w:val="16"/>
              </w:rPr>
              <w:t xml:space="preserve"> intends to engage closely with impacted industry stakeholders to anticipate and plan for increased volume demand and mitigate any potential delays to ASIC-MSIC background checking processing times for applicant cohorts</w:t>
            </w:r>
          </w:p>
          <w:p w14:paraId="7C1963C6"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We will provide guidance on the new requirements, including: </w:t>
            </w:r>
          </w:p>
          <w:p w14:paraId="75159F9C" w14:textId="77777777" w:rsidR="0000375D" w:rsidRPr="00B16E6B" w:rsidRDefault="0000375D" w:rsidP="00A11AF5">
            <w:pPr>
              <w:pStyle w:val="TableBullet"/>
              <w:numPr>
                <w:ilvl w:val="0"/>
                <w:numId w:val="53"/>
              </w:numPr>
              <w:spacing w:before="60" w:after="40" w:line="271" w:lineRule="auto"/>
              <w:ind w:left="623" w:hanging="357"/>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the types of activities that may be considered an SCA </w:t>
            </w:r>
          </w:p>
          <w:p w14:paraId="5999071A" w14:textId="77777777" w:rsidR="0000375D" w:rsidRPr="00B16E6B" w:rsidRDefault="0000375D" w:rsidP="00A11AF5">
            <w:pPr>
              <w:pStyle w:val="TableBullet"/>
              <w:numPr>
                <w:ilvl w:val="0"/>
                <w:numId w:val="53"/>
              </w:numPr>
              <w:spacing w:before="60" w:after="40" w:line="271" w:lineRule="auto"/>
              <w:ind w:left="623" w:hanging="357"/>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mitigation measure options </w:t>
            </w:r>
          </w:p>
        </w:tc>
      </w:tr>
      <w:tr w:rsidR="0000375D" w:rsidRPr="00B16E6B" w14:paraId="7D8739C1" w14:textId="77777777" w:rsidTr="0000375D">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BFBFBF" w:themeColor="background1" w:themeShade="BF"/>
              <w:bottom w:val="single" w:sz="4" w:space="0" w:color="BFBFBF" w:themeColor="background1" w:themeShade="BF"/>
            </w:tcBorders>
            <w:shd w:val="clear" w:color="auto" w:fill="FFFFFF" w:themeFill="background1"/>
          </w:tcPr>
          <w:p w14:paraId="7912219A" w14:textId="77777777" w:rsidR="0000375D" w:rsidRPr="00B16E6B" w:rsidRDefault="0000375D" w:rsidP="009613E1">
            <w:pPr>
              <w:pStyle w:val="TableNumber"/>
              <w:numPr>
                <w:ilvl w:val="0"/>
                <w:numId w:val="0"/>
              </w:numPr>
              <w:spacing w:after="40" w:line="271" w:lineRule="auto"/>
              <w:contextualSpacing w:val="0"/>
              <w:rPr>
                <w:rFonts w:cs="Arial"/>
                <w:b w:val="0"/>
                <w:sz w:val="16"/>
                <w:szCs w:val="16"/>
              </w:rPr>
            </w:pPr>
            <w:r w:rsidRPr="00B16E6B">
              <w:rPr>
                <w:rFonts w:cs="Arial"/>
                <w:sz w:val="16"/>
                <w:szCs w:val="16"/>
              </w:rPr>
              <w:t>4</w:t>
            </w:r>
          </w:p>
        </w:tc>
        <w:tc>
          <w:tcPr>
            <w:tcW w:w="1276" w:type="dxa"/>
            <w:tcBorders>
              <w:top w:val="single" w:sz="4" w:space="0" w:color="BFBFBF" w:themeColor="background1" w:themeShade="BF"/>
              <w:bottom w:val="single" w:sz="4" w:space="0" w:color="BFBFBF" w:themeColor="background1" w:themeShade="BF"/>
            </w:tcBorders>
            <w:shd w:val="clear" w:color="auto" w:fill="FFFFFF" w:themeFill="background1"/>
          </w:tcPr>
          <w:p w14:paraId="47A00B01" w14:textId="77777777" w:rsidR="0000375D" w:rsidRPr="00B16E6B" w:rsidRDefault="0000375D" w:rsidP="009613E1">
            <w:pPr>
              <w:pStyle w:val="TableNumber"/>
              <w:numPr>
                <w:ilvl w:val="0"/>
                <w:numId w:val="0"/>
              </w:numPr>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B16E6B">
              <w:rPr>
                <w:rFonts w:cs="Arial"/>
                <w:sz w:val="16"/>
                <w:szCs w:val="16"/>
              </w:rPr>
              <w:t>Amend the definition of ‘test weapon’</w:t>
            </w:r>
          </w:p>
        </w:tc>
        <w:tc>
          <w:tcPr>
            <w:tcW w:w="2946" w:type="dxa"/>
            <w:tcBorders>
              <w:top w:val="single" w:sz="4" w:space="0" w:color="BFBFBF" w:themeColor="background1" w:themeShade="BF"/>
              <w:bottom w:val="single" w:sz="4" w:space="0" w:color="BFBFBF" w:themeColor="background1" w:themeShade="BF"/>
            </w:tcBorders>
            <w:shd w:val="clear" w:color="auto" w:fill="FFFFFF" w:themeFill="background1"/>
          </w:tcPr>
          <w:p w14:paraId="61D2FB28"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Amend the definition of test weapon to align with likely threat scenarios:</w:t>
            </w:r>
          </w:p>
          <w:p w14:paraId="75FA068B" w14:textId="77777777" w:rsidR="0000375D" w:rsidRPr="00B16E6B" w:rsidRDefault="0000375D" w:rsidP="009613E1">
            <w:pPr>
              <w:pStyle w:val="TableBullet"/>
              <w:numPr>
                <w:ilvl w:val="0"/>
                <w:numId w:val="0"/>
              </w:numPr>
              <w:spacing w:after="40" w:line="271" w:lineRule="auto"/>
              <w:ind w:left="170"/>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‘an item, including a weapon, which either by design or through modification, is incapable of operating as a functional weapon’</w:t>
            </w:r>
          </w:p>
        </w:tc>
        <w:tc>
          <w:tcPr>
            <w:tcW w:w="3033" w:type="dxa"/>
            <w:tcBorders>
              <w:top w:val="single" w:sz="4" w:space="0" w:color="BFBFBF" w:themeColor="background1" w:themeShade="BF"/>
              <w:bottom w:val="single" w:sz="4" w:space="0" w:color="BFBFBF" w:themeColor="background1" w:themeShade="BF"/>
            </w:tcBorders>
            <w:shd w:val="clear" w:color="auto" w:fill="FFFFFF" w:themeFill="background1"/>
          </w:tcPr>
          <w:p w14:paraId="13D9FA9C"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General support as it will enhance security outcomes by exposing security screeners to a broader range of test weapons during system tests</w:t>
            </w:r>
          </w:p>
          <w:p w14:paraId="2C6FECBE"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Test weapons should be either GPS tracked or clearly marked as a department test piece</w:t>
            </w:r>
          </w:p>
        </w:tc>
        <w:tc>
          <w:tcPr>
            <w:tcW w:w="2242" w:type="dxa"/>
            <w:tcBorders>
              <w:top w:val="single" w:sz="4" w:space="0" w:color="BFBFBF" w:themeColor="background1" w:themeShade="BF"/>
              <w:bottom w:val="single" w:sz="4" w:space="0" w:color="BFBFBF" w:themeColor="background1" w:themeShade="BF"/>
            </w:tcBorders>
            <w:shd w:val="clear" w:color="auto" w:fill="FFFFFF" w:themeFill="background1"/>
          </w:tcPr>
          <w:p w14:paraId="5CDA0618"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Amending the definition in the initial approach to include the following caveat ‘during the course of conducting a system test’ </w:t>
            </w:r>
          </w:p>
          <w:p w14:paraId="3328B517"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Introducing a power to prescribe test weapons in the regulations </w:t>
            </w:r>
          </w:p>
        </w:tc>
        <w:tc>
          <w:tcPr>
            <w:tcW w:w="4962" w:type="dxa"/>
            <w:tcBorders>
              <w:top w:val="single" w:sz="4" w:space="0" w:color="BFBFBF" w:themeColor="background1" w:themeShade="BF"/>
              <w:bottom w:val="single" w:sz="4" w:space="0" w:color="BFBFBF" w:themeColor="background1" w:themeShade="BF"/>
            </w:tcBorders>
            <w:shd w:val="clear" w:color="auto" w:fill="FFFFFF" w:themeFill="background1"/>
          </w:tcPr>
          <w:p w14:paraId="3BB7FC30"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Updated definition:</w:t>
            </w:r>
          </w:p>
          <w:p w14:paraId="1C528632" w14:textId="77777777" w:rsidR="0000375D" w:rsidRPr="00B16E6B" w:rsidRDefault="0000375D" w:rsidP="009613E1">
            <w:pPr>
              <w:pStyle w:val="TableBullet2"/>
              <w:spacing w:before="60" w:after="6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‘an item, including a weapon, which either by design or through modification, is incapable of operating as a functional weapon </w:t>
            </w:r>
            <w:r w:rsidRPr="00B16E6B">
              <w:rPr>
                <w:rFonts w:cs="Arial"/>
                <w:i/>
                <w:sz w:val="16"/>
                <w:szCs w:val="16"/>
              </w:rPr>
              <w:t>during the course of conducting a system test</w:t>
            </w:r>
            <w:r w:rsidRPr="00B16E6B">
              <w:rPr>
                <w:rFonts w:cs="Arial"/>
                <w:sz w:val="16"/>
                <w:szCs w:val="16"/>
              </w:rPr>
              <w:t>’</w:t>
            </w:r>
          </w:p>
          <w:p w14:paraId="24F2EDF4" w14:textId="77777777" w:rsidR="0000375D" w:rsidRPr="00B16E6B" w:rsidRDefault="0000375D" w:rsidP="009613E1">
            <w:pPr>
              <w:pStyle w:val="TableBullet"/>
              <w:spacing w:before="60"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We support clearly marking test weapons as departmental test pieces</w:t>
            </w:r>
          </w:p>
          <w:p w14:paraId="169F6F8D" w14:textId="77777777" w:rsidR="0000375D" w:rsidRPr="00B16E6B" w:rsidRDefault="0000375D" w:rsidP="009613E1">
            <w:pPr>
              <w:pStyle w:val="TableBullet"/>
              <w:spacing w:line="271"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Prescribing test weapons in the regulations will improve security outcomes by providing flexibility to include test pieces that reflect new and emerging threat scenarios. It also aligns with similar approaches undertaken by other </w:t>
            </w:r>
            <w:r w:rsidR="00487C6A" w:rsidRPr="00B16E6B">
              <w:rPr>
                <w:rFonts w:cs="Arial"/>
                <w:sz w:val="16"/>
                <w:szCs w:val="16"/>
              </w:rPr>
              <w:t>government</w:t>
            </w:r>
            <w:r w:rsidRPr="00B16E6B">
              <w:rPr>
                <w:rFonts w:cs="Arial"/>
                <w:sz w:val="16"/>
                <w:szCs w:val="16"/>
              </w:rPr>
              <w:t xml:space="preserve"> entities </w:t>
            </w:r>
          </w:p>
        </w:tc>
      </w:tr>
      <w:tr w:rsidR="0000375D" w:rsidRPr="00B16E6B" w14:paraId="778CF51B" w14:textId="77777777" w:rsidTr="0000375D">
        <w:trPr>
          <w:cnfStyle w:val="000000010000" w:firstRow="0" w:lastRow="0" w:firstColumn="0" w:lastColumn="0" w:oddVBand="0" w:evenVBand="0" w:oddHBand="0" w:evenHBand="1" w:firstRowFirstColumn="0" w:firstRowLastColumn="0" w:lastRowFirstColumn="0" w:lastRowLastColumn="0"/>
          <w:trHeight w:val="205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BFBFBF" w:themeColor="background1" w:themeShade="BF"/>
              <w:bottom w:val="single" w:sz="4" w:space="0" w:color="BFBFBF" w:themeColor="background1" w:themeShade="BF"/>
            </w:tcBorders>
            <w:shd w:val="clear" w:color="auto" w:fill="FFFFFF" w:themeFill="background1"/>
          </w:tcPr>
          <w:p w14:paraId="47BF9088" w14:textId="77777777" w:rsidR="0000375D" w:rsidRPr="00B16E6B" w:rsidRDefault="0000375D" w:rsidP="009613E1">
            <w:pPr>
              <w:pStyle w:val="TableNumber"/>
              <w:numPr>
                <w:ilvl w:val="0"/>
                <w:numId w:val="0"/>
              </w:numPr>
              <w:spacing w:line="271" w:lineRule="auto"/>
              <w:contextualSpacing w:val="0"/>
              <w:rPr>
                <w:rFonts w:cs="Arial"/>
                <w:b w:val="0"/>
                <w:sz w:val="16"/>
                <w:szCs w:val="16"/>
              </w:rPr>
            </w:pPr>
            <w:r w:rsidRPr="00B16E6B">
              <w:rPr>
                <w:rFonts w:cs="Arial"/>
                <w:sz w:val="16"/>
                <w:szCs w:val="16"/>
              </w:rPr>
              <w:lastRenderedPageBreak/>
              <w:t>5</w:t>
            </w:r>
          </w:p>
        </w:tc>
        <w:tc>
          <w:tcPr>
            <w:tcW w:w="1276" w:type="dxa"/>
            <w:tcBorders>
              <w:top w:val="single" w:sz="4" w:space="0" w:color="BFBFBF" w:themeColor="background1" w:themeShade="BF"/>
              <w:bottom w:val="single" w:sz="4" w:space="0" w:color="BFBFBF" w:themeColor="background1" w:themeShade="BF"/>
            </w:tcBorders>
            <w:shd w:val="clear" w:color="auto" w:fill="FFFFFF" w:themeFill="background1"/>
          </w:tcPr>
          <w:p w14:paraId="1B188F25" w14:textId="77777777" w:rsidR="0000375D" w:rsidRPr="00B16E6B" w:rsidRDefault="0000375D" w:rsidP="009613E1">
            <w:pPr>
              <w:pStyle w:val="TableNumber"/>
              <w:numPr>
                <w:ilvl w:val="0"/>
                <w:numId w:val="0"/>
              </w:numPr>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bCs/>
                <w:sz w:val="16"/>
                <w:szCs w:val="16"/>
              </w:rPr>
            </w:pPr>
            <w:r w:rsidRPr="00B16E6B">
              <w:rPr>
                <w:rFonts w:cs="Arial"/>
                <w:sz w:val="16"/>
                <w:szCs w:val="16"/>
              </w:rPr>
              <w:t>Introduce vulnerability testing</w:t>
            </w:r>
          </w:p>
        </w:tc>
        <w:tc>
          <w:tcPr>
            <w:tcW w:w="2946" w:type="dxa"/>
            <w:tcBorders>
              <w:top w:val="single" w:sz="4" w:space="0" w:color="BFBFBF" w:themeColor="background1" w:themeShade="BF"/>
              <w:bottom w:val="single" w:sz="4" w:space="0" w:color="BFBFBF" w:themeColor="background1" w:themeShade="BF"/>
            </w:tcBorders>
            <w:shd w:val="clear" w:color="auto" w:fill="FFFFFF" w:themeFill="background1"/>
          </w:tcPr>
          <w:p w14:paraId="18383AD6" w14:textId="77777777" w:rsidR="0000375D" w:rsidRPr="00B16E6B" w:rsidRDefault="0000375D" w:rsidP="009613E1">
            <w:pPr>
              <w:pStyle w:val="TableBullet"/>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Introduce vulnerability testing on Australian aviation security systems</w:t>
            </w:r>
          </w:p>
          <w:p w14:paraId="4035E6A7" w14:textId="77777777" w:rsidR="0000375D" w:rsidRPr="00B16E6B" w:rsidRDefault="0000375D" w:rsidP="009613E1">
            <w:pPr>
              <w:pStyle w:val="TableBullet"/>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b/>
                <w:sz w:val="16"/>
                <w:szCs w:val="16"/>
              </w:rPr>
            </w:pPr>
            <w:r w:rsidRPr="00B16E6B">
              <w:rPr>
                <w:rStyle w:val="Strong"/>
                <w:rFonts w:cs="Arial"/>
                <w:b w:val="0"/>
                <w:sz w:val="16"/>
                <w:szCs w:val="16"/>
              </w:rPr>
              <w:t>Vulnerability testing assesses equipment, people, and processes in an attempt to expose weaknesses by emulating an adversary who has both the intent and capability to exploit the security system</w:t>
            </w:r>
          </w:p>
        </w:tc>
        <w:tc>
          <w:tcPr>
            <w:tcW w:w="3033" w:type="dxa"/>
            <w:tcBorders>
              <w:top w:val="single" w:sz="4" w:space="0" w:color="BFBFBF" w:themeColor="background1" w:themeShade="BF"/>
              <w:bottom w:val="single" w:sz="4" w:space="0" w:color="BFBFBF" w:themeColor="background1" w:themeShade="BF"/>
            </w:tcBorders>
            <w:shd w:val="clear" w:color="auto" w:fill="FFFFFF" w:themeFill="background1"/>
          </w:tcPr>
          <w:p w14:paraId="6EDE765F" w14:textId="77777777" w:rsidR="0000375D" w:rsidRPr="00B16E6B" w:rsidRDefault="0000375D" w:rsidP="009613E1">
            <w:pPr>
              <w:pStyle w:val="TableBullet"/>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General support with information sought on the vulnerabilities it will test, the outcomes it seeks to achieve, how it will be delivered, and how disruptions will be minimised</w:t>
            </w:r>
          </w:p>
          <w:p w14:paraId="67701551" w14:textId="77777777" w:rsidR="0000375D" w:rsidRPr="00B16E6B" w:rsidRDefault="0000375D" w:rsidP="009613E1">
            <w:pPr>
              <w:pStyle w:val="TableBullet"/>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No support for vulnerability testing becoming a mandatory component of compliance testing</w:t>
            </w:r>
          </w:p>
        </w:tc>
        <w:tc>
          <w:tcPr>
            <w:tcW w:w="2242" w:type="dxa"/>
            <w:tcBorders>
              <w:top w:val="single" w:sz="4" w:space="0" w:color="BFBFBF" w:themeColor="background1" w:themeShade="BF"/>
              <w:bottom w:val="single" w:sz="4" w:space="0" w:color="BFBFBF" w:themeColor="background1" w:themeShade="BF"/>
            </w:tcBorders>
            <w:shd w:val="clear" w:color="auto" w:fill="FFFFFF" w:themeFill="background1"/>
          </w:tcPr>
          <w:p w14:paraId="51EEB98A" w14:textId="77777777" w:rsidR="0000375D" w:rsidRPr="00B16E6B" w:rsidRDefault="0000375D" w:rsidP="009613E1">
            <w:pPr>
              <w:pStyle w:val="TableBullet"/>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Proceeding with initial policy approach</w:t>
            </w:r>
          </w:p>
        </w:tc>
        <w:tc>
          <w:tcPr>
            <w:tcW w:w="4962" w:type="dxa"/>
            <w:tcBorders>
              <w:top w:val="single" w:sz="4" w:space="0" w:color="BFBFBF" w:themeColor="background1" w:themeShade="BF"/>
              <w:bottom w:val="single" w:sz="4" w:space="0" w:color="BFBFBF" w:themeColor="background1" w:themeShade="BF"/>
            </w:tcBorders>
            <w:shd w:val="clear" w:color="auto" w:fill="FFFFFF" w:themeFill="background1"/>
          </w:tcPr>
          <w:p w14:paraId="4E50B94D" w14:textId="77777777" w:rsidR="0000375D" w:rsidRPr="00B16E6B" w:rsidRDefault="0000375D" w:rsidP="009613E1">
            <w:pPr>
              <w:pStyle w:val="TableBullet"/>
              <w:spacing w:after="6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Vulnerability testing will not be a compliance activity that results in enforcement action</w:t>
            </w:r>
          </w:p>
          <w:p w14:paraId="09E19478" w14:textId="77777777" w:rsidR="0000375D" w:rsidRPr="00B16E6B" w:rsidRDefault="0000375D" w:rsidP="009613E1">
            <w:pPr>
              <w:pStyle w:val="TableBullet"/>
              <w:spacing w:before="60" w:after="6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The department will develop a vulnerability testing program that will identify:</w:t>
            </w:r>
          </w:p>
          <w:p w14:paraId="2E097CBD" w14:textId="77777777" w:rsidR="0000375D" w:rsidRPr="00B16E6B" w:rsidRDefault="0000375D" w:rsidP="00A11AF5">
            <w:pPr>
              <w:pStyle w:val="TableBullet"/>
              <w:numPr>
                <w:ilvl w:val="0"/>
                <w:numId w:val="54"/>
              </w:numPr>
              <w:spacing w:before="60" w:after="60" w:line="271" w:lineRule="auto"/>
              <w:ind w:left="584" w:hanging="357"/>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the security outcome seeking to be achieved</w:t>
            </w:r>
          </w:p>
          <w:p w14:paraId="3D031A87" w14:textId="77777777" w:rsidR="0000375D" w:rsidRPr="00B16E6B" w:rsidRDefault="0000375D" w:rsidP="00A11AF5">
            <w:pPr>
              <w:pStyle w:val="TableBullet"/>
              <w:numPr>
                <w:ilvl w:val="0"/>
                <w:numId w:val="54"/>
              </w:numPr>
              <w:spacing w:before="60" w:after="60" w:line="271" w:lineRule="auto"/>
              <w:ind w:left="584" w:hanging="357"/>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how vulnerabilities are classed/identified</w:t>
            </w:r>
          </w:p>
          <w:p w14:paraId="3B1D8BE7" w14:textId="77777777" w:rsidR="0000375D" w:rsidRPr="00B16E6B" w:rsidRDefault="0000375D" w:rsidP="00A11AF5">
            <w:pPr>
              <w:pStyle w:val="TableBullet"/>
              <w:numPr>
                <w:ilvl w:val="0"/>
                <w:numId w:val="54"/>
              </w:numPr>
              <w:spacing w:before="40" w:after="60" w:line="271" w:lineRule="auto"/>
              <w:ind w:left="584" w:hanging="357"/>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how vulnerability tests will be delivered</w:t>
            </w:r>
          </w:p>
        </w:tc>
      </w:tr>
      <w:tr w:rsidR="0000375D" w:rsidRPr="00B16E6B" w14:paraId="5AB68498" w14:textId="77777777" w:rsidTr="0000375D">
        <w:trPr>
          <w:cnfStyle w:val="000000100000" w:firstRow="0" w:lastRow="0" w:firstColumn="0" w:lastColumn="0" w:oddVBand="0" w:evenVBand="0" w:oddHBand="1" w:evenHBand="0" w:firstRowFirstColumn="0" w:firstRowLastColumn="0" w:lastRowFirstColumn="0" w:lastRowLastColumn="0"/>
          <w:trHeight w:val="168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BFBFBF" w:themeColor="background1" w:themeShade="BF"/>
              <w:bottom w:val="single" w:sz="4" w:space="0" w:color="BFBFBF" w:themeColor="background1" w:themeShade="BF"/>
            </w:tcBorders>
            <w:shd w:val="clear" w:color="auto" w:fill="FFFFFF" w:themeFill="background1"/>
          </w:tcPr>
          <w:p w14:paraId="75A404FE" w14:textId="77777777" w:rsidR="0000375D" w:rsidRPr="00B16E6B" w:rsidRDefault="0000375D" w:rsidP="009613E1">
            <w:pPr>
              <w:pStyle w:val="TableNumber"/>
              <w:numPr>
                <w:ilvl w:val="0"/>
                <w:numId w:val="0"/>
              </w:numPr>
              <w:spacing w:after="40" w:line="271" w:lineRule="auto"/>
              <w:contextualSpacing w:val="0"/>
              <w:rPr>
                <w:rFonts w:cs="Arial"/>
                <w:b w:val="0"/>
                <w:sz w:val="16"/>
                <w:szCs w:val="16"/>
              </w:rPr>
            </w:pPr>
            <w:r w:rsidRPr="00B16E6B">
              <w:rPr>
                <w:rFonts w:cs="Arial"/>
                <w:sz w:val="16"/>
                <w:szCs w:val="16"/>
              </w:rPr>
              <w:t>6</w:t>
            </w:r>
          </w:p>
        </w:tc>
        <w:tc>
          <w:tcPr>
            <w:tcW w:w="1276" w:type="dxa"/>
            <w:tcBorders>
              <w:top w:val="single" w:sz="4" w:space="0" w:color="BFBFBF" w:themeColor="background1" w:themeShade="BF"/>
              <w:bottom w:val="single" w:sz="4" w:space="0" w:color="BFBFBF" w:themeColor="background1" w:themeShade="BF"/>
            </w:tcBorders>
            <w:shd w:val="clear" w:color="auto" w:fill="FFFFFF" w:themeFill="background1"/>
          </w:tcPr>
          <w:p w14:paraId="30606B9A" w14:textId="77777777" w:rsidR="0000375D" w:rsidRPr="00B16E6B" w:rsidRDefault="0000375D" w:rsidP="009613E1">
            <w:pPr>
              <w:pStyle w:val="TableNumber"/>
              <w:numPr>
                <w:ilvl w:val="0"/>
                <w:numId w:val="0"/>
              </w:numPr>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bCs/>
                <w:sz w:val="16"/>
                <w:szCs w:val="16"/>
              </w:rPr>
            </w:pPr>
            <w:r w:rsidRPr="00B16E6B">
              <w:rPr>
                <w:rFonts w:cs="Arial"/>
                <w:sz w:val="16"/>
                <w:szCs w:val="16"/>
              </w:rPr>
              <w:t>Introduce maritime system and vulnerability testing</w:t>
            </w:r>
          </w:p>
        </w:tc>
        <w:tc>
          <w:tcPr>
            <w:tcW w:w="2946" w:type="dxa"/>
            <w:tcBorders>
              <w:top w:val="single" w:sz="4" w:space="0" w:color="BFBFBF" w:themeColor="background1" w:themeShade="BF"/>
              <w:bottom w:val="single" w:sz="4" w:space="0" w:color="BFBFBF" w:themeColor="background1" w:themeShade="BF"/>
            </w:tcBorders>
            <w:shd w:val="clear" w:color="auto" w:fill="FFFFFF" w:themeFill="background1"/>
          </w:tcPr>
          <w:p w14:paraId="7E0CB900"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Introduce system and vulnerability testing in the maritime sector</w:t>
            </w:r>
          </w:p>
          <w:p w14:paraId="49222ED5" w14:textId="77777777" w:rsidR="0000375D" w:rsidRPr="00B16E6B" w:rsidRDefault="0000375D" w:rsidP="009613E1">
            <w:pPr>
              <w:spacing w:line="271" w:lineRule="auto"/>
              <w:cnfStyle w:val="000000100000" w:firstRow="0" w:lastRow="0" w:firstColumn="0" w:lastColumn="0" w:oddVBand="0" w:evenVBand="0" w:oddHBand="1" w:evenHBand="0" w:firstRowFirstColumn="0" w:firstRowLastColumn="0" w:lastRowFirstColumn="0" w:lastRowLastColumn="0"/>
              <w:rPr>
                <w:rFonts w:cs="Arial"/>
                <w:sz w:val="16"/>
                <w:szCs w:val="16"/>
              </w:rPr>
            </w:pPr>
          </w:p>
          <w:p w14:paraId="3F6B88B5" w14:textId="77777777" w:rsidR="0000375D" w:rsidRPr="00B16E6B" w:rsidRDefault="0000375D" w:rsidP="009613E1">
            <w:pPr>
              <w:spacing w:line="271" w:lineRule="auto"/>
              <w:cnfStyle w:val="000000100000" w:firstRow="0" w:lastRow="0" w:firstColumn="0" w:lastColumn="0" w:oddVBand="0" w:evenVBand="0" w:oddHBand="1" w:evenHBand="0" w:firstRowFirstColumn="0" w:firstRowLastColumn="0" w:lastRowFirstColumn="0" w:lastRowLastColumn="0"/>
              <w:rPr>
                <w:rFonts w:cs="Arial"/>
                <w:sz w:val="16"/>
                <w:szCs w:val="16"/>
                <w:lang w:eastAsia="en-AU"/>
              </w:rPr>
            </w:pPr>
          </w:p>
          <w:p w14:paraId="1B684DBD" w14:textId="77777777" w:rsidR="0000375D" w:rsidRPr="00B16E6B" w:rsidRDefault="0000375D" w:rsidP="009613E1">
            <w:pPr>
              <w:spacing w:line="271"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033" w:type="dxa"/>
            <w:tcBorders>
              <w:top w:val="single" w:sz="4" w:space="0" w:color="BFBFBF" w:themeColor="background1" w:themeShade="BF"/>
              <w:bottom w:val="single" w:sz="4" w:space="0" w:color="BFBFBF" w:themeColor="background1" w:themeShade="BF"/>
            </w:tcBorders>
            <w:shd w:val="clear" w:color="auto" w:fill="FFFFFF" w:themeFill="background1"/>
          </w:tcPr>
          <w:p w14:paraId="0B7B182A"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General support with information sought on how it will work in practice and be implemented </w:t>
            </w:r>
          </w:p>
          <w:p w14:paraId="0C5AC832"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Critical information and results should be shared with </w:t>
            </w:r>
            <w:r w:rsidR="00F25E70" w:rsidRPr="00B16E6B">
              <w:rPr>
                <w:rFonts w:cs="Arial"/>
                <w:sz w:val="16"/>
                <w:szCs w:val="16"/>
              </w:rPr>
              <w:t>industry participant</w:t>
            </w:r>
            <w:r w:rsidRPr="00B16E6B">
              <w:rPr>
                <w:rFonts w:cs="Arial"/>
                <w:sz w:val="16"/>
                <w:szCs w:val="16"/>
              </w:rPr>
              <w:t>s promp</w:t>
            </w:r>
            <w:r w:rsidR="00F25E70" w:rsidRPr="00B16E6B">
              <w:rPr>
                <w:rFonts w:cs="Arial"/>
                <w:sz w:val="16"/>
                <w:szCs w:val="16"/>
              </w:rPr>
              <w:t>tly so they can be addressed. Industry participant</w:t>
            </w:r>
            <w:r w:rsidRPr="00B16E6B">
              <w:rPr>
                <w:rFonts w:cs="Arial"/>
                <w:sz w:val="16"/>
                <w:szCs w:val="16"/>
              </w:rPr>
              <w:t>s support the sharing of industry wide de-identified learnings</w:t>
            </w:r>
          </w:p>
        </w:tc>
        <w:tc>
          <w:tcPr>
            <w:tcW w:w="2242" w:type="dxa"/>
            <w:tcBorders>
              <w:top w:val="single" w:sz="4" w:space="0" w:color="BFBFBF" w:themeColor="background1" w:themeShade="BF"/>
              <w:bottom w:val="single" w:sz="4" w:space="0" w:color="BFBFBF" w:themeColor="background1" w:themeShade="BF"/>
            </w:tcBorders>
            <w:shd w:val="clear" w:color="auto" w:fill="FFFFFF" w:themeFill="background1"/>
          </w:tcPr>
          <w:p w14:paraId="11BEDDD7"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Proceeding with initial policy approach</w:t>
            </w:r>
          </w:p>
        </w:tc>
        <w:tc>
          <w:tcPr>
            <w:tcW w:w="4962" w:type="dxa"/>
            <w:tcBorders>
              <w:top w:val="single" w:sz="4" w:space="0" w:color="BFBFBF" w:themeColor="background1" w:themeShade="BF"/>
              <w:bottom w:val="single" w:sz="4" w:space="0" w:color="BFBFBF" w:themeColor="background1" w:themeShade="BF"/>
            </w:tcBorders>
            <w:shd w:val="clear" w:color="auto" w:fill="FFFFFF" w:themeFill="background1"/>
          </w:tcPr>
          <w:p w14:paraId="62513302"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Maritime system testing will initially be limited to the relevant screening point of passenger ships</w:t>
            </w:r>
          </w:p>
          <w:p w14:paraId="601EAC84"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We will provide guidance on this measure, including on: </w:t>
            </w:r>
          </w:p>
          <w:p w14:paraId="13CD2729" w14:textId="77777777" w:rsidR="0000375D" w:rsidRPr="00B16E6B" w:rsidRDefault="0000375D" w:rsidP="00A11AF5">
            <w:pPr>
              <w:pStyle w:val="TableBullet"/>
              <w:numPr>
                <w:ilvl w:val="0"/>
                <w:numId w:val="56"/>
              </w:numPr>
              <w:spacing w:before="60" w:after="40" w:line="271" w:lineRule="auto"/>
              <w:ind w:left="578" w:hanging="357"/>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the security outcome seeking to be achieved </w:t>
            </w:r>
          </w:p>
          <w:p w14:paraId="40641641" w14:textId="77777777" w:rsidR="0000375D" w:rsidRPr="00B16E6B" w:rsidRDefault="0000375D" w:rsidP="00A11AF5">
            <w:pPr>
              <w:pStyle w:val="TableBullet"/>
              <w:numPr>
                <w:ilvl w:val="0"/>
                <w:numId w:val="56"/>
              </w:numPr>
              <w:spacing w:before="60" w:after="40" w:line="271" w:lineRule="auto"/>
              <w:ind w:left="578" w:hanging="357"/>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how it may work in practice and be implemented</w:t>
            </w:r>
          </w:p>
        </w:tc>
      </w:tr>
      <w:tr w:rsidR="0000375D" w:rsidRPr="00B16E6B" w14:paraId="54CF1401" w14:textId="77777777" w:rsidTr="0000375D">
        <w:trPr>
          <w:cnfStyle w:val="000000010000" w:firstRow="0" w:lastRow="0" w:firstColumn="0" w:lastColumn="0" w:oddVBand="0" w:evenVBand="0" w:oddHBand="0" w:evenHBand="1"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BFBFBF" w:themeColor="background1" w:themeShade="BF"/>
              <w:bottom w:val="single" w:sz="4" w:space="0" w:color="BFBFBF" w:themeColor="background1" w:themeShade="BF"/>
            </w:tcBorders>
            <w:shd w:val="clear" w:color="auto" w:fill="FFFFFF" w:themeFill="background1"/>
          </w:tcPr>
          <w:p w14:paraId="270991EA" w14:textId="77777777" w:rsidR="0000375D" w:rsidRPr="00B16E6B" w:rsidRDefault="0000375D" w:rsidP="009613E1">
            <w:pPr>
              <w:pStyle w:val="TableNumber"/>
              <w:numPr>
                <w:ilvl w:val="0"/>
                <w:numId w:val="0"/>
              </w:numPr>
              <w:spacing w:line="271" w:lineRule="auto"/>
              <w:contextualSpacing w:val="0"/>
              <w:rPr>
                <w:rFonts w:cs="Arial"/>
                <w:b w:val="0"/>
                <w:sz w:val="16"/>
                <w:szCs w:val="16"/>
              </w:rPr>
            </w:pPr>
            <w:r w:rsidRPr="00B16E6B">
              <w:rPr>
                <w:rFonts w:cs="Arial"/>
                <w:sz w:val="16"/>
                <w:szCs w:val="16"/>
              </w:rPr>
              <w:t>7</w:t>
            </w:r>
          </w:p>
        </w:tc>
        <w:tc>
          <w:tcPr>
            <w:tcW w:w="1276" w:type="dxa"/>
            <w:tcBorders>
              <w:top w:val="single" w:sz="4" w:space="0" w:color="BFBFBF" w:themeColor="background1" w:themeShade="BF"/>
              <w:bottom w:val="single" w:sz="4" w:space="0" w:color="BFBFBF" w:themeColor="background1" w:themeShade="BF"/>
            </w:tcBorders>
            <w:shd w:val="clear" w:color="auto" w:fill="FFFFFF" w:themeFill="background1"/>
          </w:tcPr>
          <w:p w14:paraId="352F778E" w14:textId="77777777" w:rsidR="0000375D" w:rsidRPr="00B16E6B" w:rsidRDefault="0000375D" w:rsidP="009613E1">
            <w:pPr>
              <w:pStyle w:val="TableNumber"/>
              <w:numPr>
                <w:ilvl w:val="0"/>
                <w:numId w:val="0"/>
              </w:numPr>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Special security directions (SSDs)</w:t>
            </w:r>
          </w:p>
        </w:tc>
        <w:tc>
          <w:tcPr>
            <w:tcW w:w="2946" w:type="dxa"/>
            <w:tcBorders>
              <w:top w:val="single" w:sz="4" w:space="0" w:color="BFBFBF" w:themeColor="background1" w:themeShade="BF"/>
              <w:bottom w:val="single" w:sz="4" w:space="0" w:color="BFBFBF" w:themeColor="background1" w:themeShade="BF"/>
            </w:tcBorders>
            <w:shd w:val="clear" w:color="auto" w:fill="FFFFFF" w:themeFill="background1"/>
          </w:tcPr>
          <w:p w14:paraId="790A493D" w14:textId="77777777" w:rsidR="0000375D" w:rsidRPr="00B16E6B" w:rsidRDefault="0000375D" w:rsidP="009613E1">
            <w:pPr>
              <w:pStyle w:val="TableBullet"/>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Broaden SSD powers to include a specific, direct, or change in an existing general threat across all hazards</w:t>
            </w:r>
          </w:p>
        </w:tc>
        <w:tc>
          <w:tcPr>
            <w:tcW w:w="3033" w:type="dxa"/>
            <w:tcBorders>
              <w:top w:val="single" w:sz="4" w:space="0" w:color="BFBFBF" w:themeColor="background1" w:themeShade="BF"/>
              <w:bottom w:val="single" w:sz="4" w:space="0" w:color="BFBFBF" w:themeColor="background1" w:themeShade="BF"/>
            </w:tcBorders>
            <w:shd w:val="clear" w:color="auto" w:fill="FFFFFF" w:themeFill="background1"/>
          </w:tcPr>
          <w:p w14:paraId="1AA8B461" w14:textId="77777777" w:rsidR="0000375D" w:rsidRPr="00B16E6B" w:rsidRDefault="0000375D" w:rsidP="009613E1">
            <w:pPr>
              <w:pStyle w:val="TableBullet"/>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General support, noting directions need to remain measured and proportionate</w:t>
            </w:r>
          </w:p>
        </w:tc>
        <w:tc>
          <w:tcPr>
            <w:tcW w:w="2242" w:type="dxa"/>
            <w:tcBorders>
              <w:top w:val="single" w:sz="4" w:space="0" w:color="BFBFBF" w:themeColor="background1" w:themeShade="BF"/>
              <w:bottom w:val="single" w:sz="4" w:space="0" w:color="BFBFBF" w:themeColor="background1" w:themeShade="BF"/>
            </w:tcBorders>
            <w:shd w:val="clear" w:color="auto" w:fill="FFFFFF" w:themeFill="background1"/>
          </w:tcPr>
          <w:p w14:paraId="551CB398" w14:textId="77777777" w:rsidR="0000375D" w:rsidRPr="00B16E6B" w:rsidRDefault="0000375D" w:rsidP="009613E1">
            <w:pPr>
              <w:pStyle w:val="TableBullet"/>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Proceeding with initial policy approach</w:t>
            </w:r>
          </w:p>
        </w:tc>
        <w:tc>
          <w:tcPr>
            <w:tcW w:w="4962" w:type="dxa"/>
            <w:tcBorders>
              <w:top w:val="single" w:sz="4" w:space="0" w:color="BFBFBF" w:themeColor="background1" w:themeShade="BF"/>
              <w:bottom w:val="single" w:sz="4" w:space="0" w:color="BFBFBF" w:themeColor="background1" w:themeShade="BF"/>
            </w:tcBorders>
            <w:shd w:val="clear" w:color="auto" w:fill="FFFFFF" w:themeFill="background1"/>
          </w:tcPr>
          <w:p w14:paraId="4922BD90" w14:textId="77777777" w:rsidR="0000375D" w:rsidRPr="00B16E6B" w:rsidRDefault="0000375D" w:rsidP="009613E1">
            <w:pPr>
              <w:pStyle w:val="TableBullet"/>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The SSDs will continue to be a last resort power, used in exceptional circumstances. This will be outlined in the explanatory memorandum</w:t>
            </w:r>
          </w:p>
        </w:tc>
      </w:tr>
      <w:tr w:rsidR="0000375D" w:rsidRPr="00B16E6B" w14:paraId="6FAF4590" w14:textId="77777777" w:rsidTr="00003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BFBFBF" w:themeColor="background1" w:themeShade="BF"/>
              <w:bottom w:val="single" w:sz="4" w:space="0" w:color="BFBFBF" w:themeColor="background1" w:themeShade="BF"/>
            </w:tcBorders>
            <w:shd w:val="clear" w:color="auto" w:fill="FFFFFF" w:themeFill="background1"/>
          </w:tcPr>
          <w:p w14:paraId="273F4A46" w14:textId="77777777" w:rsidR="0000375D" w:rsidRPr="00B16E6B" w:rsidRDefault="0000375D" w:rsidP="009613E1">
            <w:pPr>
              <w:pStyle w:val="TableNumber"/>
              <w:numPr>
                <w:ilvl w:val="0"/>
                <w:numId w:val="0"/>
              </w:numPr>
              <w:spacing w:after="40" w:line="271" w:lineRule="auto"/>
              <w:contextualSpacing w:val="0"/>
              <w:rPr>
                <w:rFonts w:cs="Arial"/>
                <w:b w:val="0"/>
                <w:sz w:val="16"/>
                <w:szCs w:val="16"/>
              </w:rPr>
            </w:pPr>
            <w:r w:rsidRPr="00B16E6B">
              <w:rPr>
                <w:rFonts w:cs="Arial"/>
                <w:sz w:val="16"/>
                <w:szCs w:val="16"/>
              </w:rPr>
              <w:t>8</w:t>
            </w:r>
          </w:p>
        </w:tc>
        <w:tc>
          <w:tcPr>
            <w:tcW w:w="1276" w:type="dxa"/>
            <w:tcBorders>
              <w:top w:val="single" w:sz="4" w:space="0" w:color="BFBFBF" w:themeColor="background1" w:themeShade="BF"/>
              <w:bottom w:val="single" w:sz="4" w:space="0" w:color="BFBFBF" w:themeColor="background1" w:themeShade="BF"/>
            </w:tcBorders>
            <w:shd w:val="clear" w:color="auto" w:fill="FFFFFF" w:themeFill="background1"/>
          </w:tcPr>
          <w:p w14:paraId="42112616" w14:textId="77777777" w:rsidR="0000375D" w:rsidRPr="00B16E6B" w:rsidRDefault="0000375D" w:rsidP="009613E1">
            <w:pPr>
              <w:pStyle w:val="TableNumber"/>
              <w:numPr>
                <w:ilvl w:val="0"/>
                <w:numId w:val="0"/>
              </w:numPr>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Demerit points for air cargo</w:t>
            </w:r>
          </w:p>
        </w:tc>
        <w:tc>
          <w:tcPr>
            <w:tcW w:w="2946" w:type="dxa"/>
            <w:tcBorders>
              <w:top w:val="single" w:sz="4" w:space="0" w:color="BFBFBF" w:themeColor="background1" w:themeShade="BF"/>
              <w:bottom w:val="single" w:sz="4" w:space="0" w:color="BFBFBF" w:themeColor="background1" w:themeShade="BF"/>
            </w:tcBorders>
            <w:shd w:val="clear" w:color="auto" w:fill="FFFFFF" w:themeFill="background1"/>
          </w:tcPr>
          <w:p w14:paraId="26EEFED9" w14:textId="77777777" w:rsidR="0000375D" w:rsidRPr="00B16E6B" w:rsidRDefault="0000375D" w:rsidP="009613E1">
            <w:pPr>
              <w:pStyle w:val="TableBullet"/>
              <w:spacing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This measure will provide the department with the power to implement a demerit point scheme in the air cargo sector in alignment with the broader aviation sector</w:t>
            </w:r>
          </w:p>
          <w:p w14:paraId="39B3910A" w14:textId="77777777" w:rsidR="0000375D" w:rsidRPr="00B16E6B" w:rsidRDefault="0000375D" w:rsidP="009613E1">
            <w:pPr>
              <w:pStyle w:val="TableBullet"/>
              <w:numPr>
                <w:ilvl w:val="0"/>
                <w:numId w:val="0"/>
              </w:numPr>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3033" w:type="dxa"/>
            <w:tcBorders>
              <w:top w:val="single" w:sz="4" w:space="0" w:color="BFBFBF" w:themeColor="background1" w:themeShade="BF"/>
              <w:bottom w:val="single" w:sz="4" w:space="0" w:color="BFBFBF" w:themeColor="background1" w:themeShade="BF"/>
            </w:tcBorders>
            <w:shd w:val="clear" w:color="auto" w:fill="FFFFFF" w:themeFill="background1"/>
          </w:tcPr>
          <w:p w14:paraId="38D00E0A" w14:textId="77777777" w:rsidR="0000375D" w:rsidRPr="00B16E6B" w:rsidRDefault="00F25E70"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Some industry participant</w:t>
            </w:r>
            <w:r w:rsidR="0000375D" w:rsidRPr="00B16E6B">
              <w:rPr>
                <w:rFonts w:cs="Arial"/>
                <w:sz w:val="16"/>
                <w:szCs w:val="16"/>
              </w:rPr>
              <w:t>s questioned why the demerit points system is being extended when it is not currently being used, and sought clarification on its implementation</w:t>
            </w:r>
          </w:p>
          <w:p w14:paraId="20B77492" w14:textId="77777777" w:rsidR="0000375D" w:rsidRPr="00B16E6B" w:rsidRDefault="00F25E70"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Some industry participant</w:t>
            </w:r>
            <w:r w:rsidR="0000375D" w:rsidRPr="00B16E6B">
              <w:rPr>
                <w:rFonts w:cs="Arial"/>
                <w:sz w:val="16"/>
                <w:szCs w:val="16"/>
              </w:rPr>
              <w:t>s enquired if</w:t>
            </w:r>
            <w:r w:rsidRPr="00B16E6B">
              <w:rPr>
                <w:rFonts w:cs="Arial"/>
                <w:sz w:val="16"/>
                <w:szCs w:val="16"/>
              </w:rPr>
              <w:t xml:space="preserve"> points could be restored for industry participant</w:t>
            </w:r>
            <w:r w:rsidR="0000375D" w:rsidRPr="00B16E6B">
              <w:rPr>
                <w:rFonts w:cs="Arial"/>
                <w:sz w:val="16"/>
                <w:szCs w:val="16"/>
              </w:rPr>
              <w:t>s who show positive security outcomes, details for grading systemic non</w:t>
            </w:r>
            <w:r w:rsidR="0000375D" w:rsidRPr="00B16E6B">
              <w:rPr>
                <w:rFonts w:cs="Arial"/>
                <w:sz w:val="16"/>
                <w:szCs w:val="16"/>
              </w:rPr>
              <w:noBreakHyphen/>
              <w:t>compliance, as well as advice on reviewing and appealing decisions</w:t>
            </w:r>
          </w:p>
        </w:tc>
        <w:tc>
          <w:tcPr>
            <w:tcW w:w="2242" w:type="dxa"/>
            <w:tcBorders>
              <w:top w:val="single" w:sz="4" w:space="0" w:color="BFBFBF" w:themeColor="background1" w:themeShade="BF"/>
              <w:bottom w:val="single" w:sz="4" w:space="0" w:color="BFBFBF" w:themeColor="background1" w:themeShade="BF"/>
            </w:tcBorders>
            <w:shd w:val="clear" w:color="auto" w:fill="FFFFFF" w:themeFill="background1"/>
          </w:tcPr>
          <w:p w14:paraId="38FFBDD6"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Proceeding with initial policy approach</w:t>
            </w:r>
          </w:p>
        </w:tc>
        <w:tc>
          <w:tcPr>
            <w:tcW w:w="4962" w:type="dxa"/>
            <w:tcBorders>
              <w:top w:val="single" w:sz="4" w:space="0" w:color="BFBFBF" w:themeColor="background1" w:themeShade="BF"/>
              <w:bottom w:val="single" w:sz="4" w:space="0" w:color="BFBFBF" w:themeColor="background1" w:themeShade="BF"/>
            </w:tcBorders>
            <w:shd w:val="clear" w:color="auto" w:fill="FFFFFF" w:themeFill="background1"/>
          </w:tcPr>
          <w:p w14:paraId="46228871" w14:textId="77777777" w:rsidR="0000375D" w:rsidRPr="00B16E6B" w:rsidRDefault="0000375D" w:rsidP="009613E1">
            <w:pPr>
              <w:pStyle w:val="TableBullet"/>
              <w:spacing w:after="60" w:line="271" w:lineRule="auto"/>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Separate consultation with industry will take place if a demerit scheme will be implemented and as part of this we will provide details on how the demerit point system will work in practice, including on:</w:t>
            </w:r>
          </w:p>
          <w:p w14:paraId="35D93EC1" w14:textId="77777777" w:rsidR="0000375D" w:rsidRPr="00B16E6B" w:rsidRDefault="0000375D" w:rsidP="00A11AF5">
            <w:pPr>
              <w:pStyle w:val="TableBullet2"/>
              <w:numPr>
                <w:ilvl w:val="1"/>
                <w:numId w:val="57"/>
              </w:numPr>
              <w:spacing w:before="60" w:after="60" w:line="271" w:lineRule="auto"/>
              <w:ind w:left="585" w:hanging="284"/>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how we propose to achieve a fair and equitable scheme given the variation in size, opera</w:t>
            </w:r>
            <w:r w:rsidR="00F25E70" w:rsidRPr="00B16E6B">
              <w:rPr>
                <w:rFonts w:cs="Arial"/>
                <w:sz w:val="16"/>
                <w:szCs w:val="16"/>
              </w:rPr>
              <w:t>tion, and complexity between industry participant</w:t>
            </w:r>
          </w:p>
          <w:p w14:paraId="6A493493" w14:textId="77777777" w:rsidR="0000375D" w:rsidRPr="00B16E6B" w:rsidRDefault="0000375D" w:rsidP="00A11AF5">
            <w:pPr>
              <w:pStyle w:val="TableBullet2"/>
              <w:numPr>
                <w:ilvl w:val="1"/>
                <w:numId w:val="57"/>
              </w:numPr>
              <w:spacing w:before="60" w:after="60" w:line="271" w:lineRule="auto"/>
              <w:ind w:left="585" w:hanging="284"/>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 xml:space="preserve">point allocation, review/appeal options, and if points can be restored  </w:t>
            </w:r>
          </w:p>
          <w:p w14:paraId="1572C9AA" w14:textId="77777777" w:rsidR="0000375D" w:rsidRPr="00B16E6B" w:rsidRDefault="0000375D" w:rsidP="00A11AF5">
            <w:pPr>
              <w:pStyle w:val="TableBullet2"/>
              <w:numPr>
                <w:ilvl w:val="1"/>
                <w:numId w:val="57"/>
              </w:numPr>
              <w:spacing w:before="60" w:after="60" w:line="271" w:lineRule="auto"/>
              <w:ind w:left="585" w:hanging="284"/>
              <w:contextualSpacing w:val="0"/>
              <w:cnfStyle w:val="000000100000" w:firstRow="0" w:lastRow="0" w:firstColumn="0" w:lastColumn="0" w:oddVBand="0" w:evenVBand="0" w:oddHBand="1" w:evenHBand="0" w:firstRowFirstColumn="0" w:firstRowLastColumn="0" w:lastRowFirstColumn="0" w:lastRowLastColumn="0"/>
              <w:rPr>
                <w:rFonts w:cs="Arial"/>
                <w:sz w:val="16"/>
                <w:szCs w:val="16"/>
              </w:rPr>
            </w:pPr>
            <w:r w:rsidRPr="00B16E6B">
              <w:rPr>
                <w:rFonts w:cs="Arial"/>
                <w:sz w:val="16"/>
                <w:szCs w:val="16"/>
              </w:rPr>
              <w:t>how the system will operate alongside other compliance powers</w:t>
            </w:r>
          </w:p>
        </w:tc>
      </w:tr>
      <w:tr w:rsidR="0000375D" w:rsidRPr="00B16E6B" w14:paraId="0094A74F" w14:textId="77777777" w:rsidTr="0000375D">
        <w:trPr>
          <w:cnfStyle w:val="000000010000" w:firstRow="0" w:lastRow="0" w:firstColumn="0" w:lastColumn="0" w:oddVBand="0" w:evenVBand="0" w:oddHBand="0" w:evenHBand="1" w:firstRowFirstColumn="0" w:firstRowLastColumn="0" w:lastRowFirstColumn="0" w:lastRowLastColumn="0"/>
          <w:trHeight w:val="120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BFBFBF" w:themeColor="background1" w:themeShade="BF"/>
              <w:bottom w:val="single" w:sz="4" w:space="0" w:color="BFBFBF" w:themeColor="background1" w:themeShade="BF"/>
            </w:tcBorders>
            <w:shd w:val="clear" w:color="auto" w:fill="FFFFFF" w:themeFill="background1"/>
          </w:tcPr>
          <w:p w14:paraId="320C981B" w14:textId="77777777" w:rsidR="0000375D" w:rsidRPr="00B16E6B" w:rsidRDefault="0000375D" w:rsidP="009613E1">
            <w:pPr>
              <w:pStyle w:val="TableNumber"/>
              <w:numPr>
                <w:ilvl w:val="0"/>
                <w:numId w:val="0"/>
              </w:numPr>
              <w:spacing w:after="40" w:line="271" w:lineRule="auto"/>
              <w:contextualSpacing w:val="0"/>
              <w:rPr>
                <w:rFonts w:cs="Arial"/>
                <w:b w:val="0"/>
                <w:sz w:val="16"/>
                <w:szCs w:val="16"/>
              </w:rPr>
            </w:pPr>
            <w:r w:rsidRPr="00B16E6B">
              <w:rPr>
                <w:rFonts w:cs="Arial"/>
                <w:sz w:val="16"/>
                <w:szCs w:val="16"/>
              </w:rPr>
              <w:lastRenderedPageBreak/>
              <w:t>11</w:t>
            </w:r>
          </w:p>
        </w:tc>
        <w:tc>
          <w:tcPr>
            <w:tcW w:w="1276" w:type="dxa"/>
            <w:tcBorders>
              <w:top w:val="single" w:sz="4" w:space="0" w:color="BFBFBF" w:themeColor="background1" w:themeShade="BF"/>
              <w:bottom w:val="single" w:sz="4" w:space="0" w:color="BFBFBF" w:themeColor="background1" w:themeShade="BF"/>
            </w:tcBorders>
            <w:shd w:val="clear" w:color="auto" w:fill="FFFFFF" w:themeFill="background1"/>
          </w:tcPr>
          <w:p w14:paraId="283401C7" w14:textId="77777777" w:rsidR="0000375D" w:rsidRPr="00B16E6B" w:rsidRDefault="0000375D" w:rsidP="009613E1">
            <w:pPr>
              <w:pStyle w:val="TableNumber"/>
              <w:numPr>
                <w:ilvl w:val="0"/>
                <w:numId w:val="0"/>
              </w:numPr>
              <w:spacing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Protecting day to day maritime operations critical to Australian ports</w:t>
            </w:r>
          </w:p>
        </w:tc>
        <w:tc>
          <w:tcPr>
            <w:tcW w:w="2946" w:type="dxa"/>
            <w:tcBorders>
              <w:top w:val="single" w:sz="4" w:space="0" w:color="BFBFBF" w:themeColor="background1" w:themeShade="BF"/>
              <w:bottom w:val="single" w:sz="4" w:space="0" w:color="BFBFBF" w:themeColor="background1" w:themeShade="BF"/>
            </w:tcBorders>
            <w:shd w:val="clear" w:color="auto" w:fill="FFFFFF" w:themeFill="background1"/>
          </w:tcPr>
          <w:p w14:paraId="6E34EB15"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Include harbour master operations as a maritime industry participant </w:t>
            </w:r>
          </w:p>
          <w:p w14:paraId="7F2B82E1"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Broaden the definition of ‘security regulated port’</w:t>
            </w:r>
          </w:p>
        </w:tc>
        <w:tc>
          <w:tcPr>
            <w:tcW w:w="3033" w:type="dxa"/>
            <w:tcBorders>
              <w:top w:val="single" w:sz="4" w:space="0" w:color="BFBFBF" w:themeColor="background1" w:themeShade="BF"/>
              <w:bottom w:val="single" w:sz="4" w:space="0" w:color="BFBFBF" w:themeColor="background1" w:themeShade="BF"/>
            </w:tcBorders>
            <w:shd w:val="clear" w:color="auto" w:fill="FFFFFF" w:themeFill="background1"/>
          </w:tcPr>
          <w:p w14:paraId="4348F47D" w14:textId="77777777" w:rsidR="0000375D" w:rsidRPr="00B16E6B" w:rsidRDefault="00F25E70"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Industry participant</w:t>
            </w:r>
            <w:r w:rsidR="0000375D" w:rsidRPr="00B16E6B">
              <w:rPr>
                <w:rFonts w:cs="Arial"/>
                <w:sz w:val="16"/>
                <w:szCs w:val="16"/>
              </w:rPr>
              <w:t xml:space="preserve">s did not support the regulation of harbour masters </w:t>
            </w:r>
          </w:p>
          <w:p w14:paraId="60D837E6" w14:textId="77777777" w:rsidR="0000375D" w:rsidRPr="00B16E6B" w:rsidRDefault="00F25E70"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Most industry participant</w:t>
            </w:r>
            <w:r w:rsidR="0000375D" w:rsidRPr="00B16E6B">
              <w:rPr>
                <w:rFonts w:cs="Arial"/>
                <w:sz w:val="16"/>
                <w:szCs w:val="16"/>
              </w:rPr>
              <w:t xml:space="preserve">s enquired about the specifics and unintended consequences of amending the definition of ‘security regulated port’ </w:t>
            </w:r>
          </w:p>
        </w:tc>
        <w:tc>
          <w:tcPr>
            <w:tcW w:w="2242" w:type="dxa"/>
            <w:tcBorders>
              <w:top w:val="single" w:sz="4" w:space="0" w:color="BFBFBF" w:themeColor="background1" w:themeShade="BF"/>
              <w:bottom w:val="single" w:sz="4" w:space="0" w:color="BFBFBF" w:themeColor="background1" w:themeShade="BF"/>
            </w:tcBorders>
            <w:shd w:val="clear" w:color="auto" w:fill="FFFFFF" w:themeFill="background1"/>
          </w:tcPr>
          <w:p w14:paraId="61E5603F" w14:textId="77777777" w:rsidR="0000375D" w:rsidRPr="00B16E6B" w:rsidRDefault="0000375D"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No longer proceeding with the amendment to regulate harbour master operations</w:t>
            </w:r>
          </w:p>
        </w:tc>
        <w:tc>
          <w:tcPr>
            <w:tcW w:w="4962" w:type="dxa"/>
            <w:tcBorders>
              <w:top w:val="single" w:sz="4" w:space="0" w:color="BFBFBF" w:themeColor="background1" w:themeShade="BF"/>
              <w:bottom w:val="single" w:sz="4" w:space="0" w:color="BFBFBF" w:themeColor="background1" w:themeShade="BF"/>
            </w:tcBorders>
            <w:shd w:val="clear" w:color="auto" w:fill="FFFFFF" w:themeFill="background1"/>
          </w:tcPr>
          <w:p w14:paraId="37AA4E18" w14:textId="77777777" w:rsidR="0000375D" w:rsidRPr="00B16E6B" w:rsidRDefault="00F25E70"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 xml:space="preserve">We will consult with relevant industry participants </w:t>
            </w:r>
            <w:r w:rsidR="0000375D" w:rsidRPr="00B16E6B">
              <w:rPr>
                <w:rFonts w:cs="Arial"/>
                <w:sz w:val="16"/>
                <w:szCs w:val="16"/>
              </w:rPr>
              <w:t>before security regulated port boundaries are amended, including whether land will be in scope</w:t>
            </w:r>
          </w:p>
          <w:p w14:paraId="1B82B634" w14:textId="77777777" w:rsidR="0000375D" w:rsidRPr="00B16E6B" w:rsidRDefault="00F25E70" w:rsidP="009613E1">
            <w:pPr>
              <w:pStyle w:val="TableBullet"/>
              <w:spacing w:after="40" w:line="271" w:lineRule="auto"/>
              <w:contextualSpacing w:val="0"/>
              <w:cnfStyle w:val="000000010000" w:firstRow="0" w:lastRow="0" w:firstColumn="0" w:lastColumn="0" w:oddVBand="0" w:evenVBand="0" w:oddHBand="0" w:evenHBand="1" w:firstRowFirstColumn="0" w:firstRowLastColumn="0" w:lastRowFirstColumn="0" w:lastRowLastColumn="0"/>
              <w:rPr>
                <w:rFonts w:cs="Arial"/>
                <w:sz w:val="16"/>
                <w:szCs w:val="16"/>
              </w:rPr>
            </w:pPr>
            <w:r w:rsidRPr="00B16E6B">
              <w:rPr>
                <w:rFonts w:cs="Arial"/>
                <w:sz w:val="16"/>
                <w:szCs w:val="16"/>
              </w:rPr>
              <w:t>If new industry participant</w:t>
            </w:r>
            <w:r w:rsidR="0000375D" w:rsidRPr="00B16E6B">
              <w:rPr>
                <w:rFonts w:cs="Arial"/>
                <w:sz w:val="16"/>
                <w:szCs w:val="16"/>
              </w:rPr>
              <w:t>s are identified, we will work alongside the entities to ensure they are aware of, and comply with, their security obligations</w:t>
            </w:r>
          </w:p>
        </w:tc>
      </w:tr>
      <w:tr w:rsidR="0000375D" w:rsidRPr="00B16E6B" w14:paraId="0711A010" w14:textId="77777777" w:rsidTr="00003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BFBFBF" w:themeColor="background1" w:themeShade="BF"/>
            </w:tcBorders>
            <w:shd w:val="clear" w:color="auto" w:fill="FFFFFF" w:themeFill="background1"/>
          </w:tcPr>
          <w:p w14:paraId="61E340F0" w14:textId="77777777" w:rsidR="0000375D" w:rsidRPr="00B16E6B" w:rsidRDefault="0000375D" w:rsidP="009613E1">
            <w:pPr>
              <w:pStyle w:val="TableNumber"/>
              <w:numPr>
                <w:ilvl w:val="0"/>
                <w:numId w:val="0"/>
              </w:numPr>
              <w:spacing w:after="40" w:line="271" w:lineRule="auto"/>
              <w:contextualSpacing w:val="0"/>
              <w:rPr>
                <w:rFonts w:cs="Arial"/>
                <w:b w:val="0"/>
                <w:color w:val="auto"/>
                <w:sz w:val="16"/>
                <w:szCs w:val="16"/>
              </w:rPr>
            </w:pPr>
            <w:r w:rsidRPr="00B16E6B">
              <w:rPr>
                <w:rFonts w:cs="Arial"/>
                <w:color w:val="auto"/>
                <w:sz w:val="16"/>
                <w:szCs w:val="16"/>
              </w:rPr>
              <w:t>14</w:t>
            </w:r>
          </w:p>
        </w:tc>
        <w:tc>
          <w:tcPr>
            <w:tcW w:w="1276" w:type="dxa"/>
            <w:tcBorders>
              <w:top w:val="single" w:sz="4" w:space="0" w:color="BFBFBF" w:themeColor="background1" w:themeShade="BF"/>
            </w:tcBorders>
            <w:shd w:val="clear" w:color="auto" w:fill="FFFFFF" w:themeFill="background1"/>
          </w:tcPr>
          <w:p w14:paraId="663F1CB7" w14:textId="77777777" w:rsidR="0000375D" w:rsidRPr="00B16E6B" w:rsidRDefault="0000375D" w:rsidP="009613E1">
            <w:pPr>
              <w:pStyle w:val="TableNumber"/>
              <w:numPr>
                <w:ilvl w:val="0"/>
                <w:numId w:val="0"/>
              </w:numPr>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B16E6B">
              <w:rPr>
                <w:rFonts w:cs="Arial"/>
                <w:color w:val="auto"/>
                <w:sz w:val="16"/>
                <w:szCs w:val="16"/>
              </w:rPr>
              <w:t>Replace ‘sex’ with ‘gender’</w:t>
            </w:r>
          </w:p>
        </w:tc>
        <w:tc>
          <w:tcPr>
            <w:tcW w:w="2946" w:type="dxa"/>
            <w:tcBorders>
              <w:top w:val="single" w:sz="4" w:space="0" w:color="BFBFBF" w:themeColor="background1" w:themeShade="BF"/>
            </w:tcBorders>
            <w:shd w:val="clear" w:color="auto" w:fill="FFFFFF" w:themeFill="background1"/>
          </w:tcPr>
          <w:p w14:paraId="1E3D8282"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B16E6B">
              <w:rPr>
                <w:rFonts w:cs="Arial"/>
                <w:color w:val="auto"/>
                <w:sz w:val="16"/>
                <w:szCs w:val="16"/>
              </w:rPr>
              <w:t>Replace ‘sex’ with ‘gender’</w:t>
            </w:r>
          </w:p>
          <w:p w14:paraId="38C46987"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B16E6B">
              <w:rPr>
                <w:rFonts w:cs="Arial"/>
                <w:color w:val="auto"/>
                <w:sz w:val="16"/>
                <w:szCs w:val="16"/>
              </w:rPr>
              <w:t>Include in the regulations the caveat ‘if practicable’</w:t>
            </w:r>
          </w:p>
          <w:p w14:paraId="621131A3" w14:textId="77777777" w:rsidR="0000375D" w:rsidRPr="00B16E6B" w:rsidRDefault="0000375D" w:rsidP="009613E1">
            <w:pPr>
              <w:spacing w:line="271"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eastAsia="en-AU"/>
              </w:rPr>
            </w:pPr>
          </w:p>
          <w:p w14:paraId="48AA3300" w14:textId="77777777" w:rsidR="0000375D" w:rsidRPr="00B16E6B" w:rsidRDefault="0000375D" w:rsidP="009613E1">
            <w:pPr>
              <w:spacing w:line="271"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eastAsia="en-AU"/>
              </w:rPr>
            </w:pPr>
          </w:p>
          <w:p w14:paraId="44735959" w14:textId="77777777" w:rsidR="0000375D" w:rsidRPr="00B16E6B" w:rsidRDefault="0000375D" w:rsidP="009613E1">
            <w:pPr>
              <w:spacing w:line="271"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eastAsia="en-AU"/>
              </w:rPr>
            </w:pPr>
          </w:p>
          <w:p w14:paraId="183776B6" w14:textId="77777777" w:rsidR="0000375D" w:rsidRPr="00B16E6B" w:rsidRDefault="0000375D" w:rsidP="009613E1">
            <w:pPr>
              <w:tabs>
                <w:tab w:val="left" w:pos="2001"/>
              </w:tabs>
              <w:spacing w:line="271"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lang w:eastAsia="en-AU"/>
              </w:rPr>
            </w:pPr>
            <w:r w:rsidRPr="00B16E6B">
              <w:rPr>
                <w:rFonts w:cs="Arial"/>
                <w:color w:val="auto"/>
                <w:sz w:val="16"/>
                <w:szCs w:val="16"/>
                <w:lang w:eastAsia="en-AU"/>
              </w:rPr>
              <w:tab/>
            </w:r>
          </w:p>
        </w:tc>
        <w:tc>
          <w:tcPr>
            <w:tcW w:w="3033" w:type="dxa"/>
            <w:tcBorders>
              <w:top w:val="single" w:sz="4" w:space="0" w:color="BFBFBF" w:themeColor="background1" w:themeShade="BF"/>
            </w:tcBorders>
            <w:shd w:val="clear" w:color="auto" w:fill="FFFFFF" w:themeFill="background1"/>
          </w:tcPr>
          <w:p w14:paraId="22D1F39E"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B16E6B">
              <w:rPr>
                <w:rFonts w:cs="Arial"/>
                <w:color w:val="auto"/>
                <w:sz w:val="16"/>
                <w:szCs w:val="16"/>
              </w:rPr>
              <w:t>General support with guidance sought on what the exemption means for screening procedures</w:t>
            </w:r>
          </w:p>
        </w:tc>
        <w:tc>
          <w:tcPr>
            <w:tcW w:w="2242" w:type="dxa"/>
            <w:tcBorders>
              <w:top w:val="single" w:sz="4" w:space="0" w:color="BFBFBF" w:themeColor="background1" w:themeShade="BF"/>
            </w:tcBorders>
            <w:shd w:val="clear" w:color="auto" w:fill="FFFFFF" w:themeFill="background1"/>
          </w:tcPr>
          <w:p w14:paraId="6B7BC385"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B16E6B">
              <w:rPr>
                <w:rFonts w:cs="Arial"/>
                <w:color w:val="auto"/>
                <w:sz w:val="16"/>
                <w:szCs w:val="16"/>
              </w:rPr>
              <w:t>Proceeding with initial policy approach</w:t>
            </w:r>
          </w:p>
        </w:tc>
        <w:tc>
          <w:tcPr>
            <w:tcW w:w="4962" w:type="dxa"/>
            <w:tcBorders>
              <w:top w:val="single" w:sz="4" w:space="0" w:color="BFBFBF" w:themeColor="background1" w:themeShade="BF"/>
            </w:tcBorders>
            <w:shd w:val="clear" w:color="auto" w:fill="FFFFFF" w:themeFill="background1"/>
          </w:tcPr>
          <w:p w14:paraId="0608BE54" w14:textId="77777777" w:rsidR="0000375D" w:rsidRPr="00B16E6B" w:rsidRDefault="0000375D" w:rsidP="009613E1">
            <w:pPr>
              <w:pStyle w:val="TableBullet"/>
              <w:spacing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B16E6B">
              <w:rPr>
                <w:rFonts w:cs="Arial"/>
                <w:color w:val="auto"/>
                <w:sz w:val="16"/>
                <w:szCs w:val="16"/>
              </w:rPr>
              <w:t>Screening officers will be required to make reasonable efforts to consider the individual’s gender identity, and assign a screening officer accordingly for all frisk searches. The ‘if practicable’ exemption allows for situations where no screening officer of the same gender identity can be located</w:t>
            </w:r>
          </w:p>
          <w:p w14:paraId="187A5D7B" w14:textId="77777777" w:rsidR="0000375D" w:rsidRPr="00B16E6B" w:rsidRDefault="0000375D" w:rsidP="009613E1">
            <w:pPr>
              <w:pStyle w:val="TableBullet"/>
              <w:spacing w:before="60" w:after="40" w:line="271" w:lineRule="auto"/>
              <w:contextualSpacing w:val="0"/>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B16E6B">
              <w:rPr>
                <w:rFonts w:cs="Arial"/>
                <w:color w:val="auto"/>
                <w:sz w:val="16"/>
                <w:szCs w:val="16"/>
              </w:rPr>
              <w:t xml:space="preserve">We will provide guidance on this measure, including on: </w:t>
            </w:r>
          </w:p>
          <w:p w14:paraId="2960FDAB" w14:textId="77777777" w:rsidR="0000375D" w:rsidRPr="00B16E6B" w:rsidRDefault="0000375D" w:rsidP="00A11AF5">
            <w:pPr>
              <w:pStyle w:val="TableBullet"/>
              <w:numPr>
                <w:ilvl w:val="0"/>
                <w:numId w:val="55"/>
              </w:numPr>
              <w:spacing w:before="60" w:after="40" w:line="271" w:lineRule="auto"/>
              <w:ind w:left="578" w:hanging="357"/>
              <w:contextualSpacing w:val="0"/>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B16E6B">
              <w:rPr>
                <w:rFonts w:cs="Arial"/>
                <w:color w:val="auto"/>
                <w:sz w:val="16"/>
                <w:szCs w:val="16"/>
              </w:rPr>
              <w:t xml:space="preserve">how officers may be guided to consider gender identity in a public setting and how to navigate scenarios where an officer of the same gender identity cannot be located </w:t>
            </w:r>
          </w:p>
          <w:p w14:paraId="08F055A0" w14:textId="77777777" w:rsidR="0000375D" w:rsidRPr="00B16E6B" w:rsidRDefault="0000375D" w:rsidP="00A11AF5">
            <w:pPr>
              <w:pStyle w:val="TableBullet"/>
              <w:numPr>
                <w:ilvl w:val="0"/>
                <w:numId w:val="55"/>
              </w:numPr>
              <w:spacing w:before="60" w:after="0" w:line="271" w:lineRule="auto"/>
              <w:ind w:left="578" w:hanging="357"/>
              <w:contextualSpacing w:val="0"/>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B16E6B">
              <w:rPr>
                <w:rFonts w:cs="Arial"/>
                <w:color w:val="auto"/>
                <w:sz w:val="16"/>
                <w:szCs w:val="16"/>
              </w:rPr>
              <w:t>how it will impact escort arrangements for persons in lawful custody</w:t>
            </w:r>
          </w:p>
        </w:tc>
      </w:tr>
    </w:tbl>
    <w:p w14:paraId="4A363D7C" w14:textId="77777777" w:rsidR="00CA4481" w:rsidRPr="00B16E6B" w:rsidRDefault="00CA4481" w:rsidP="009613E1">
      <w:pPr>
        <w:autoSpaceDE w:val="0"/>
        <w:autoSpaceDN w:val="0"/>
        <w:adjustRightInd w:val="0"/>
        <w:spacing w:after="0" w:line="271" w:lineRule="auto"/>
        <w:rPr>
          <w:rFonts w:cstheme="majorHAnsi"/>
          <w:b/>
          <w:sz w:val="20"/>
          <w:szCs w:val="20"/>
          <w:lang w:eastAsia="en-AU"/>
        </w:rPr>
      </w:pPr>
    </w:p>
    <w:p w14:paraId="1DE19651" w14:textId="54651402" w:rsidR="00CA4481" w:rsidRPr="00B16E6B" w:rsidRDefault="00CA4481" w:rsidP="009613E1">
      <w:pPr>
        <w:tabs>
          <w:tab w:val="left" w:pos="2431"/>
        </w:tabs>
        <w:spacing w:line="271" w:lineRule="auto"/>
        <w:rPr>
          <w:rFonts w:cstheme="majorHAnsi"/>
          <w:sz w:val="20"/>
          <w:szCs w:val="20"/>
          <w:lang w:eastAsia="en-AU"/>
        </w:rPr>
      </w:pPr>
      <w:r w:rsidRPr="00B16E6B">
        <w:rPr>
          <w:sz w:val="18"/>
        </w:rPr>
        <w:t xml:space="preserve">*Note: </w:t>
      </w:r>
      <w:r w:rsidR="002C5755" w:rsidRPr="00B16E6B">
        <w:rPr>
          <w:sz w:val="18"/>
        </w:rPr>
        <w:t>measure</w:t>
      </w:r>
      <w:r w:rsidRPr="00B16E6B">
        <w:rPr>
          <w:sz w:val="18"/>
        </w:rPr>
        <w:t xml:space="preserve">s 9, 10 and 15 are not included in this table as no feedback warranting </w:t>
      </w:r>
      <w:r w:rsidR="00487C6A" w:rsidRPr="00B16E6B">
        <w:rPr>
          <w:sz w:val="18"/>
        </w:rPr>
        <w:t>government</w:t>
      </w:r>
      <w:r w:rsidRPr="00B16E6B">
        <w:rPr>
          <w:sz w:val="18"/>
        </w:rPr>
        <w:t xml:space="preserve"> response was received. </w:t>
      </w:r>
      <w:r w:rsidRPr="00B16E6B">
        <w:rPr>
          <w:rFonts w:cstheme="majorHAnsi"/>
          <w:sz w:val="20"/>
          <w:szCs w:val="20"/>
          <w:lang w:eastAsia="en-AU"/>
        </w:rPr>
        <w:t xml:space="preserve"> </w:t>
      </w:r>
      <w:r w:rsidRPr="00B16E6B">
        <w:rPr>
          <w:rFonts w:cstheme="majorHAnsi"/>
          <w:sz w:val="20"/>
          <w:szCs w:val="20"/>
          <w:lang w:eastAsia="en-AU"/>
        </w:rPr>
        <w:tab/>
      </w:r>
    </w:p>
    <w:p w14:paraId="725053DA" w14:textId="77777777" w:rsidR="00517FAB" w:rsidRPr="00B16E6B" w:rsidRDefault="00CA4481" w:rsidP="009613E1">
      <w:pPr>
        <w:tabs>
          <w:tab w:val="left" w:pos="2431"/>
        </w:tabs>
        <w:spacing w:line="271" w:lineRule="auto"/>
        <w:rPr>
          <w:rFonts w:cstheme="majorHAnsi"/>
          <w:sz w:val="20"/>
          <w:szCs w:val="20"/>
          <w:lang w:eastAsia="en-AU"/>
        </w:rPr>
        <w:sectPr w:rsidR="00517FAB" w:rsidRPr="00B16E6B" w:rsidSect="0000375D">
          <w:pgSz w:w="16838" w:h="11906" w:orient="landscape"/>
          <w:pgMar w:top="1134" w:right="1843" w:bottom="1134" w:left="1701" w:header="992" w:footer="709" w:gutter="0"/>
          <w:cols w:space="708"/>
          <w:titlePg/>
          <w:docGrid w:linePitch="360"/>
        </w:sectPr>
      </w:pPr>
      <w:r w:rsidRPr="00B16E6B">
        <w:rPr>
          <w:rFonts w:cstheme="majorHAnsi"/>
          <w:sz w:val="20"/>
          <w:szCs w:val="20"/>
          <w:lang w:eastAsia="en-AU"/>
        </w:rPr>
        <w:tab/>
      </w:r>
    </w:p>
    <w:p w14:paraId="33BC0C88" w14:textId="42CD4F83" w:rsidR="00F1683C" w:rsidRPr="00B16E6B" w:rsidRDefault="00F1683C" w:rsidP="009613E1">
      <w:pPr>
        <w:spacing w:line="271" w:lineRule="auto"/>
        <w:rPr>
          <w:rFonts w:eastAsia="Times New Roman"/>
          <w:lang w:eastAsia="en-AU"/>
        </w:rPr>
      </w:pPr>
      <w:r w:rsidRPr="00B16E6B">
        <w:rPr>
          <w:rFonts w:asciiTheme="majorHAnsi" w:eastAsia="Times New Roman" w:hAnsiTheme="majorHAnsi" w:cstheme="minorHAnsi"/>
          <w:color w:val="1C2B39" w:themeColor="accent1"/>
          <w:sz w:val="24"/>
          <w:szCs w:val="24"/>
          <w:lang w:eastAsia="en-AU"/>
        </w:rPr>
        <w:lastRenderedPageBreak/>
        <w:t xml:space="preserve">5.2.3 Feedback received through consultation on the first pass IA     </w:t>
      </w:r>
    </w:p>
    <w:p w14:paraId="50397A19" w14:textId="6AF54585" w:rsidR="00F1683C" w:rsidRPr="00B16E6B" w:rsidRDefault="00F1683C" w:rsidP="009613E1">
      <w:pPr>
        <w:spacing w:line="271" w:lineRule="auto"/>
        <w:rPr>
          <w:rFonts w:eastAsia="Times New Roman" w:cs="Arial"/>
          <w:szCs w:val="20"/>
          <w:lang w:eastAsia="en-AU"/>
        </w:rPr>
      </w:pPr>
      <w:r w:rsidRPr="00B16E6B">
        <w:rPr>
          <w:rFonts w:eastAsia="Times New Roman" w:cs="Arial"/>
          <w:szCs w:val="20"/>
          <w:lang w:eastAsia="en-AU"/>
        </w:rPr>
        <w:t xml:space="preserve">The first pass IA was released </w:t>
      </w:r>
      <w:r w:rsidR="00063F89" w:rsidRPr="00B16E6B">
        <w:rPr>
          <w:rFonts w:eastAsia="Times New Roman" w:cs="Arial"/>
          <w:szCs w:val="20"/>
          <w:lang w:eastAsia="en-AU"/>
        </w:rPr>
        <w:t xml:space="preserve">to industry for verification of its cost estimates </w:t>
      </w:r>
      <w:r w:rsidRPr="00B16E6B">
        <w:rPr>
          <w:rFonts w:eastAsia="Times New Roman" w:cs="Arial"/>
          <w:szCs w:val="20"/>
          <w:lang w:eastAsia="en-AU"/>
        </w:rPr>
        <w:t>on 17 October 2024, requesting written submissions be sent to the department by 24 October 2024. The department sought submissions from over 2000 stakeholders on the first pass IA, with 10 entities providing written submissions.</w:t>
      </w:r>
    </w:p>
    <w:p w14:paraId="221EA351" w14:textId="1D72F3C7" w:rsidR="00576CE6" w:rsidRPr="00B16E6B" w:rsidRDefault="00F1683C" w:rsidP="00576CE6">
      <w:pPr>
        <w:spacing w:line="271" w:lineRule="auto"/>
        <w:rPr>
          <w:rFonts w:eastAsia="Times New Roman" w:cs="Arial"/>
          <w:szCs w:val="20"/>
          <w:lang w:eastAsia="en-AU"/>
        </w:rPr>
      </w:pPr>
      <w:r w:rsidRPr="00B16E6B">
        <w:rPr>
          <w:rFonts w:eastAsia="Times New Roman" w:cs="Arial"/>
          <w:szCs w:val="20"/>
          <w:lang w:eastAsia="en-AU"/>
        </w:rPr>
        <w:t xml:space="preserve">In general, the consultation feedback from industry on the first pass IA </w:t>
      </w:r>
      <w:r w:rsidR="00576CE6" w:rsidRPr="00B16E6B">
        <w:rPr>
          <w:rFonts w:eastAsia="Times New Roman" w:cs="Arial"/>
          <w:szCs w:val="20"/>
          <w:lang w:eastAsia="en-AU"/>
        </w:rPr>
        <w:t xml:space="preserve">analysis </w:t>
      </w:r>
      <w:r w:rsidRPr="00B16E6B">
        <w:rPr>
          <w:rFonts w:eastAsia="Times New Roman" w:cs="Arial"/>
          <w:szCs w:val="20"/>
          <w:lang w:eastAsia="en-AU"/>
        </w:rPr>
        <w:t xml:space="preserve">was </w:t>
      </w:r>
      <w:r w:rsidR="00576CE6" w:rsidRPr="00B16E6B">
        <w:rPr>
          <w:rFonts w:eastAsia="Times New Roman" w:cs="Arial"/>
          <w:szCs w:val="20"/>
          <w:lang w:eastAsia="en-AU"/>
        </w:rPr>
        <w:t>disparate</w:t>
      </w:r>
      <w:r w:rsidRPr="00B16E6B">
        <w:rPr>
          <w:rFonts w:eastAsia="Times New Roman" w:cs="Arial"/>
          <w:szCs w:val="20"/>
          <w:lang w:eastAsia="en-AU"/>
        </w:rPr>
        <w:t xml:space="preserve">. </w:t>
      </w:r>
      <w:r w:rsidR="00576CE6" w:rsidRPr="00B16E6B">
        <w:rPr>
          <w:lang w:val="en-US"/>
        </w:rPr>
        <w:t xml:space="preserve">The department received </w:t>
      </w:r>
      <w:r w:rsidR="00706FE1" w:rsidRPr="00B16E6B">
        <w:rPr>
          <w:lang w:val="en-US"/>
        </w:rPr>
        <w:t>10</w:t>
      </w:r>
      <w:r w:rsidR="00576CE6" w:rsidRPr="00B16E6B">
        <w:rPr>
          <w:lang w:val="en-US"/>
        </w:rPr>
        <w:t xml:space="preserve"> responses – </w:t>
      </w:r>
      <w:r w:rsidR="007206A9" w:rsidRPr="00B16E6B">
        <w:rPr>
          <w:lang w:val="en-US"/>
        </w:rPr>
        <w:t>5</w:t>
      </w:r>
      <w:r w:rsidR="00576CE6" w:rsidRPr="00B16E6B">
        <w:rPr>
          <w:lang w:val="en-US"/>
        </w:rPr>
        <w:t xml:space="preserve"> </w:t>
      </w:r>
      <w:r w:rsidR="00F72AEC" w:rsidRPr="00B16E6B">
        <w:rPr>
          <w:lang w:val="en-US"/>
        </w:rPr>
        <w:t>entities</w:t>
      </w:r>
      <w:r w:rsidR="00576CE6" w:rsidRPr="00B16E6B">
        <w:rPr>
          <w:lang w:val="en-US"/>
        </w:rPr>
        <w:t xml:space="preserve"> agreed with option 4 being the best option, 1 </w:t>
      </w:r>
      <w:r w:rsidR="00F72AEC" w:rsidRPr="00B16E6B">
        <w:rPr>
          <w:lang w:val="en-US"/>
        </w:rPr>
        <w:t>entity</w:t>
      </w:r>
      <w:r w:rsidR="00576CE6" w:rsidRPr="00B16E6B">
        <w:rPr>
          <w:lang w:val="en-US"/>
        </w:rPr>
        <w:t xml:space="preserve"> considered option 3 to be more reasonable and the remainder were unable or did not provide a view, citing additional information on </w:t>
      </w:r>
      <w:r w:rsidR="00F72AEC" w:rsidRPr="00B16E6B">
        <w:rPr>
          <w:lang w:val="en-US"/>
        </w:rPr>
        <w:t>specifics of</w:t>
      </w:r>
      <w:r w:rsidR="00576CE6" w:rsidRPr="00B16E6B">
        <w:rPr>
          <w:lang w:val="en-US"/>
        </w:rPr>
        <w:t xml:space="preserve"> the obligations was needed to form a view.  </w:t>
      </w:r>
    </w:p>
    <w:p w14:paraId="480DEFDE" w14:textId="1E7C641F" w:rsidR="00F1683C" w:rsidRPr="00B16E6B" w:rsidRDefault="001F3E32" w:rsidP="00F72AEC">
      <w:pPr>
        <w:spacing w:line="271" w:lineRule="auto"/>
        <w:rPr>
          <w:rFonts w:eastAsia="Times New Roman" w:cs="Arial"/>
          <w:szCs w:val="20"/>
          <w:lang w:eastAsia="en-AU"/>
        </w:rPr>
      </w:pPr>
      <w:r w:rsidRPr="00B16E6B">
        <w:rPr>
          <w:rFonts w:eastAsia="Times New Roman" w:cs="Arial"/>
          <w:szCs w:val="20"/>
          <w:lang w:eastAsia="en-AU"/>
        </w:rPr>
        <w:t xml:space="preserve">Respondents generally agreed that the cost split between obligations in option 4 and presented in table 14 were reasonable based on the information provided. However, the </w:t>
      </w:r>
      <w:r w:rsidR="00F1683C" w:rsidRPr="00B16E6B">
        <w:rPr>
          <w:rFonts w:eastAsia="Times New Roman" w:cs="Arial"/>
          <w:szCs w:val="20"/>
          <w:lang w:eastAsia="en-AU"/>
        </w:rPr>
        <w:t>majority of responses</w:t>
      </w:r>
      <w:r w:rsidR="00F72AEC" w:rsidRPr="00B16E6B">
        <w:rPr>
          <w:rFonts w:eastAsia="Times New Roman" w:cs="Arial"/>
          <w:szCs w:val="20"/>
          <w:lang w:eastAsia="en-AU"/>
        </w:rPr>
        <w:t xml:space="preserve"> were unable to verify whether the assessment of cost impacts and expected net benefits were reasonable. </w:t>
      </w:r>
      <w:r w:rsidR="00F1683C" w:rsidRPr="00B16E6B">
        <w:rPr>
          <w:rFonts w:eastAsia="Times New Roman" w:cs="Arial"/>
          <w:szCs w:val="20"/>
          <w:lang w:eastAsia="en-AU"/>
        </w:rPr>
        <w:t xml:space="preserve">While generally supportive, several </w:t>
      </w:r>
      <w:r w:rsidR="00F12080" w:rsidRPr="00B16E6B">
        <w:rPr>
          <w:rFonts w:eastAsia="Times New Roman" w:cs="Arial"/>
          <w:szCs w:val="20"/>
          <w:lang w:eastAsia="en-AU"/>
        </w:rPr>
        <w:t>submissions noted that an absence of specific guidelines and regulations in relation to the proposed option 4 measures made an assessment of the reasonableness of</w:t>
      </w:r>
      <w:r w:rsidR="00F1683C" w:rsidRPr="00B16E6B">
        <w:rPr>
          <w:rFonts w:eastAsia="Times New Roman" w:cs="Arial"/>
          <w:szCs w:val="20"/>
          <w:lang w:eastAsia="en-AU"/>
        </w:rPr>
        <w:t xml:space="preserve"> costs difficult.</w:t>
      </w:r>
      <w:r w:rsidR="00F72AEC" w:rsidRPr="00B16E6B">
        <w:rPr>
          <w:rFonts w:eastAsia="Times New Roman" w:cs="Arial"/>
          <w:szCs w:val="20"/>
          <w:lang w:eastAsia="en-AU"/>
        </w:rPr>
        <w:t xml:space="preserve"> </w:t>
      </w:r>
    </w:p>
    <w:p w14:paraId="0EADB567" w14:textId="77777777" w:rsidR="007A2B9E" w:rsidRPr="00B16E6B" w:rsidRDefault="007A2B9E" w:rsidP="009613E1">
      <w:pPr>
        <w:pStyle w:val="Heading3"/>
        <w:spacing w:line="271" w:lineRule="auto"/>
        <w:rPr>
          <w:rFonts w:eastAsia="Times New Roman"/>
          <w:lang w:eastAsia="en-AU"/>
        </w:rPr>
      </w:pPr>
      <w:r w:rsidRPr="00B16E6B">
        <w:rPr>
          <w:rFonts w:eastAsia="Times New Roman"/>
          <w:lang w:eastAsia="en-AU"/>
        </w:rPr>
        <w:t>5.2.3 Evaluating regulatory impacts</w:t>
      </w:r>
    </w:p>
    <w:p w14:paraId="3914F6C7" w14:textId="35A3ABD1" w:rsidR="007A2B9E" w:rsidRPr="00B16E6B" w:rsidRDefault="007A2B9E" w:rsidP="009613E1">
      <w:pPr>
        <w:spacing w:line="271" w:lineRule="auto"/>
        <w:rPr>
          <w:rFonts w:eastAsia="Times New Roman"/>
          <w:lang w:eastAsia="en-AU"/>
        </w:rPr>
      </w:pPr>
      <w:r w:rsidRPr="00B16E6B">
        <w:rPr>
          <w:rFonts w:eastAsia="Times New Roman"/>
          <w:lang w:eastAsia="en-AU"/>
        </w:rPr>
        <w:t>For the reform proposa</w:t>
      </w:r>
      <w:r w:rsidR="000D181B" w:rsidRPr="00B16E6B">
        <w:rPr>
          <w:rFonts w:eastAsia="Times New Roman"/>
          <w:lang w:eastAsia="en-AU"/>
        </w:rPr>
        <w:t>ls to achieve their goals, the d</w:t>
      </w:r>
      <w:r w:rsidRPr="00B16E6B">
        <w:rPr>
          <w:rFonts w:eastAsia="Times New Roman"/>
          <w:lang w:eastAsia="en-AU"/>
        </w:rPr>
        <w:t>epartment is committed to ensuring that the benefits of regulatory change outweigh any regulatory impact</w:t>
      </w:r>
      <w:r w:rsidR="00983815" w:rsidRPr="00B16E6B">
        <w:rPr>
          <w:rFonts w:eastAsia="Times New Roman"/>
          <w:lang w:eastAsia="en-AU"/>
        </w:rPr>
        <w:t>, while achieving the government’s objectives</w:t>
      </w:r>
      <w:r w:rsidRPr="00B16E6B">
        <w:rPr>
          <w:rFonts w:eastAsia="Times New Roman"/>
          <w:lang w:eastAsia="en-AU"/>
        </w:rPr>
        <w:t xml:space="preserve">. This requires understanding the full extent of regulatory impacts through a comprehensive IA assessment. </w:t>
      </w:r>
    </w:p>
    <w:p w14:paraId="2A185A8A" w14:textId="271823E1" w:rsidR="00983815" w:rsidRPr="00B16E6B" w:rsidRDefault="007A2B9E" w:rsidP="00950E8A">
      <w:pPr>
        <w:spacing w:line="271" w:lineRule="auto"/>
        <w:rPr>
          <w:rFonts w:asciiTheme="majorHAnsi" w:eastAsia="Times New Roman" w:hAnsiTheme="majorHAnsi" w:cstheme="majorBidi"/>
          <w:color w:val="1C2B39" w:themeColor="accent1"/>
          <w:sz w:val="36"/>
          <w:szCs w:val="28"/>
          <w:lang w:eastAsia="en-AU"/>
        </w:rPr>
      </w:pPr>
      <w:r w:rsidRPr="00B16E6B">
        <w:rPr>
          <w:rFonts w:eastAsia="Times New Roman"/>
          <w:lang w:eastAsia="en-AU"/>
        </w:rPr>
        <w:t>To</w:t>
      </w:r>
      <w:r w:rsidR="00983815" w:rsidRPr="00B16E6B">
        <w:rPr>
          <w:rFonts w:eastAsia="Times New Roman"/>
          <w:lang w:eastAsia="en-AU"/>
        </w:rPr>
        <w:t xml:space="preserve"> supplement feedback received on</w:t>
      </w:r>
      <w:r w:rsidR="000D181B" w:rsidRPr="00B16E6B">
        <w:rPr>
          <w:rFonts w:eastAsia="Times New Roman"/>
          <w:lang w:eastAsia="en-AU"/>
        </w:rPr>
        <w:t xml:space="preserve"> the Consultation Paper, the d</w:t>
      </w:r>
      <w:r w:rsidRPr="00B16E6B">
        <w:rPr>
          <w:rFonts w:eastAsia="Times New Roman"/>
          <w:lang w:eastAsia="en-AU"/>
        </w:rPr>
        <w:t>epartment also sought to obtain views from industry o</w:t>
      </w:r>
      <w:r w:rsidR="002841F5" w:rsidRPr="00B16E6B">
        <w:rPr>
          <w:rFonts w:eastAsia="Times New Roman"/>
          <w:lang w:eastAsia="en-AU"/>
        </w:rPr>
        <w:t>n the financial impacts of the 15</w:t>
      </w:r>
      <w:r w:rsidRPr="00B16E6B">
        <w:rPr>
          <w:rFonts w:eastAsia="Times New Roman"/>
          <w:lang w:eastAsia="en-AU"/>
        </w:rPr>
        <w:t xml:space="preserve"> measures</w:t>
      </w:r>
      <w:r w:rsidR="000D181B" w:rsidRPr="00B16E6B">
        <w:rPr>
          <w:rFonts w:eastAsia="Times New Roman"/>
          <w:lang w:eastAsia="en-AU"/>
        </w:rPr>
        <w:t xml:space="preserve"> set out in this document. The d</w:t>
      </w:r>
      <w:r w:rsidRPr="00B16E6B">
        <w:rPr>
          <w:rFonts w:eastAsia="Times New Roman"/>
          <w:lang w:eastAsia="en-AU"/>
        </w:rPr>
        <w:t xml:space="preserve">epartment received costing information from </w:t>
      </w:r>
      <w:r w:rsidR="00983815" w:rsidRPr="00B16E6B">
        <w:rPr>
          <w:rFonts w:eastAsia="Times New Roman"/>
          <w:lang w:eastAsia="en-AU"/>
        </w:rPr>
        <w:t>four</w:t>
      </w:r>
      <w:r w:rsidRPr="00B16E6B">
        <w:rPr>
          <w:rFonts w:eastAsia="Times New Roman"/>
          <w:lang w:eastAsia="en-AU"/>
        </w:rPr>
        <w:t xml:space="preserve"> </w:t>
      </w:r>
      <w:r w:rsidR="00736EA3" w:rsidRPr="00B16E6B">
        <w:rPr>
          <w:rFonts w:eastAsia="Times New Roman"/>
          <w:lang w:eastAsia="en-AU"/>
        </w:rPr>
        <w:t>industry participant</w:t>
      </w:r>
      <w:r w:rsidRPr="00B16E6B">
        <w:rPr>
          <w:rFonts w:eastAsia="Times New Roman"/>
          <w:lang w:eastAsia="en-AU"/>
        </w:rPr>
        <w:t xml:space="preserve">s, which has been incorporated into the cost benefit analysis contained in </w:t>
      </w:r>
      <w:r w:rsidR="002C5755" w:rsidRPr="00B16E6B">
        <w:rPr>
          <w:rFonts w:eastAsia="Times New Roman"/>
          <w:lang w:eastAsia="en-AU"/>
        </w:rPr>
        <w:t>question</w:t>
      </w:r>
      <w:r w:rsidRPr="00B16E6B">
        <w:rPr>
          <w:rFonts w:eastAsia="Times New Roman"/>
          <w:lang w:eastAsia="en-AU"/>
        </w:rPr>
        <w:t xml:space="preserve"> 4 of this IA. </w:t>
      </w:r>
    </w:p>
    <w:p w14:paraId="21A6C920" w14:textId="20C469B7" w:rsidR="007A2B9E" w:rsidRPr="00B16E6B" w:rsidRDefault="007A2B9E" w:rsidP="009613E1">
      <w:pPr>
        <w:pStyle w:val="Heading2"/>
        <w:spacing w:line="271" w:lineRule="auto"/>
        <w:rPr>
          <w:rFonts w:eastAsia="Times New Roman"/>
          <w:lang w:eastAsia="en-AU"/>
        </w:rPr>
      </w:pPr>
      <w:r w:rsidRPr="00B16E6B">
        <w:rPr>
          <w:rFonts w:eastAsia="Times New Roman"/>
          <w:lang w:eastAsia="en-AU"/>
        </w:rPr>
        <w:t xml:space="preserve">5.3 Future consultation </w:t>
      </w:r>
    </w:p>
    <w:p w14:paraId="3B360D58" w14:textId="3982D310" w:rsidR="004F60BF" w:rsidRPr="00B16E6B" w:rsidRDefault="004F60BF" w:rsidP="009613E1">
      <w:pPr>
        <w:spacing w:before="120" w:after="120" w:line="271" w:lineRule="auto"/>
        <w:rPr>
          <w:b/>
          <w:bCs/>
          <w:sz w:val="20"/>
          <w:szCs w:val="20"/>
        </w:rPr>
      </w:pPr>
      <w:r w:rsidRPr="00B16E6B">
        <w:rPr>
          <w:bCs/>
          <w:szCs w:val="20"/>
        </w:rPr>
        <w:t>Recent incidents have highlighted the transport sector is vulnerable to a wide range of risks, including cyber security risks, supply chain disruptions, and natural hazards. Without mandatory all hazard security obligations</w:t>
      </w:r>
      <w:r w:rsidR="001E3E82" w:rsidRPr="00B16E6B">
        <w:rPr>
          <w:bCs/>
          <w:szCs w:val="20"/>
        </w:rPr>
        <w:t>,</w:t>
      </w:r>
      <w:r w:rsidRPr="00B16E6B">
        <w:rPr>
          <w:bCs/>
          <w:szCs w:val="20"/>
        </w:rPr>
        <w:t xml:space="preserve"> the transport sector will remain vulnerable to security threats, which would compromise the reliability, continuity and security of Australia’s critical infrastructure. This would have subsequent impacts for Australia’s prosperity and security, by disrupting essential services.</w:t>
      </w:r>
    </w:p>
    <w:p w14:paraId="4FF3A007" w14:textId="77777777" w:rsidR="005A381C" w:rsidRPr="00B16E6B" w:rsidRDefault="004F60BF" w:rsidP="009613E1">
      <w:pPr>
        <w:spacing w:before="120" w:after="120" w:line="271" w:lineRule="auto"/>
        <w:rPr>
          <w:bCs/>
          <w:szCs w:val="20"/>
        </w:rPr>
      </w:pPr>
      <w:r w:rsidRPr="00B16E6B">
        <w:rPr>
          <w:bCs/>
          <w:szCs w:val="20"/>
        </w:rPr>
        <w:t xml:space="preserve">Expediting the introduction of the Bill, and the stronger security measures it contains, will help to address these threats. </w:t>
      </w:r>
      <w:r w:rsidR="005A381C" w:rsidRPr="00B16E6B">
        <w:rPr>
          <w:bCs/>
          <w:szCs w:val="20"/>
        </w:rPr>
        <w:t>These</w:t>
      </w:r>
      <w:r w:rsidR="00983815" w:rsidRPr="00B16E6B">
        <w:rPr>
          <w:bCs/>
          <w:szCs w:val="20"/>
        </w:rPr>
        <w:t xml:space="preserve"> measures are</w:t>
      </w:r>
      <w:r w:rsidRPr="00B16E6B">
        <w:rPr>
          <w:bCs/>
          <w:szCs w:val="20"/>
        </w:rPr>
        <w:t xml:space="preserve"> well-socialised </w:t>
      </w:r>
      <w:r w:rsidR="00983815" w:rsidRPr="00B16E6B">
        <w:rPr>
          <w:bCs/>
          <w:szCs w:val="20"/>
        </w:rPr>
        <w:t>with industry through specific consultation rounds and</w:t>
      </w:r>
      <w:r w:rsidR="005A381C" w:rsidRPr="00B16E6B">
        <w:rPr>
          <w:bCs/>
          <w:szCs w:val="20"/>
        </w:rPr>
        <w:t xml:space="preserve"> discussion at industry forums. </w:t>
      </w:r>
    </w:p>
    <w:p w14:paraId="75DC5D37" w14:textId="1C310ADF" w:rsidR="004F60BF" w:rsidRPr="00B16E6B" w:rsidRDefault="005A381C" w:rsidP="009613E1">
      <w:pPr>
        <w:spacing w:before="120" w:after="120" w:line="271" w:lineRule="auto"/>
        <w:rPr>
          <w:b/>
          <w:bCs/>
          <w:szCs w:val="20"/>
        </w:rPr>
      </w:pPr>
      <w:r w:rsidRPr="00B16E6B">
        <w:rPr>
          <w:bCs/>
          <w:szCs w:val="20"/>
        </w:rPr>
        <w:t xml:space="preserve">Given the compressed timeframes to introduce the Bill, we are unable to provide an industry with a draft Bill for consultation. The department will hold a town hall with industry to discuss the Bill text and upon request bilateral meetings with individual entities.  </w:t>
      </w:r>
    </w:p>
    <w:p w14:paraId="2FF3082B" w14:textId="77777777" w:rsidR="00950E8A" w:rsidRPr="00B16E6B" w:rsidRDefault="00950E8A">
      <w:pPr>
        <w:spacing w:after="200" w:line="288" w:lineRule="auto"/>
        <w:rPr>
          <w:bCs/>
          <w:szCs w:val="20"/>
        </w:rPr>
      </w:pPr>
      <w:r w:rsidRPr="00B16E6B">
        <w:rPr>
          <w:bCs/>
          <w:szCs w:val="20"/>
        </w:rPr>
        <w:br w:type="page"/>
      </w:r>
    </w:p>
    <w:p w14:paraId="7BF7A197" w14:textId="6552AE3B" w:rsidR="005A381C" w:rsidRPr="00B16E6B" w:rsidRDefault="004F60BF" w:rsidP="009613E1">
      <w:pPr>
        <w:spacing w:before="120" w:after="120" w:line="271" w:lineRule="auto"/>
        <w:rPr>
          <w:bCs/>
          <w:szCs w:val="20"/>
        </w:rPr>
      </w:pPr>
      <w:r w:rsidRPr="00B16E6B">
        <w:rPr>
          <w:bCs/>
          <w:szCs w:val="20"/>
        </w:rPr>
        <w:lastRenderedPageBreak/>
        <w:t>Future consultation and support</w:t>
      </w:r>
      <w:r w:rsidR="00983815" w:rsidRPr="00B16E6B">
        <w:rPr>
          <w:bCs/>
          <w:szCs w:val="20"/>
        </w:rPr>
        <w:t xml:space="preserve"> with industry</w:t>
      </w:r>
      <w:r w:rsidRPr="00B16E6B">
        <w:rPr>
          <w:bCs/>
          <w:szCs w:val="20"/>
        </w:rPr>
        <w:t xml:space="preserve"> will </w:t>
      </w:r>
      <w:r w:rsidR="005A381C" w:rsidRPr="00B16E6B">
        <w:rPr>
          <w:bCs/>
          <w:szCs w:val="20"/>
        </w:rPr>
        <w:t>also comprise:</w:t>
      </w:r>
    </w:p>
    <w:p w14:paraId="5EB0BA4E" w14:textId="212893D7" w:rsidR="001E3E82" w:rsidRPr="00B16E6B" w:rsidRDefault="005A381C" w:rsidP="00A11AF5">
      <w:pPr>
        <w:pStyle w:val="ListParagraph"/>
        <w:numPr>
          <w:ilvl w:val="0"/>
          <w:numId w:val="51"/>
        </w:numPr>
        <w:spacing w:before="120" w:after="120" w:line="271" w:lineRule="auto"/>
        <w:rPr>
          <w:rStyle w:val="ui-provider"/>
          <w:szCs w:val="20"/>
        </w:rPr>
      </w:pPr>
      <w:r w:rsidRPr="00B16E6B">
        <w:rPr>
          <w:bCs/>
          <w:szCs w:val="20"/>
        </w:rPr>
        <w:t xml:space="preserve">the distribution of </w:t>
      </w:r>
      <w:r w:rsidR="004F60BF" w:rsidRPr="00B16E6B">
        <w:rPr>
          <w:bCs/>
          <w:szCs w:val="20"/>
        </w:rPr>
        <w:t xml:space="preserve">guidance material on </w:t>
      </w:r>
      <w:r w:rsidR="004F60BF" w:rsidRPr="00B16E6B">
        <w:rPr>
          <w:rStyle w:val="ui-provider"/>
          <w:szCs w:val="20"/>
        </w:rPr>
        <w:t xml:space="preserve">how the legislative frameworks are changing, which new obligations will apply to each cohort of </w:t>
      </w:r>
      <w:r w:rsidR="00CA5616" w:rsidRPr="00B16E6B">
        <w:rPr>
          <w:rStyle w:val="ui-provider"/>
          <w:szCs w:val="20"/>
        </w:rPr>
        <w:t>entities</w:t>
      </w:r>
      <w:r w:rsidR="004F60BF" w:rsidRPr="00B16E6B">
        <w:rPr>
          <w:rStyle w:val="ui-provider"/>
          <w:szCs w:val="20"/>
        </w:rPr>
        <w:t>, and some examples of how to best meet these obligations. The guidance material will also address common questions from previous rounds of consultation.</w:t>
      </w:r>
      <w:r w:rsidRPr="00B16E6B">
        <w:rPr>
          <w:rStyle w:val="ui-provider"/>
          <w:szCs w:val="20"/>
        </w:rPr>
        <w:t xml:space="preserve"> </w:t>
      </w:r>
    </w:p>
    <w:p w14:paraId="3053E2E6" w14:textId="77777777" w:rsidR="005A381C" w:rsidRPr="00B16E6B" w:rsidRDefault="005A381C" w:rsidP="00A11AF5">
      <w:pPr>
        <w:pStyle w:val="ListParagraph"/>
        <w:numPr>
          <w:ilvl w:val="0"/>
          <w:numId w:val="51"/>
        </w:numPr>
        <w:spacing w:before="120" w:after="120" w:line="271" w:lineRule="auto"/>
        <w:rPr>
          <w:rStyle w:val="ui-provider"/>
          <w:szCs w:val="20"/>
        </w:rPr>
      </w:pPr>
      <w:r w:rsidRPr="00B16E6B">
        <w:rPr>
          <w:rStyle w:val="ui-provider"/>
          <w:szCs w:val="20"/>
        </w:rPr>
        <w:t>Transport Security Reforms Advisory Committee meetings to discuss the development and progress of the reforms and discuss issues topical to industry participants.</w:t>
      </w:r>
    </w:p>
    <w:p w14:paraId="421B6221" w14:textId="62233649" w:rsidR="005A381C" w:rsidRPr="00B16E6B" w:rsidRDefault="005A381C" w:rsidP="00A11AF5">
      <w:pPr>
        <w:pStyle w:val="ListParagraph"/>
        <w:numPr>
          <w:ilvl w:val="0"/>
          <w:numId w:val="51"/>
        </w:numPr>
        <w:spacing w:before="120" w:after="120" w:line="271" w:lineRule="auto"/>
        <w:rPr>
          <w:szCs w:val="20"/>
        </w:rPr>
      </w:pPr>
      <w:r w:rsidRPr="00B16E6B">
        <w:rPr>
          <w:bCs/>
          <w:szCs w:val="20"/>
        </w:rPr>
        <w:t xml:space="preserve">Consideration of the </w:t>
      </w:r>
      <w:r w:rsidR="001E3E82" w:rsidRPr="00B16E6B">
        <w:rPr>
          <w:bCs/>
          <w:szCs w:val="20"/>
        </w:rPr>
        <w:t xml:space="preserve">consequential amendments </w:t>
      </w:r>
      <w:r w:rsidRPr="00B16E6B">
        <w:rPr>
          <w:bCs/>
          <w:szCs w:val="20"/>
        </w:rPr>
        <w:t xml:space="preserve">as they </w:t>
      </w:r>
      <w:r w:rsidR="001E3E82" w:rsidRPr="00B16E6B">
        <w:rPr>
          <w:bCs/>
          <w:szCs w:val="20"/>
        </w:rPr>
        <w:t>are progressed, including on all hazards security obligations, security controlled activities, maritime system testing, demerit points for air cargo, infrequent international vessels, dual purpose vessels and security regulated port definition.</w:t>
      </w:r>
      <w:r w:rsidRPr="00B16E6B">
        <w:rPr>
          <w:bCs/>
          <w:szCs w:val="20"/>
        </w:rPr>
        <w:t xml:space="preserve"> </w:t>
      </w:r>
    </w:p>
    <w:p w14:paraId="0ED5521C" w14:textId="1EA343AE" w:rsidR="005A381C" w:rsidRPr="00B16E6B" w:rsidRDefault="005A381C" w:rsidP="00A11AF5">
      <w:pPr>
        <w:pStyle w:val="ListParagraph"/>
        <w:numPr>
          <w:ilvl w:val="0"/>
          <w:numId w:val="51"/>
        </w:numPr>
        <w:spacing w:before="120" w:after="120" w:line="271" w:lineRule="auto"/>
        <w:rPr>
          <w:b/>
          <w:bCs/>
          <w:sz w:val="20"/>
          <w:szCs w:val="20"/>
        </w:rPr>
      </w:pPr>
      <w:r w:rsidRPr="00B16E6B">
        <w:rPr>
          <w:bCs/>
          <w:szCs w:val="20"/>
        </w:rPr>
        <w:t xml:space="preserve">Consideration of any further rounds of reforms. </w:t>
      </w:r>
    </w:p>
    <w:p w14:paraId="04899A30" w14:textId="294AC37D" w:rsidR="005450B9" w:rsidRPr="00B16E6B" w:rsidRDefault="005450B9" w:rsidP="009613E1">
      <w:pPr>
        <w:spacing w:line="271" w:lineRule="auto"/>
        <w:rPr>
          <w:rFonts w:asciiTheme="majorHAnsi" w:eastAsia="Times New Roman" w:hAnsiTheme="majorHAnsi" w:cstheme="minorHAnsi"/>
          <w:b/>
          <w:color w:val="004261" w:themeColor="text2"/>
          <w:szCs w:val="22"/>
          <w:lang w:eastAsia="en-AU"/>
        </w:rPr>
      </w:pPr>
      <w:r w:rsidRPr="00B16E6B">
        <w:br w:type="page"/>
      </w:r>
    </w:p>
    <w:p w14:paraId="2DECC768" w14:textId="77777777" w:rsidR="007E6917" w:rsidRPr="00B16E6B" w:rsidRDefault="007E6917" w:rsidP="009613E1">
      <w:pPr>
        <w:pStyle w:val="Heading1"/>
        <w:numPr>
          <w:ilvl w:val="0"/>
          <w:numId w:val="13"/>
        </w:numPr>
        <w:spacing w:line="271" w:lineRule="auto"/>
      </w:pPr>
      <w:r w:rsidRPr="00B16E6B">
        <w:lastRenderedPageBreak/>
        <w:t>What is the best option from those you have considered and how will it be implemented?</w:t>
      </w:r>
    </w:p>
    <w:p w14:paraId="6FAA9B73" w14:textId="77777777" w:rsidR="007A2B9E" w:rsidRPr="00B16E6B" w:rsidRDefault="007A2B9E" w:rsidP="009613E1">
      <w:pPr>
        <w:pStyle w:val="Heading2"/>
        <w:spacing w:line="271" w:lineRule="auto"/>
        <w:rPr>
          <w:sz w:val="28"/>
        </w:rPr>
      </w:pPr>
      <w:bookmarkStart w:id="29" w:name="_6.1_Best_option"/>
      <w:bookmarkStart w:id="30" w:name="_Toc164683844"/>
      <w:bookmarkEnd w:id="29"/>
      <w:r w:rsidRPr="00B16E6B">
        <w:t>6.1 Best option from those considered</w:t>
      </w:r>
      <w:bookmarkEnd w:id="30"/>
    </w:p>
    <w:p w14:paraId="7F1A6D3B" w14:textId="7228B60F" w:rsidR="007A2B9E" w:rsidRPr="00B16E6B" w:rsidRDefault="007A2B9E" w:rsidP="009613E1">
      <w:pPr>
        <w:spacing w:line="271" w:lineRule="auto"/>
        <w:rPr>
          <w:rFonts w:eastAsia="Times New Roman"/>
          <w:lang w:eastAsia="en-AU"/>
        </w:rPr>
      </w:pPr>
      <w:r w:rsidRPr="00B16E6B">
        <w:rPr>
          <w:rFonts w:eastAsia="Times New Roman"/>
          <w:lang w:eastAsia="en-AU"/>
        </w:rPr>
        <w:t xml:space="preserve">The preceding consultation outcomes and analysis has demonstrated that </w:t>
      </w:r>
      <w:r w:rsidR="00460973" w:rsidRPr="00B16E6B">
        <w:rPr>
          <w:rFonts w:eastAsia="Times New Roman"/>
          <w:lang w:eastAsia="en-AU"/>
        </w:rPr>
        <w:t>option</w:t>
      </w:r>
      <w:r w:rsidRPr="00B16E6B">
        <w:rPr>
          <w:rFonts w:eastAsia="Times New Roman"/>
          <w:lang w:eastAsia="en-AU"/>
        </w:rPr>
        <w:t xml:space="preserve"> 4 – Amend ATSA, MTOFSA and their associated regulations to enact mandatory obligations, is the most suitable option from those considered. </w:t>
      </w:r>
    </w:p>
    <w:p w14:paraId="76FA0AEF" w14:textId="2087E945" w:rsidR="007A2B9E" w:rsidRPr="00B16E6B" w:rsidRDefault="007A2B9E" w:rsidP="009613E1">
      <w:pPr>
        <w:spacing w:line="271" w:lineRule="auto"/>
        <w:rPr>
          <w:rFonts w:eastAsia="Times New Roman"/>
          <w:lang w:eastAsia="en-AU"/>
        </w:rPr>
      </w:pPr>
      <w:r w:rsidRPr="00B16E6B">
        <w:rPr>
          <w:rFonts w:eastAsia="Times New Roman"/>
          <w:lang w:eastAsia="en-AU"/>
        </w:rPr>
        <w:t xml:space="preserve">Section </w:t>
      </w:r>
      <w:r w:rsidR="003C3457" w:rsidRPr="00B16E6B">
        <w:rPr>
          <w:rFonts w:eastAsia="Times New Roman"/>
          <w:lang w:eastAsia="en-AU"/>
        </w:rPr>
        <w:t xml:space="preserve">2 </w:t>
      </w:r>
      <w:r w:rsidRPr="00B16E6B">
        <w:rPr>
          <w:rFonts w:eastAsia="Times New Roman"/>
          <w:lang w:eastAsia="en-AU"/>
        </w:rPr>
        <w:t xml:space="preserve">of this IA identified the objectives of </w:t>
      </w:r>
      <w:r w:rsidR="00487C6A" w:rsidRPr="00B16E6B">
        <w:rPr>
          <w:rFonts w:eastAsia="Times New Roman"/>
          <w:lang w:eastAsia="en-AU"/>
        </w:rPr>
        <w:t>government</w:t>
      </w:r>
      <w:r w:rsidRPr="00B16E6B">
        <w:rPr>
          <w:rFonts w:eastAsia="Times New Roman"/>
          <w:lang w:eastAsia="en-AU"/>
        </w:rPr>
        <w:t xml:space="preserve"> action. These objectives align with, and seek to address, the elements of the problem discussed in Section 1. </w:t>
      </w:r>
      <w:r w:rsidR="00A027FB" w:rsidRPr="00B16E6B">
        <w:rPr>
          <w:rFonts w:eastAsia="Times New Roman"/>
          <w:lang w:eastAsia="en-AU"/>
        </w:rPr>
        <w:t>Table 22</w:t>
      </w:r>
      <w:r w:rsidR="00736EA3" w:rsidRPr="00B16E6B">
        <w:rPr>
          <w:rFonts w:eastAsia="Times New Roman"/>
          <w:lang w:eastAsia="en-AU"/>
        </w:rPr>
        <w:t xml:space="preserve"> </w:t>
      </w:r>
      <w:r w:rsidRPr="00B16E6B">
        <w:rPr>
          <w:rFonts w:eastAsia="Times New Roman"/>
          <w:lang w:eastAsia="en-AU"/>
        </w:rPr>
        <w:t>below demo</w:t>
      </w:r>
      <w:r w:rsidR="00406043" w:rsidRPr="00B16E6B">
        <w:rPr>
          <w:rFonts w:eastAsia="Times New Roman"/>
          <w:lang w:eastAsia="en-AU"/>
        </w:rPr>
        <w:t>nstrates that amendments under o</w:t>
      </w:r>
      <w:r w:rsidRPr="00B16E6B">
        <w:rPr>
          <w:rFonts w:eastAsia="Times New Roman"/>
          <w:lang w:eastAsia="en-AU"/>
        </w:rPr>
        <w:t xml:space="preserve">ption 4 will support each of </w:t>
      </w:r>
      <w:r w:rsidR="005A381C" w:rsidRPr="00B16E6B">
        <w:rPr>
          <w:rFonts w:eastAsia="Times New Roman"/>
          <w:lang w:eastAsia="en-AU"/>
        </w:rPr>
        <w:t xml:space="preserve">the </w:t>
      </w:r>
      <w:r w:rsidR="00487C6A" w:rsidRPr="00B16E6B">
        <w:rPr>
          <w:rFonts w:eastAsia="Times New Roman"/>
          <w:lang w:eastAsia="en-AU"/>
        </w:rPr>
        <w:t>government</w:t>
      </w:r>
      <w:r w:rsidRPr="00B16E6B">
        <w:rPr>
          <w:rFonts w:eastAsia="Times New Roman"/>
          <w:lang w:eastAsia="en-AU"/>
        </w:rPr>
        <w:t xml:space="preserve">’s objectives for intervention and comprehensively address the problems identified and discussed throughout this IA. </w:t>
      </w:r>
    </w:p>
    <w:p w14:paraId="253BCF6C" w14:textId="12BE7291" w:rsidR="007A2B9E" w:rsidRPr="00B16E6B" w:rsidRDefault="007A2B9E" w:rsidP="009613E1">
      <w:pPr>
        <w:spacing w:after="60" w:line="271" w:lineRule="auto"/>
        <w:rPr>
          <w:rFonts w:ascii="Arial" w:eastAsia="Times New Roman" w:hAnsi="Arial" w:cs="Arial"/>
          <w:b/>
          <w:bCs/>
          <w:i/>
          <w:iCs/>
          <w:color w:val="44546A"/>
          <w:sz w:val="18"/>
          <w:szCs w:val="18"/>
          <w:lang w:eastAsia="en-AU"/>
        </w:rPr>
      </w:pPr>
      <w:bookmarkStart w:id="31" w:name="_Ref163737033"/>
      <w:r w:rsidRPr="00B16E6B">
        <w:rPr>
          <w:rFonts w:ascii="Arial" w:eastAsia="Times New Roman" w:hAnsi="Arial" w:cs="Arial"/>
          <w:b/>
          <w:bCs/>
          <w:i/>
          <w:iCs/>
          <w:color w:val="44546A"/>
          <w:sz w:val="18"/>
          <w:szCs w:val="18"/>
          <w:lang w:eastAsia="en-AU"/>
        </w:rPr>
        <w:t xml:space="preserve">Table </w:t>
      </w:r>
      <w:bookmarkEnd w:id="31"/>
      <w:r w:rsidR="007E1CCF" w:rsidRPr="00B16E6B">
        <w:rPr>
          <w:rFonts w:ascii="Arial" w:eastAsia="Times New Roman" w:hAnsi="Arial" w:cs="Arial"/>
          <w:b/>
          <w:bCs/>
          <w:i/>
          <w:iCs/>
          <w:color w:val="44546A"/>
          <w:sz w:val="18"/>
          <w:szCs w:val="18"/>
          <w:lang w:eastAsia="en-AU"/>
        </w:rPr>
        <w:t>2</w:t>
      </w:r>
      <w:r w:rsidR="00A027FB" w:rsidRPr="00B16E6B">
        <w:rPr>
          <w:rFonts w:ascii="Arial" w:eastAsia="Times New Roman" w:hAnsi="Arial" w:cs="Arial"/>
          <w:b/>
          <w:bCs/>
          <w:i/>
          <w:iCs/>
          <w:color w:val="44546A"/>
          <w:sz w:val="18"/>
          <w:szCs w:val="18"/>
          <w:lang w:eastAsia="en-AU"/>
        </w:rPr>
        <w:t>2</w:t>
      </w:r>
      <w:r w:rsidR="008C5E19" w:rsidRPr="00B16E6B">
        <w:rPr>
          <w:rFonts w:ascii="Arial" w:eastAsia="Times New Roman" w:hAnsi="Arial" w:cs="Arial"/>
          <w:b/>
          <w:bCs/>
          <w:i/>
          <w:iCs/>
          <w:color w:val="44546A"/>
          <w:sz w:val="18"/>
          <w:szCs w:val="18"/>
          <w:lang w:eastAsia="en-AU"/>
        </w:rPr>
        <w:t>:</w:t>
      </w:r>
      <w:r w:rsidRPr="00B16E6B">
        <w:rPr>
          <w:rFonts w:ascii="Arial" w:eastAsia="Times New Roman" w:hAnsi="Arial" w:cs="Arial"/>
          <w:b/>
          <w:bCs/>
          <w:i/>
          <w:iCs/>
          <w:color w:val="44546A"/>
          <w:sz w:val="18"/>
          <w:szCs w:val="18"/>
          <w:lang w:eastAsia="en-AU"/>
        </w:rPr>
        <w:t xml:space="preserve"> </w:t>
      </w:r>
      <w:r w:rsidR="00CC7FAB" w:rsidRPr="00B16E6B">
        <w:rPr>
          <w:rFonts w:ascii="Arial" w:eastAsia="Times New Roman" w:hAnsi="Arial" w:cs="Arial"/>
          <w:bCs/>
          <w:i/>
          <w:iCs/>
          <w:color w:val="44546A"/>
          <w:sz w:val="18"/>
          <w:szCs w:val="18"/>
          <w:lang w:eastAsia="en-AU"/>
        </w:rPr>
        <w:t xml:space="preserve">Assessment of </w:t>
      </w:r>
      <w:r w:rsidR="00460973" w:rsidRPr="00B16E6B">
        <w:rPr>
          <w:rFonts w:ascii="Arial" w:eastAsia="Times New Roman" w:hAnsi="Arial" w:cs="Arial"/>
          <w:bCs/>
          <w:i/>
          <w:iCs/>
          <w:color w:val="44546A"/>
          <w:sz w:val="18"/>
          <w:szCs w:val="18"/>
          <w:lang w:eastAsia="en-AU"/>
        </w:rPr>
        <w:t>option</w:t>
      </w:r>
      <w:r w:rsidR="00CC7FAB" w:rsidRPr="00B16E6B">
        <w:rPr>
          <w:rFonts w:ascii="Arial" w:eastAsia="Times New Roman" w:hAnsi="Arial" w:cs="Arial"/>
          <w:bCs/>
          <w:i/>
          <w:iCs/>
          <w:color w:val="44546A"/>
          <w:sz w:val="18"/>
          <w:szCs w:val="18"/>
          <w:lang w:eastAsia="en-AU"/>
        </w:rPr>
        <w:t xml:space="preserve"> 4</w:t>
      </w:r>
      <w:r w:rsidRPr="00B16E6B">
        <w:rPr>
          <w:rFonts w:ascii="Arial" w:eastAsia="Times New Roman" w:hAnsi="Arial" w:cs="Arial"/>
          <w:bCs/>
          <w:i/>
          <w:iCs/>
          <w:color w:val="44546A"/>
          <w:sz w:val="18"/>
          <w:szCs w:val="18"/>
          <w:lang w:eastAsia="en-AU"/>
        </w:rPr>
        <w:t xml:space="preserve"> against objectives and problem elements</w:t>
      </w:r>
    </w:p>
    <w:tbl>
      <w:tblPr>
        <w:tblStyle w:val="TableGridLight"/>
        <w:tblW w:w="9356" w:type="dxa"/>
        <w:tblInd w:w="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
        <w:gridCol w:w="2233"/>
        <w:gridCol w:w="2587"/>
        <w:gridCol w:w="425"/>
        <w:gridCol w:w="3544"/>
      </w:tblGrid>
      <w:tr w:rsidR="004D139C" w:rsidRPr="00B16E6B" w14:paraId="4266C78C" w14:textId="77777777" w:rsidTr="004D139C">
        <w:trPr>
          <w:trHeight w:val="300"/>
          <w:tblHeader/>
        </w:trPr>
        <w:tc>
          <w:tcPr>
            <w:tcW w:w="567" w:type="dxa"/>
            <w:tcBorders>
              <w:top w:val="nil"/>
              <w:left w:val="nil"/>
              <w:bottom w:val="single" w:sz="4" w:space="0" w:color="BFBFBF" w:themeColor="background1" w:themeShade="BF"/>
              <w:right w:val="single" w:sz="4" w:space="0" w:color="BFBFBF" w:themeColor="background1" w:themeShade="BF"/>
            </w:tcBorders>
            <w:shd w:val="clear" w:color="auto" w:fill="1C2B39" w:themeFill="accent1"/>
            <w:vAlign w:val="center"/>
            <w:hideMark/>
          </w:tcPr>
          <w:p w14:paraId="3A753D9A" w14:textId="28B31D19" w:rsidR="004D139C" w:rsidRPr="00B16E6B" w:rsidRDefault="004D139C" w:rsidP="009613E1">
            <w:pPr>
              <w:spacing w:before="120" w:after="120" w:line="271" w:lineRule="auto"/>
              <w:jc w:val="center"/>
              <w:rPr>
                <w:rFonts w:cs="Arial"/>
                <w:b/>
                <w:bCs/>
                <w:szCs w:val="20"/>
              </w:rPr>
            </w:pPr>
          </w:p>
        </w:tc>
        <w:tc>
          <w:tcPr>
            <w:tcW w:w="2233" w:type="dxa"/>
            <w:tcBorders>
              <w:top w:val="nil"/>
              <w:left w:val="nil"/>
              <w:bottom w:val="single" w:sz="4" w:space="0" w:color="BFBFBF" w:themeColor="background1" w:themeShade="BF"/>
              <w:right w:val="single" w:sz="4" w:space="0" w:color="BFBFBF" w:themeColor="background1" w:themeShade="BF"/>
            </w:tcBorders>
            <w:shd w:val="clear" w:color="auto" w:fill="1C2B39" w:themeFill="text1"/>
            <w:vAlign w:val="center"/>
          </w:tcPr>
          <w:p w14:paraId="02913077" w14:textId="7A700A17" w:rsidR="004D139C" w:rsidRPr="00B16E6B" w:rsidRDefault="004D139C" w:rsidP="009613E1">
            <w:pPr>
              <w:spacing w:before="120" w:after="120" w:line="271" w:lineRule="auto"/>
              <w:jc w:val="center"/>
              <w:rPr>
                <w:rFonts w:cs="Arial"/>
                <w:b/>
                <w:bCs/>
                <w:szCs w:val="20"/>
              </w:rPr>
            </w:pPr>
            <w:r w:rsidRPr="00B16E6B">
              <w:rPr>
                <w:rFonts w:cs="Arial"/>
                <w:b/>
                <w:bCs/>
                <w:szCs w:val="20"/>
              </w:rPr>
              <w:t>What is the problem?</w:t>
            </w:r>
          </w:p>
        </w:tc>
        <w:tc>
          <w:tcPr>
            <w:tcW w:w="258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C2B39" w:themeFill="accent1"/>
            <w:hideMark/>
          </w:tcPr>
          <w:p w14:paraId="16FCEA9F" w14:textId="77777777" w:rsidR="004D139C" w:rsidRPr="00B16E6B" w:rsidRDefault="004D139C" w:rsidP="009613E1">
            <w:pPr>
              <w:spacing w:before="120" w:after="120" w:line="271" w:lineRule="auto"/>
              <w:jc w:val="center"/>
              <w:rPr>
                <w:rFonts w:cs="Arial"/>
                <w:b/>
                <w:bCs/>
                <w:szCs w:val="20"/>
              </w:rPr>
            </w:pPr>
            <w:r w:rsidRPr="00B16E6B">
              <w:rPr>
                <w:rFonts w:cs="Arial"/>
                <w:b/>
                <w:bCs/>
                <w:szCs w:val="20"/>
              </w:rPr>
              <w:t>What are government’s objectives?</w:t>
            </w:r>
          </w:p>
        </w:tc>
        <w:tc>
          <w:tcPr>
            <w:tcW w:w="425" w:type="dxa"/>
            <w:tcBorders>
              <w:top w:val="nil"/>
              <w:left w:val="single" w:sz="4" w:space="0" w:color="BFBFBF" w:themeColor="background1" w:themeShade="BF"/>
              <w:bottom w:val="single" w:sz="4" w:space="0" w:color="BFBFBF" w:themeColor="background1" w:themeShade="BF"/>
              <w:right w:val="nil"/>
            </w:tcBorders>
            <w:shd w:val="clear" w:color="auto" w:fill="1C2B39" w:themeFill="accent1"/>
            <w:vAlign w:val="center"/>
            <w:hideMark/>
          </w:tcPr>
          <w:p w14:paraId="1099D34D" w14:textId="33856F46" w:rsidR="004D139C" w:rsidRPr="00B16E6B" w:rsidRDefault="004D139C" w:rsidP="009613E1">
            <w:pPr>
              <w:spacing w:before="120" w:after="120" w:line="271" w:lineRule="auto"/>
              <w:jc w:val="center"/>
              <w:rPr>
                <w:rFonts w:cs="Arial"/>
                <w:b/>
                <w:bCs/>
                <w:szCs w:val="20"/>
              </w:rPr>
            </w:pPr>
          </w:p>
        </w:tc>
        <w:tc>
          <w:tcPr>
            <w:tcW w:w="3544" w:type="dxa"/>
            <w:tcBorders>
              <w:top w:val="nil"/>
              <w:left w:val="single" w:sz="4" w:space="0" w:color="BFBFBF" w:themeColor="background1" w:themeShade="BF"/>
              <w:bottom w:val="single" w:sz="4" w:space="0" w:color="BFBFBF" w:themeColor="background1" w:themeShade="BF"/>
              <w:right w:val="nil"/>
            </w:tcBorders>
            <w:shd w:val="clear" w:color="auto" w:fill="1C2B39" w:themeFill="text1"/>
            <w:vAlign w:val="center"/>
          </w:tcPr>
          <w:p w14:paraId="7FC1A1BD" w14:textId="210A9D75" w:rsidR="004D139C" w:rsidRPr="00B16E6B" w:rsidRDefault="004D139C" w:rsidP="009613E1">
            <w:pPr>
              <w:spacing w:before="120" w:after="120" w:line="271" w:lineRule="auto"/>
              <w:jc w:val="center"/>
              <w:rPr>
                <w:rFonts w:cs="Arial"/>
                <w:b/>
                <w:bCs/>
                <w:szCs w:val="20"/>
              </w:rPr>
            </w:pPr>
            <w:r w:rsidRPr="00B16E6B">
              <w:rPr>
                <w:rFonts w:cs="Arial"/>
                <w:b/>
                <w:bCs/>
                <w:szCs w:val="20"/>
              </w:rPr>
              <w:t>Why option 4?</w:t>
            </w:r>
          </w:p>
        </w:tc>
      </w:tr>
      <w:tr w:rsidR="00F62917" w:rsidRPr="00B16E6B" w14:paraId="7EAF835C" w14:textId="77777777" w:rsidTr="002E61D1">
        <w:trPr>
          <w:trHeight w:val="300"/>
        </w:trPr>
        <w:tc>
          <w:tcPr>
            <w:tcW w:w="5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C02114F" w14:textId="77777777" w:rsidR="00F62917" w:rsidRPr="00B16E6B" w:rsidRDefault="00F62917" w:rsidP="009613E1">
            <w:pPr>
              <w:spacing w:before="60" w:after="60" w:line="271" w:lineRule="auto"/>
              <w:contextualSpacing/>
              <w:rPr>
                <w:rFonts w:cs="Arial"/>
                <w:b/>
                <w:bCs/>
                <w:szCs w:val="20"/>
              </w:rPr>
            </w:pPr>
            <w:r w:rsidRPr="00B16E6B">
              <w:rPr>
                <w:rFonts w:cs="Arial"/>
                <w:b/>
                <w:bCs/>
                <w:szCs w:val="20"/>
              </w:rPr>
              <w:t>1.1</w:t>
            </w:r>
          </w:p>
        </w:tc>
        <w:tc>
          <w:tcPr>
            <w:tcW w:w="22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5F0087" w14:textId="77777777" w:rsidR="00F62917" w:rsidRPr="00B16E6B" w:rsidRDefault="00F62917" w:rsidP="009613E1">
            <w:pPr>
              <w:spacing w:before="60" w:after="60" w:line="271" w:lineRule="auto"/>
              <w:contextualSpacing/>
              <w:rPr>
                <w:rFonts w:cs="Arial"/>
                <w:szCs w:val="20"/>
              </w:rPr>
            </w:pPr>
            <w:r w:rsidRPr="00B16E6B">
              <w:rPr>
                <w:rFonts w:cs="Arial"/>
                <w:szCs w:val="20"/>
              </w:rPr>
              <w:t xml:space="preserve">There are a growing number of threats to Australia’s transport sector, including an increasing risk of cyber incidents </w:t>
            </w:r>
          </w:p>
        </w:tc>
        <w:tc>
          <w:tcPr>
            <w:tcW w:w="2587"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hideMark/>
          </w:tcPr>
          <w:p w14:paraId="35A42C8F" w14:textId="77777777" w:rsidR="00F62917" w:rsidRPr="00B16E6B" w:rsidRDefault="00F62917" w:rsidP="00A11AF5">
            <w:pPr>
              <w:pStyle w:val="ListParagraph"/>
              <w:numPr>
                <w:ilvl w:val="0"/>
                <w:numId w:val="32"/>
              </w:numPr>
              <w:spacing w:before="60" w:after="60" w:line="271" w:lineRule="auto"/>
              <w:rPr>
                <w:rFonts w:cs="Arial"/>
                <w:szCs w:val="20"/>
              </w:rPr>
            </w:pPr>
            <w:r w:rsidRPr="00B16E6B">
              <w:rPr>
                <w:rFonts w:cs="Arial"/>
                <w:szCs w:val="20"/>
              </w:rPr>
              <w:t>Ensure government and industry are equipped to respond to current and emerging threats</w:t>
            </w:r>
          </w:p>
          <w:p w14:paraId="764E4AFA" w14:textId="77777777" w:rsidR="00F62917" w:rsidRPr="00B16E6B" w:rsidRDefault="00F62917" w:rsidP="00A11AF5">
            <w:pPr>
              <w:pStyle w:val="ListParagraph"/>
              <w:numPr>
                <w:ilvl w:val="0"/>
                <w:numId w:val="32"/>
              </w:numPr>
              <w:spacing w:before="60" w:after="60" w:line="271" w:lineRule="auto"/>
              <w:rPr>
                <w:rFonts w:cs="Arial"/>
                <w:szCs w:val="20"/>
              </w:rPr>
            </w:pPr>
            <w:r w:rsidRPr="00B16E6B">
              <w:rPr>
                <w:rFonts w:cs="Arial"/>
                <w:szCs w:val="20"/>
              </w:rPr>
              <w:t>Ensure industry can meet desired security outcomes, including through identifying, mitigating, and responding to all hazards security threats</w:t>
            </w:r>
          </w:p>
          <w:p w14:paraId="349F61A4" w14:textId="77777777" w:rsidR="00F62917" w:rsidRPr="00B16E6B" w:rsidRDefault="00F62917" w:rsidP="00A11AF5">
            <w:pPr>
              <w:pStyle w:val="ListParagraph"/>
              <w:keepLines/>
              <w:numPr>
                <w:ilvl w:val="0"/>
                <w:numId w:val="32"/>
              </w:numPr>
              <w:spacing w:before="60" w:after="60" w:line="271" w:lineRule="auto"/>
              <w:rPr>
                <w:rFonts w:cs="Arial"/>
                <w:szCs w:val="20"/>
              </w:rPr>
            </w:pPr>
            <w:r w:rsidRPr="00B16E6B">
              <w:rPr>
                <w:rFonts w:cs="Arial"/>
                <w:szCs w:val="20"/>
              </w:rPr>
              <w:t xml:space="preserve">Ensure Australia continues to comply with its international aviation and maritime security obligations </w:t>
            </w:r>
          </w:p>
        </w:tc>
        <w:tc>
          <w:tcPr>
            <w:tcW w:w="42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E1E9F0" w:themeFill="accent1" w:themeFillTint="1A"/>
            <w:vAlign w:val="center"/>
            <w:hideMark/>
          </w:tcPr>
          <w:p w14:paraId="61719E21" w14:textId="77777777" w:rsidR="00F62917" w:rsidRPr="00B16E6B" w:rsidRDefault="00F62917" w:rsidP="009613E1">
            <w:pPr>
              <w:pStyle w:val="ListParagraph"/>
              <w:spacing w:before="60" w:after="60" w:line="271" w:lineRule="auto"/>
              <w:ind w:left="360"/>
              <w:rPr>
                <w:rFonts w:cs="Arial"/>
                <w:szCs w:val="20"/>
              </w:rPr>
            </w:pPr>
            <w:r w:rsidRPr="00B16E6B">
              <w:rPr>
                <w:noProof/>
                <w:lang w:eastAsia="en-AU"/>
              </w:rPr>
              <mc:AlternateContent>
                <mc:Choice Requires="wps">
                  <w:drawing>
                    <wp:anchor distT="0" distB="0" distL="114300" distR="114300" simplePos="0" relativeHeight="251719680" behindDoc="0" locked="0" layoutInCell="1" allowOverlap="1" wp14:anchorId="11615CA3" wp14:editId="568A58A1">
                      <wp:simplePos x="0" y="0"/>
                      <wp:positionH relativeFrom="column">
                        <wp:posOffset>-36195</wp:posOffset>
                      </wp:positionH>
                      <wp:positionV relativeFrom="paragraph">
                        <wp:posOffset>-97790</wp:posOffset>
                      </wp:positionV>
                      <wp:extent cx="205740" cy="146050"/>
                      <wp:effectExtent l="0" t="0" r="3810" b="6350"/>
                      <wp:wrapNone/>
                      <wp:docPr id="21" name="Freeform 2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05740" cy="146050"/>
                              </a:xfrm>
                              <a:custGeom>
                                <a:avLst/>
                                <a:gdLst>
                                  <a:gd name="connsiteX0" fmla="*/ 195721 w 214526"/>
                                  <a:gd name="connsiteY0" fmla="*/ 0 h 150679"/>
                                  <a:gd name="connsiteX1" fmla="*/ 76849 w 214526"/>
                                  <a:gd name="connsiteY1" fmla="*/ 112371 h 150679"/>
                                  <a:gd name="connsiteX2" fmla="*/ 19735 w 214526"/>
                                  <a:gd name="connsiteY2" fmla="*/ 53864 h 150679"/>
                                  <a:gd name="connsiteX3" fmla="*/ 0 w 214526"/>
                                  <a:gd name="connsiteY3" fmla="*/ 72670 h 150679"/>
                                  <a:gd name="connsiteX4" fmla="*/ 75920 w 214526"/>
                                  <a:gd name="connsiteY4" fmla="*/ 150680 h 150679"/>
                                  <a:gd name="connsiteX5" fmla="*/ 95887 w 214526"/>
                                  <a:gd name="connsiteY5" fmla="*/ 132106 h 150679"/>
                                  <a:gd name="connsiteX6" fmla="*/ 214527 w 214526"/>
                                  <a:gd name="connsiteY6" fmla="*/ 19502 h 150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4526" h="150679">
                                    <a:moveTo>
                                      <a:pt x="195721" y="0"/>
                                    </a:moveTo>
                                    <a:lnTo>
                                      <a:pt x="76849" y="112371"/>
                                    </a:lnTo>
                                    <a:lnTo>
                                      <a:pt x="19735" y="53864"/>
                                    </a:lnTo>
                                    <a:lnTo>
                                      <a:pt x="0" y="72670"/>
                                    </a:lnTo>
                                    <a:lnTo>
                                      <a:pt x="75920" y="150680"/>
                                    </a:lnTo>
                                    <a:lnTo>
                                      <a:pt x="95887" y="132106"/>
                                    </a:lnTo>
                                    <a:lnTo>
                                      <a:pt x="214527" y="19502"/>
                                    </a:lnTo>
                                    <a:close/>
                                  </a:path>
                                </a:pathLst>
                              </a:custGeom>
                              <a:solidFill>
                                <a:srgbClr val="70AD47"/>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4BB974" id="Freeform 21" o:spid="_x0000_s1026" alt="&quot;&quot;" style="position:absolute;margin-left:-2.85pt;margin-top:-7.7pt;width:16.2pt;height:1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526,15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" path="m195721,l76849,112371,19735,53864,,72670r75920,78010l95887,132106,214527,19502,195721,xe" fillcolor="#70ad47" stroked="f" strokeweight=".06339mm">
                      <v:stroke joinstyle="miter"/>
                      <v:path arrowok="t" o:connecttype="custom" o:connectlocs="187705,0;73702,108919;18927,52209;0,70438;72811,146051;91960,128048;205741,18903" o:connectangles="0,0,0,0,0,0,0"/>
                    </v:shape>
                  </w:pict>
                </mc:Fallback>
              </mc:AlternateContent>
            </w:r>
          </w:p>
        </w:tc>
        <w:tc>
          <w:tcPr>
            <w:tcW w:w="3544" w:type="dxa"/>
            <w:tcBorders>
              <w:top w:val="single" w:sz="4" w:space="0" w:color="BFBFBF" w:themeColor="background1" w:themeShade="BF"/>
              <w:left w:val="single" w:sz="4" w:space="0" w:color="BFBFBF" w:themeColor="background1" w:themeShade="BF"/>
              <w:bottom w:val="nil"/>
              <w:right w:val="nil"/>
            </w:tcBorders>
            <w:vAlign w:val="center"/>
            <w:hideMark/>
          </w:tcPr>
          <w:p w14:paraId="5ECC31C0" w14:textId="77777777" w:rsidR="00F62917" w:rsidRPr="00B16E6B" w:rsidRDefault="00F62917" w:rsidP="00A11AF5">
            <w:pPr>
              <w:pStyle w:val="ListParagraph"/>
              <w:numPr>
                <w:ilvl w:val="0"/>
                <w:numId w:val="33"/>
              </w:numPr>
              <w:spacing w:after="120" w:line="271" w:lineRule="auto"/>
              <w:rPr>
                <w:rFonts w:cs="Arial"/>
                <w:szCs w:val="20"/>
                <w:lang w:val="en-US"/>
              </w:rPr>
            </w:pPr>
            <w:r w:rsidRPr="00B16E6B">
              <w:rPr>
                <w:rFonts w:cs="Arial"/>
                <w:szCs w:val="20"/>
                <w:lang w:val="en-US"/>
              </w:rPr>
              <w:t>Addresses the frequency and impact of any disruption to Australia’s transport sector</w:t>
            </w:r>
          </w:p>
          <w:p w14:paraId="5A9D83D1" w14:textId="77777777" w:rsidR="00F62917" w:rsidRPr="00B16E6B" w:rsidRDefault="00F62917" w:rsidP="00A11AF5">
            <w:pPr>
              <w:pStyle w:val="ListParagraph"/>
              <w:numPr>
                <w:ilvl w:val="0"/>
                <w:numId w:val="33"/>
              </w:numPr>
              <w:spacing w:after="120" w:line="271" w:lineRule="auto"/>
              <w:rPr>
                <w:rFonts w:cs="Arial"/>
                <w:szCs w:val="20"/>
                <w:lang w:val="en-US"/>
              </w:rPr>
            </w:pPr>
            <w:r w:rsidRPr="00B16E6B">
              <w:rPr>
                <w:rFonts w:cs="Arial"/>
                <w:szCs w:val="20"/>
                <w:lang w:val="en-US"/>
              </w:rPr>
              <w:t>Allows support from government to coordinate post incident responses and intervention where appropriate to mitigate the consequences of such incidents</w:t>
            </w:r>
          </w:p>
          <w:p w14:paraId="67D6C66F" w14:textId="77777777" w:rsidR="00F62917" w:rsidRPr="00B16E6B" w:rsidRDefault="00F62917" w:rsidP="00A11AF5">
            <w:pPr>
              <w:pStyle w:val="ListParagraph"/>
              <w:numPr>
                <w:ilvl w:val="0"/>
                <w:numId w:val="33"/>
              </w:numPr>
              <w:spacing w:after="120" w:line="271" w:lineRule="auto"/>
              <w:rPr>
                <w:rFonts w:cs="Arial"/>
                <w:szCs w:val="20"/>
                <w:lang w:val="en-US"/>
              </w:rPr>
            </w:pPr>
            <w:r w:rsidRPr="00B16E6B">
              <w:rPr>
                <w:rFonts w:cs="Arial"/>
                <w:szCs w:val="20"/>
                <w:lang w:val="en-US"/>
              </w:rPr>
              <w:t>Ensures government and industry are equipped to respond to current and emerging threats</w:t>
            </w:r>
          </w:p>
          <w:p w14:paraId="3587848A" w14:textId="77777777" w:rsidR="00F62917" w:rsidRPr="00B16E6B" w:rsidRDefault="00F62917" w:rsidP="00A11AF5">
            <w:pPr>
              <w:pStyle w:val="ListParagraph"/>
              <w:numPr>
                <w:ilvl w:val="0"/>
                <w:numId w:val="33"/>
              </w:numPr>
              <w:spacing w:after="120" w:line="271" w:lineRule="auto"/>
              <w:rPr>
                <w:rFonts w:cs="Arial"/>
                <w:szCs w:val="20"/>
                <w:lang w:val="en-US"/>
              </w:rPr>
            </w:pPr>
            <w:r w:rsidRPr="00B16E6B">
              <w:rPr>
                <w:rFonts w:cs="Arial"/>
                <w:szCs w:val="20"/>
                <w:lang w:val="en-US"/>
              </w:rPr>
              <w:t>Improves government visibility over risk management processes</w:t>
            </w:r>
          </w:p>
          <w:p w14:paraId="2AF47169" w14:textId="77777777" w:rsidR="00F62917" w:rsidRPr="00B16E6B" w:rsidRDefault="00F62917" w:rsidP="00A11AF5">
            <w:pPr>
              <w:pStyle w:val="ListParagraph"/>
              <w:numPr>
                <w:ilvl w:val="0"/>
                <w:numId w:val="33"/>
              </w:numPr>
              <w:spacing w:after="120" w:line="271" w:lineRule="auto"/>
              <w:rPr>
                <w:rFonts w:cs="Arial"/>
                <w:szCs w:val="20"/>
              </w:rPr>
            </w:pPr>
            <w:r w:rsidRPr="00B16E6B">
              <w:rPr>
                <w:rFonts w:cs="Arial"/>
                <w:szCs w:val="20"/>
                <w:lang w:val="en-US"/>
              </w:rPr>
              <w:t>Allows industry the flexibility in addressing</w:t>
            </w:r>
            <w:r w:rsidRPr="00B16E6B">
              <w:rPr>
                <w:rFonts w:cs="Arial"/>
                <w:szCs w:val="20"/>
              </w:rPr>
              <w:t xml:space="preserve"> and responding to evolving threats</w:t>
            </w:r>
          </w:p>
        </w:tc>
      </w:tr>
      <w:tr w:rsidR="00F62917" w:rsidRPr="00B16E6B" w14:paraId="581DF1AC" w14:textId="77777777" w:rsidTr="006246D6">
        <w:trPr>
          <w:trHeight w:val="600"/>
        </w:trPr>
        <w:tc>
          <w:tcPr>
            <w:tcW w:w="567" w:type="dxa"/>
            <w:tcBorders>
              <w:top w:val="single" w:sz="4" w:space="0" w:color="BFBFBF" w:themeColor="background1" w:themeShade="BF"/>
              <w:left w:val="nil"/>
              <w:bottom w:val="nil"/>
              <w:right w:val="single" w:sz="4" w:space="0" w:color="BFBFBF" w:themeColor="background1" w:themeShade="BF"/>
            </w:tcBorders>
            <w:shd w:val="clear" w:color="auto" w:fill="F2F2F2" w:themeFill="background1" w:themeFillShade="F2"/>
            <w:vAlign w:val="center"/>
            <w:hideMark/>
          </w:tcPr>
          <w:p w14:paraId="2E4F65CC" w14:textId="77777777" w:rsidR="00F62917" w:rsidRPr="00B16E6B" w:rsidRDefault="00F62917" w:rsidP="009613E1">
            <w:pPr>
              <w:spacing w:before="60" w:after="60" w:line="271" w:lineRule="auto"/>
              <w:contextualSpacing/>
              <w:rPr>
                <w:rFonts w:cs="Arial"/>
                <w:b/>
                <w:bCs/>
                <w:szCs w:val="20"/>
              </w:rPr>
            </w:pPr>
            <w:r w:rsidRPr="00B16E6B">
              <w:rPr>
                <w:rFonts w:cs="Arial"/>
                <w:b/>
                <w:bCs/>
                <w:szCs w:val="20"/>
              </w:rPr>
              <w:lastRenderedPageBreak/>
              <w:t>1.2</w:t>
            </w:r>
          </w:p>
        </w:tc>
        <w:tc>
          <w:tcPr>
            <w:tcW w:w="22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hideMark/>
          </w:tcPr>
          <w:p w14:paraId="370102E0" w14:textId="77777777" w:rsidR="00F62917" w:rsidRPr="00B16E6B" w:rsidRDefault="00F62917" w:rsidP="009613E1">
            <w:pPr>
              <w:spacing w:before="60" w:after="60" w:line="271" w:lineRule="auto"/>
              <w:contextualSpacing/>
              <w:rPr>
                <w:rFonts w:cs="Arial"/>
                <w:szCs w:val="20"/>
              </w:rPr>
            </w:pPr>
            <w:r w:rsidRPr="00B16E6B">
              <w:rPr>
                <w:rFonts w:cs="Arial"/>
                <w:szCs w:val="20"/>
              </w:rPr>
              <w:t>The dynamic and uncertain nature of these threats means the transport sector faces challenges in preparing for, mitigating, and responding to the realisation of these threats</w:t>
            </w:r>
          </w:p>
        </w:tc>
        <w:tc>
          <w:tcPr>
            <w:tcW w:w="2587" w:type="dxa"/>
            <w:tcBorders>
              <w:left w:val="single" w:sz="4" w:space="0" w:color="BFBFBF" w:themeColor="background1" w:themeShade="BF"/>
              <w:bottom w:val="nil"/>
              <w:right w:val="single" w:sz="4" w:space="0" w:color="BFBFBF" w:themeColor="background1" w:themeShade="BF"/>
            </w:tcBorders>
            <w:vAlign w:val="center"/>
            <w:hideMark/>
          </w:tcPr>
          <w:p w14:paraId="56A939F7" w14:textId="77777777" w:rsidR="008946D6" w:rsidRPr="00B16E6B" w:rsidRDefault="008946D6" w:rsidP="00A11AF5">
            <w:pPr>
              <w:pStyle w:val="ListParagraph"/>
              <w:numPr>
                <w:ilvl w:val="0"/>
                <w:numId w:val="32"/>
              </w:numPr>
              <w:spacing w:before="60" w:after="60" w:line="271" w:lineRule="auto"/>
              <w:rPr>
                <w:rFonts w:cs="Arial"/>
                <w:szCs w:val="20"/>
              </w:rPr>
            </w:pPr>
            <w:r w:rsidRPr="00B16E6B">
              <w:rPr>
                <w:rFonts w:cs="Arial"/>
                <w:szCs w:val="20"/>
              </w:rPr>
              <w:t>Ensure government and industry are equipped to respond to current and emerging threats</w:t>
            </w:r>
          </w:p>
          <w:p w14:paraId="35219AE3" w14:textId="77777777" w:rsidR="008946D6" w:rsidRPr="00B16E6B" w:rsidRDefault="008946D6" w:rsidP="00A11AF5">
            <w:pPr>
              <w:pStyle w:val="ListParagraph"/>
              <w:numPr>
                <w:ilvl w:val="0"/>
                <w:numId w:val="32"/>
              </w:numPr>
              <w:spacing w:before="60" w:after="60" w:line="271" w:lineRule="auto"/>
              <w:rPr>
                <w:rFonts w:cs="Arial"/>
                <w:szCs w:val="20"/>
              </w:rPr>
            </w:pPr>
            <w:r w:rsidRPr="00B16E6B">
              <w:rPr>
                <w:rFonts w:cs="Arial"/>
                <w:szCs w:val="20"/>
              </w:rPr>
              <w:t>Ensure industry can meet desired security outcomes, including through identifying, mitigating, and responding to all hazards security threats</w:t>
            </w:r>
          </w:p>
          <w:p w14:paraId="3CD814F5" w14:textId="653FCE5B" w:rsidR="00F62917" w:rsidRPr="006417CD" w:rsidRDefault="008946D6" w:rsidP="00A11AF5">
            <w:pPr>
              <w:pStyle w:val="ListParagraph"/>
              <w:numPr>
                <w:ilvl w:val="0"/>
                <w:numId w:val="70"/>
              </w:numPr>
              <w:spacing w:after="0" w:line="271" w:lineRule="auto"/>
              <w:rPr>
                <w:rFonts w:cs="Arial"/>
                <w:szCs w:val="20"/>
              </w:rPr>
            </w:pPr>
            <w:r w:rsidRPr="006417CD">
              <w:rPr>
                <w:rFonts w:cs="Arial"/>
                <w:szCs w:val="20"/>
              </w:rPr>
              <w:t>Ensure Australia continues to comply with its international aviation and maritime security obligations</w:t>
            </w:r>
          </w:p>
        </w:tc>
        <w:tc>
          <w:tcPr>
            <w:tcW w:w="42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E1E9F0" w:themeFill="accent1" w:themeFillTint="1A"/>
            <w:vAlign w:val="center"/>
            <w:hideMark/>
          </w:tcPr>
          <w:p w14:paraId="1E064D28" w14:textId="0C738544" w:rsidR="00F62917" w:rsidRDefault="006246D6" w:rsidP="009613E1">
            <w:pPr>
              <w:spacing w:after="0" w:line="271" w:lineRule="auto"/>
              <w:rPr>
                <w:rFonts w:cs="Arial"/>
                <w:szCs w:val="20"/>
              </w:rPr>
            </w:pPr>
            <w:r w:rsidRPr="00B16E6B">
              <w:rPr>
                <w:noProof/>
                <w:lang w:eastAsia="en-AU"/>
              </w:rPr>
              <mc:AlternateContent>
                <mc:Choice Requires="wps">
                  <w:drawing>
                    <wp:anchor distT="0" distB="0" distL="114300" distR="114300" simplePos="0" relativeHeight="251728896" behindDoc="0" locked="0" layoutInCell="1" allowOverlap="1" wp14:anchorId="583F1543" wp14:editId="519EBDE9">
                      <wp:simplePos x="0" y="0"/>
                      <wp:positionH relativeFrom="column">
                        <wp:posOffset>-34290</wp:posOffset>
                      </wp:positionH>
                      <wp:positionV relativeFrom="paragraph">
                        <wp:posOffset>-20320</wp:posOffset>
                      </wp:positionV>
                      <wp:extent cx="205740" cy="146050"/>
                      <wp:effectExtent l="0" t="0" r="3810" b="6350"/>
                      <wp:wrapNone/>
                      <wp:docPr id="181331755" name="Freeform 2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05740" cy="146050"/>
                              </a:xfrm>
                              <a:custGeom>
                                <a:avLst/>
                                <a:gdLst>
                                  <a:gd name="connsiteX0" fmla="*/ 195721 w 214526"/>
                                  <a:gd name="connsiteY0" fmla="*/ 0 h 150679"/>
                                  <a:gd name="connsiteX1" fmla="*/ 76849 w 214526"/>
                                  <a:gd name="connsiteY1" fmla="*/ 112371 h 150679"/>
                                  <a:gd name="connsiteX2" fmla="*/ 19735 w 214526"/>
                                  <a:gd name="connsiteY2" fmla="*/ 53864 h 150679"/>
                                  <a:gd name="connsiteX3" fmla="*/ 0 w 214526"/>
                                  <a:gd name="connsiteY3" fmla="*/ 72670 h 150679"/>
                                  <a:gd name="connsiteX4" fmla="*/ 75920 w 214526"/>
                                  <a:gd name="connsiteY4" fmla="*/ 150680 h 150679"/>
                                  <a:gd name="connsiteX5" fmla="*/ 95887 w 214526"/>
                                  <a:gd name="connsiteY5" fmla="*/ 132106 h 150679"/>
                                  <a:gd name="connsiteX6" fmla="*/ 214527 w 214526"/>
                                  <a:gd name="connsiteY6" fmla="*/ 19502 h 150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4526" h="150679">
                                    <a:moveTo>
                                      <a:pt x="195721" y="0"/>
                                    </a:moveTo>
                                    <a:lnTo>
                                      <a:pt x="76849" y="112371"/>
                                    </a:lnTo>
                                    <a:lnTo>
                                      <a:pt x="19735" y="53864"/>
                                    </a:lnTo>
                                    <a:lnTo>
                                      <a:pt x="0" y="72670"/>
                                    </a:lnTo>
                                    <a:lnTo>
                                      <a:pt x="75920" y="150680"/>
                                    </a:lnTo>
                                    <a:lnTo>
                                      <a:pt x="95887" y="132106"/>
                                    </a:lnTo>
                                    <a:lnTo>
                                      <a:pt x="214527" y="19502"/>
                                    </a:lnTo>
                                    <a:close/>
                                  </a:path>
                                </a:pathLst>
                              </a:custGeom>
                              <a:solidFill>
                                <a:srgbClr val="70AD47"/>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41DB5E" id="Freeform 21" o:spid="_x0000_s1026" alt="&quot;&quot;" style="position:absolute;margin-left:-2.7pt;margin-top:-1.6pt;width:16.2pt;height: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526,15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" path="m195721,l76849,112371,19735,53864,,72670r75920,78010l95887,132106,214527,19502,195721,xe" fillcolor="#70ad47" stroked="f" strokeweight=".06339mm">
                      <v:stroke joinstyle="miter"/>
                      <v:path arrowok="t" o:connecttype="custom" o:connectlocs="187705,0;73702,108919;18927,52209;0,70438;72811,146051;91960,128048;205741,18903" o:connectangles="0,0,0,0,0,0,0"/>
                    </v:shape>
                  </w:pict>
                </mc:Fallback>
              </mc:AlternateContent>
            </w:r>
          </w:p>
          <w:p w14:paraId="48A8BCB7" w14:textId="47867641" w:rsidR="006246D6" w:rsidRPr="006246D6" w:rsidRDefault="006246D6" w:rsidP="006246D6">
            <w:pPr>
              <w:rPr>
                <w:rFonts w:cs="Arial"/>
                <w:szCs w:val="20"/>
              </w:rPr>
            </w:pPr>
          </w:p>
        </w:tc>
        <w:tc>
          <w:tcPr>
            <w:tcW w:w="3544" w:type="dxa"/>
            <w:tcBorders>
              <w:top w:val="single" w:sz="4" w:space="0" w:color="BFBFBF" w:themeColor="background1" w:themeShade="BF"/>
              <w:left w:val="single" w:sz="4" w:space="0" w:color="BFBFBF" w:themeColor="background1" w:themeShade="BF"/>
              <w:bottom w:val="nil"/>
              <w:right w:val="nil"/>
            </w:tcBorders>
            <w:vAlign w:val="center"/>
            <w:hideMark/>
          </w:tcPr>
          <w:p w14:paraId="6380EDBE" w14:textId="77777777" w:rsidR="008946D6" w:rsidRPr="00B16E6B" w:rsidRDefault="008946D6" w:rsidP="00A11AF5">
            <w:pPr>
              <w:pStyle w:val="ListParagraph"/>
              <w:numPr>
                <w:ilvl w:val="0"/>
                <w:numId w:val="33"/>
              </w:numPr>
              <w:spacing w:after="120" w:line="271" w:lineRule="auto"/>
              <w:rPr>
                <w:rFonts w:cs="Arial"/>
                <w:szCs w:val="20"/>
                <w:lang w:val="en-US"/>
              </w:rPr>
            </w:pPr>
            <w:r w:rsidRPr="00B16E6B">
              <w:rPr>
                <w:rFonts w:cs="Arial"/>
                <w:szCs w:val="20"/>
                <w:lang w:val="en-US"/>
              </w:rPr>
              <w:t>Addresses the frequency and impact of any disruption to Australia’s transport sector</w:t>
            </w:r>
          </w:p>
          <w:p w14:paraId="642D7F0B" w14:textId="77777777" w:rsidR="008946D6" w:rsidRPr="00B16E6B" w:rsidRDefault="008946D6" w:rsidP="00A11AF5">
            <w:pPr>
              <w:pStyle w:val="ListParagraph"/>
              <w:numPr>
                <w:ilvl w:val="0"/>
                <w:numId w:val="33"/>
              </w:numPr>
              <w:spacing w:after="120" w:line="271" w:lineRule="auto"/>
              <w:rPr>
                <w:rFonts w:cs="Arial"/>
                <w:szCs w:val="20"/>
                <w:lang w:val="en-US"/>
              </w:rPr>
            </w:pPr>
            <w:r w:rsidRPr="00B16E6B">
              <w:rPr>
                <w:rFonts w:cs="Arial"/>
                <w:szCs w:val="20"/>
                <w:lang w:val="en-US"/>
              </w:rPr>
              <w:t>Allows support from government to coordinate post incident responses and intervention where appropriate to mitigate the consequences of such incidents</w:t>
            </w:r>
          </w:p>
          <w:p w14:paraId="406FADDA" w14:textId="77777777" w:rsidR="008946D6" w:rsidRPr="00B16E6B" w:rsidRDefault="008946D6" w:rsidP="00A11AF5">
            <w:pPr>
              <w:pStyle w:val="ListParagraph"/>
              <w:numPr>
                <w:ilvl w:val="0"/>
                <w:numId w:val="33"/>
              </w:numPr>
              <w:spacing w:after="120" w:line="271" w:lineRule="auto"/>
              <w:rPr>
                <w:rFonts w:cs="Arial"/>
                <w:szCs w:val="20"/>
                <w:lang w:val="en-US"/>
              </w:rPr>
            </w:pPr>
            <w:r w:rsidRPr="00B16E6B">
              <w:rPr>
                <w:rFonts w:cs="Arial"/>
                <w:szCs w:val="20"/>
                <w:lang w:val="en-US"/>
              </w:rPr>
              <w:t>Ensures government and industry are equipped to respond to current and emerging threats</w:t>
            </w:r>
          </w:p>
          <w:p w14:paraId="176D4A68" w14:textId="77777777" w:rsidR="008946D6" w:rsidRPr="00B16E6B" w:rsidRDefault="008946D6" w:rsidP="00A11AF5">
            <w:pPr>
              <w:pStyle w:val="ListParagraph"/>
              <w:numPr>
                <w:ilvl w:val="0"/>
                <w:numId w:val="33"/>
              </w:numPr>
              <w:spacing w:after="120" w:line="271" w:lineRule="auto"/>
              <w:rPr>
                <w:rFonts w:cs="Arial"/>
                <w:szCs w:val="20"/>
                <w:lang w:val="en-US"/>
              </w:rPr>
            </w:pPr>
            <w:r w:rsidRPr="00B16E6B">
              <w:rPr>
                <w:rFonts w:cs="Arial"/>
                <w:szCs w:val="20"/>
                <w:lang w:val="en-US"/>
              </w:rPr>
              <w:t>Improves government visibility over risk management processes</w:t>
            </w:r>
          </w:p>
          <w:p w14:paraId="0C5C9DC9" w14:textId="56CC32D3" w:rsidR="00F62917" w:rsidRPr="00B16E6B" w:rsidRDefault="008946D6" w:rsidP="00A11AF5">
            <w:pPr>
              <w:pStyle w:val="ListParagraph"/>
              <w:numPr>
                <w:ilvl w:val="0"/>
                <w:numId w:val="33"/>
              </w:numPr>
              <w:spacing w:after="120" w:line="271" w:lineRule="auto"/>
              <w:rPr>
                <w:rFonts w:cs="Arial"/>
                <w:szCs w:val="20"/>
              </w:rPr>
            </w:pPr>
            <w:r w:rsidRPr="00B16E6B">
              <w:rPr>
                <w:rFonts w:cs="Arial"/>
                <w:szCs w:val="20"/>
                <w:lang w:val="en-US"/>
              </w:rPr>
              <w:t>Allows industry the flexibility in addressing</w:t>
            </w:r>
            <w:r w:rsidRPr="008946D6">
              <w:rPr>
                <w:rFonts w:cs="Arial"/>
                <w:szCs w:val="20"/>
                <w:lang w:val="en-US"/>
              </w:rPr>
              <w:t xml:space="preserve"> and responding to evolving threats</w:t>
            </w:r>
          </w:p>
        </w:tc>
      </w:tr>
    </w:tbl>
    <w:p w14:paraId="0FCD4288" w14:textId="77777777" w:rsidR="007A2B9E" w:rsidRPr="00B16E6B" w:rsidRDefault="007A2B9E" w:rsidP="009613E1">
      <w:pPr>
        <w:spacing w:line="271" w:lineRule="auto"/>
        <w:rPr>
          <w:rFonts w:ascii="Arial" w:hAnsi="Arial" w:cs="Arial"/>
          <w:sz w:val="20"/>
          <w:szCs w:val="20"/>
        </w:rPr>
      </w:pPr>
    </w:p>
    <w:p w14:paraId="1027791A" w14:textId="72AAF7BB" w:rsidR="00CC7FAB" w:rsidRPr="00B16E6B" w:rsidRDefault="007A2B9E" w:rsidP="005A381C">
      <w:pPr>
        <w:spacing w:after="120" w:line="271" w:lineRule="auto"/>
        <w:rPr>
          <w:rFonts w:ascii="Arial" w:eastAsia="Times New Roman" w:hAnsi="Arial" w:cs="Arial"/>
          <w:b/>
          <w:bCs/>
          <w:i/>
          <w:iCs/>
          <w:color w:val="44546A"/>
          <w:sz w:val="18"/>
          <w:szCs w:val="18"/>
          <w:lang w:eastAsia="en-AU"/>
        </w:rPr>
      </w:pPr>
      <w:r w:rsidRPr="00B16E6B">
        <w:rPr>
          <w:rFonts w:eastAsia="Times New Roman"/>
          <w:lang w:eastAsia="en-AU"/>
        </w:rPr>
        <w:t xml:space="preserve">The summary contained in </w:t>
      </w:r>
      <w:r w:rsidR="00E2411D" w:rsidRPr="00B16E6B">
        <w:rPr>
          <w:rFonts w:eastAsia="Times New Roman"/>
          <w:lang w:eastAsia="en-AU"/>
        </w:rPr>
        <w:t>table</w:t>
      </w:r>
      <w:r w:rsidR="007A075F" w:rsidRPr="00B16E6B">
        <w:rPr>
          <w:rFonts w:eastAsia="Times New Roman"/>
          <w:lang w:eastAsia="en-AU"/>
        </w:rPr>
        <w:t xml:space="preserve"> 2</w:t>
      </w:r>
      <w:r w:rsidR="00A027FB" w:rsidRPr="00B16E6B">
        <w:rPr>
          <w:rFonts w:eastAsia="Times New Roman"/>
          <w:lang w:eastAsia="en-AU"/>
        </w:rPr>
        <w:t>2</w:t>
      </w:r>
      <w:r w:rsidR="00406043" w:rsidRPr="00B16E6B">
        <w:rPr>
          <w:rFonts w:eastAsia="Times New Roman"/>
          <w:lang w:eastAsia="en-AU"/>
        </w:rPr>
        <w:t xml:space="preserve"> above indicates that o</w:t>
      </w:r>
      <w:r w:rsidRPr="00B16E6B">
        <w:rPr>
          <w:rFonts w:eastAsia="Times New Roman"/>
          <w:lang w:eastAsia="en-AU"/>
        </w:rPr>
        <w:t xml:space="preserve">ption 4 is the best option. This is because </w:t>
      </w:r>
      <w:r w:rsidR="00083367" w:rsidRPr="00B16E6B">
        <w:rPr>
          <w:rFonts w:eastAsia="Times New Roman"/>
          <w:lang w:eastAsia="en-AU"/>
        </w:rPr>
        <w:t>o</w:t>
      </w:r>
      <w:r w:rsidRPr="00B16E6B">
        <w:rPr>
          <w:rFonts w:eastAsia="Times New Roman"/>
          <w:lang w:eastAsia="en-AU"/>
        </w:rPr>
        <w:t xml:space="preserve">ption 4 is the only option capable of addressing each problem area identified in this IA. It achieves the objectives of </w:t>
      </w:r>
      <w:r w:rsidR="00487C6A" w:rsidRPr="00B16E6B">
        <w:rPr>
          <w:rFonts w:eastAsia="Times New Roman"/>
          <w:lang w:eastAsia="en-AU"/>
        </w:rPr>
        <w:t>government</w:t>
      </w:r>
      <w:r w:rsidRPr="00B16E6B">
        <w:rPr>
          <w:rFonts w:eastAsia="Times New Roman"/>
          <w:lang w:eastAsia="en-AU"/>
        </w:rPr>
        <w:t xml:space="preserve"> intervention and stands to deliver substantial benefits to industry and the Australian economy as a whole. Conversely, </w:t>
      </w:r>
      <w:r w:rsidR="00E2411D" w:rsidRPr="00B16E6B">
        <w:rPr>
          <w:rFonts w:eastAsia="Times New Roman"/>
          <w:lang w:eastAsia="en-AU"/>
        </w:rPr>
        <w:t>table</w:t>
      </w:r>
      <w:r w:rsidRPr="00B16E6B">
        <w:rPr>
          <w:rFonts w:eastAsia="Times New Roman"/>
          <w:lang w:eastAsia="en-AU"/>
        </w:rPr>
        <w:t xml:space="preserve"> </w:t>
      </w:r>
      <w:r w:rsidR="007A075F" w:rsidRPr="00B16E6B">
        <w:rPr>
          <w:rFonts w:eastAsia="Times New Roman"/>
          <w:lang w:eastAsia="en-AU"/>
        </w:rPr>
        <w:t>2</w:t>
      </w:r>
      <w:r w:rsidR="00A027FB" w:rsidRPr="00B16E6B">
        <w:rPr>
          <w:rFonts w:eastAsia="Times New Roman"/>
          <w:lang w:eastAsia="en-AU"/>
        </w:rPr>
        <w:t>3</w:t>
      </w:r>
      <w:r w:rsidR="00FD673D" w:rsidRPr="00B16E6B">
        <w:rPr>
          <w:rFonts w:eastAsia="Times New Roman"/>
          <w:lang w:eastAsia="en-AU"/>
        </w:rPr>
        <w:t xml:space="preserve"> </w:t>
      </w:r>
      <w:r w:rsidRPr="00B16E6B">
        <w:rPr>
          <w:rFonts w:eastAsia="Times New Roman"/>
          <w:lang w:eastAsia="en-AU"/>
        </w:rPr>
        <w:t>below draws on the analysis undertaken in Sect</w:t>
      </w:r>
      <w:r w:rsidR="00406043" w:rsidRPr="00B16E6B">
        <w:rPr>
          <w:rFonts w:eastAsia="Times New Roman"/>
          <w:lang w:eastAsia="en-AU"/>
        </w:rPr>
        <w:t>ion 4 above, to highlight that o</w:t>
      </w:r>
      <w:r w:rsidRPr="00B16E6B">
        <w:rPr>
          <w:rFonts w:eastAsia="Times New Roman"/>
          <w:lang w:eastAsia="en-AU"/>
        </w:rPr>
        <w:t xml:space="preserve">ptions 1, 2, and 3 are unable to address the identified problem areas and meet </w:t>
      </w:r>
      <w:bookmarkStart w:id="32" w:name="_Ref163737087"/>
      <w:r w:rsidR="00487C6A" w:rsidRPr="00B16E6B">
        <w:rPr>
          <w:rFonts w:eastAsia="Times New Roman"/>
          <w:lang w:eastAsia="en-AU"/>
        </w:rPr>
        <w:t>government</w:t>
      </w:r>
      <w:r w:rsidR="00D9298B" w:rsidRPr="00B16E6B">
        <w:rPr>
          <w:rFonts w:eastAsia="Times New Roman"/>
          <w:lang w:eastAsia="en-AU"/>
        </w:rPr>
        <w:t>’s objectives for intervention.</w:t>
      </w:r>
    </w:p>
    <w:p w14:paraId="555D9F9A" w14:textId="319042F7" w:rsidR="007A2B9E" w:rsidRPr="00B16E6B" w:rsidRDefault="007A2B9E" w:rsidP="009613E1">
      <w:pPr>
        <w:spacing w:after="60" w:line="271" w:lineRule="auto"/>
        <w:rPr>
          <w:rFonts w:ascii="Arial" w:hAnsi="Arial" w:cs="Arial"/>
          <w:b/>
          <w:bCs/>
          <w:i/>
          <w:iCs/>
          <w:color w:val="004261" w:themeColor="text2"/>
          <w:sz w:val="16"/>
          <w:szCs w:val="18"/>
        </w:rPr>
      </w:pPr>
      <w:r w:rsidRPr="00B16E6B">
        <w:rPr>
          <w:rFonts w:ascii="Arial" w:eastAsia="Times New Roman" w:hAnsi="Arial" w:cs="Arial"/>
          <w:b/>
          <w:bCs/>
          <w:i/>
          <w:iCs/>
          <w:color w:val="44546A"/>
          <w:sz w:val="18"/>
          <w:szCs w:val="18"/>
          <w:lang w:eastAsia="en-AU"/>
        </w:rPr>
        <w:t xml:space="preserve">Table </w:t>
      </w:r>
      <w:bookmarkEnd w:id="32"/>
      <w:r w:rsidR="007E1CCF" w:rsidRPr="00B16E6B">
        <w:rPr>
          <w:rFonts w:ascii="Arial" w:eastAsia="Times New Roman" w:hAnsi="Arial" w:cs="Arial"/>
          <w:b/>
          <w:bCs/>
          <w:i/>
          <w:iCs/>
          <w:color w:val="44546A"/>
          <w:sz w:val="18"/>
          <w:szCs w:val="18"/>
          <w:lang w:eastAsia="en-AU"/>
        </w:rPr>
        <w:t>2</w:t>
      </w:r>
      <w:r w:rsidR="00A027FB" w:rsidRPr="00B16E6B">
        <w:rPr>
          <w:rFonts w:ascii="Arial" w:eastAsia="Times New Roman" w:hAnsi="Arial" w:cs="Arial"/>
          <w:b/>
          <w:bCs/>
          <w:i/>
          <w:iCs/>
          <w:color w:val="44546A"/>
          <w:sz w:val="18"/>
          <w:szCs w:val="18"/>
          <w:lang w:eastAsia="en-AU"/>
        </w:rPr>
        <w:t>3</w:t>
      </w:r>
      <w:r w:rsidRPr="00B16E6B">
        <w:rPr>
          <w:rFonts w:ascii="Arial" w:eastAsia="Times New Roman" w:hAnsi="Arial" w:cs="Arial"/>
          <w:b/>
          <w:bCs/>
          <w:i/>
          <w:iCs/>
          <w:color w:val="44546A"/>
          <w:sz w:val="18"/>
          <w:szCs w:val="18"/>
          <w:lang w:eastAsia="en-AU"/>
        </w:rPr>
        <w:t xml:space="preserve"> </w:t>
      </w:r>
      <w:r w:rsidRPr="00B16E6B">
        <w:rPr>
          <w:rFonts w:ascii="Arial" w:eastAsia="Times New Roman" w:hAnsi="Arial" w:cs="Arial"/>
          <w:bCs/>
          <w:i/>
          <w:iCs/>
          <w:color w:val="44546A"/>
          <w:sz w:val="18"/>
          <w:szCs w:val="18"/>
          <w:lang w:eastAsia="en-AU"/>
        </w:rPr>
        <w:t xml:space="preserve">Assessment of </w:t>
      </w:r>
      <w:r w:rsidR="00460973" w:rsidRPr="00B16E6B">
        <w:rPr>
          <w:rFonts w:ascii="Arial" w:eastAsia="Times New Roman" w:hAnsi="Arial" w:cs="Arial"/>
          <w:bCs/>
          <w:i/>
          <w:iCs/>
          <w:color w:val="44546A"/>
          <w:sz w:val="18"/>
          <w:szCs w:val="18"/>
          <w:lang w:eastAsia="en-AU"/>
        </w:rPr>
        <w:t>option</w:t>
      </w:r>
      <w:r w:rsidRPr="00B16E6B">
        <w:rPr>
          <w:rFonts w:ascii="Arial" w:eastAsia="Times New Roman" w:hAnsi="Arial" w:cs="Arial"/>
          <w:bCs/>
          <w:i/>
          <w:iCs/>
          <w:color w:val="44546A"/>
          <w:sz w:val="18"/>
          <w:szCs w:val="18"/>
          <w:lang w:eastAsia="en-AU"/>
        </w:rPr>
        <w:t>s 1, 2, &amp; 3 against objectives and problem elements</w:t>
      </w:r>
    </w:p>
    <w:tbl>
      <w:tblPr>
        <w:tblStyle w:val="TableGridLight"/>
        <w:tblW w:w="10065" w:type="dxa"/>
        <w:tblInd w:w="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
        <w:gridCol w:w="1701"/>
        <w:gridCol w:w="2835"/>
        <w:gridCol w:w="567"/>
        <w:gridCol w:w="4395"/>
      </w:tblGrid>
      <w:tr w:rsidR="00517C19" w:rsidRPr="00B16E6B" w14:paraId="6595AB73" w14:textId="77777777" w:rsidTr="00823904">
        <w:trPr>
          <w:trHeight w:val="300"/>
          <w:tblHeader/>
        </w:trPr>
        <w:tc>
          <w:tcPr>
            <w:tcW w:w="567" w:type="dxa"/>
            <w:tcBorders>
              <w:top w:val="nil"/>
              <w:left w:val="nil"/>
              <w:bottom w:val="single" w:sz="4" w:space="0" w:color="BFBFBF" w:themeColor="background1" w:themeShade="BF"/>
              <w:right w:val="single" w:sz="4" w:space="0" w:color="BFBFBF" w:themeColor="background1" w:themeShade="BF"/>
            </w:tcBorders>
            <w:shd w:val="clear" w:color="auto" w:fill="1C2B39" w:themeFill="accent1"/>
            <w:vAlign w:val="center"/>
            <w:hideMark/>
          </w:tcPr>
          <w:p w14:paraId="32CA60B2" w14:textId="418EBF63" w:rsidR="00517C19" w:rsidRPr="00B16E6B" w:rsidRDefault="00517C19" w:rsidP="009613E1">
            <w:pPr>
              <w:spacing w:before="120" w:after="120" w:line="271" w:lineRule="auto"/>
              <w:jc w:val="center"/>
              <w:rPr>
                <w:rFonts w:cs="Arial"/>
                <w:b/>
                <w:bCs/>
                <w:sz w:val="20"/>
                <w:szCs w:val="20"/>
              </w:rPr>
            </w:pPr>
          </w:p>
        </w:tc>
        <w:tc>
          <w:tcPr>
            <w:tcW w:w="1701" w:type="dxa"/>
            <w:tcBorders>
              <w:top w:val="nil"/>
              <w:left w:val="nil"/>
              <w:bottom w:val="single" w:sz="4" w:space="0" w:color="BFBFBF" w:themeColor="background1" w:themeShade="BF"/>
              <w:right w:val="single" w:sz="4" w:space="0" w:color="BFBFBF" w:themeColor="background1" w:themeShade="BF"/>
            </w:tcBorders>
            <w:shd w:val="clear" w:color="auto" w:fill="1C2B39" w:themeFill="text1"/>
            <w:vAlign w:val="center"/>
          </w:tcPr>
          <w:p w14:paraId="03C0C9E4" w14:textId="1C5105B2" w:rsidR="00517C19" w:rsidRPr="00B16E6B" w:rsidRDefault="00517C19" w:rsidP="009613E1">
            <w:pPr>
              <w:spacing w:before="120" w:after="120" w:line="271" w:lineRule="auto"/>
              <w:jc w:val="center"/>
              <w:rPr>
                <w:rFonts w:cs="Arial"/>
                <w:b/>
                <w:bCs/>
                <w:sz w:val="20"/>
                <w:szCs w:val="20"/>
              </w:rPr>
            </w:pPr>
            <w:r w:rsidRPr="00B16E6B">
              <w:rPr>
                <w:rFonts w:cs="Arial"/>
                <w:b/>
                <w:bCs/>
                <w:sz w:val="20"/>
                <w:szCs w:val="20"/>
              </w:rPr>
              <w:t>What is the problem?</w:t>
            </w:r>
          </w:p>
        </w:tc>
        <w:tc>
          <w:tcPr>
            <w:tcW w:w="283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C2B39" w:themeFill="accent1"/>
            <w:hideMark/>
          </w:tcPr>
          <w:p w14:paraId="160DD55F" w14:textId="77777777" w:rsidR="00517C19" w:rsidRPr="00B16E6B" w:rsidRDefault="00517C19" w:rsidP="009613E1">
            <w:pPr>
              <w:spacing w:before="120" w:after="120" w:line="271" w:lineRule="auto"/>
              <w:jc w:val="center"/>
              <w:rPr>
                <w:rFonts w:cs="Arial"/>
                <w:b/>
                <w:bCs/>
                <w:sz w:val="20"/>
                <w:szCs w:val="20"/>
              </w:rPr>
            </w:pPr>
            <w:r w:rsidRPr="00B16E6B">
              <w:rPr>
                <w:rFonts w:cs="Arial"/>
                <w:b/>
                <w:bCs/>
                <w:sz w:val="20"/>
                <w:szCs w:val="20"/>
              </w:rPr>
              <w:t>What are government’s objectives?</w:t>
            </w:r>
          </w:p>
        </w:tc>
        <w:tc>
          <w:tcPr>
            <w:tcW w:w="567" w:type="dxa"/>
            <w:tcBorders>
              <w:top w:val="nil"/>
              <w:left w:val="single" w:sz="4" w:space="0" w:color="BFBFBF" w:themeColor="background1" w:themeShade="BF"/>
              <w:bottom w:val="single" w:sz="4" w:space="0" w:color="BFBFBF" w:themeColor="background1" w:themeShade="BF"/>
              <w:right w:val="nil"/>
            </w:tcBorders>
            <w:shd w:val="clear" w:color="auto" w:fill="1C2B39" w:themeFill="accent1"/>
            <w:vAlign w:val="center"/>
            <w:hideMark/>
          </w:tcPr>
          <w:p w14:paraId="7B001447" w14:textId="01BA2B15" w:rsidR="00517C19" w:rsidRPr="00B16E6B" w:rsidRDefault="00517C19" w:rsidP="009613E1">
            <w:pPr>
              <w:spacing w:before="120" w:after="120" w:line="271" w:lineRule="auto"/>
              <w:jc w:val="center"/>
              <w:rPr>
                <w:rFonts w:cs="Arial"/>
                <w:b/>
                <w:bCs/>
                <w:sz w:val="20"/>
                <w:szCs w:val="20"/>
              </w:rPr>
            </w:pPr>
          </w:p>
        </w:tc>
        <w:tc>
          <w:tcPr>
            <w:tcW w:w="4395" w:type="dxa"/>
            <w:tcBorders>
              <w:top w:val="nil"/>
              <w:left w:val="single" w:sz="4" w:space="0" w:color="BFBFBF" w:themeColor="background1" w:themeShade="BF"/>
              <w:bottom w:val="single" w:sz="4" w:space="0" w:color="BFBFBF" w:themeColor="background1" w:themeShade="BF"/>
              <w:right w:val="nil"/>
            </w:tcBorders>
            <w:shd w:val="clear" w:color="auto" w:fill="1C2B39" w:themeFill="text1"/>
            <w:vAlign w:val="center"/>
          </w:tcPr>
          <w:p w14:paraId="2BBF5110" w14:textId="68A3C1FB" w:rsidR="00517C19" w:rsidRPr="00B16E6B" w:rsidRDefault="00517C19" w:rsidP="009613E1">
            <w:pPr>
              <w:spacing w:before="120" w:after="120" w:line="271" w:lineRule="auto"/>
              <w:jc w:val="center"/>
              <w:rPr>
                <w:rFonts w:cs="Arial"/>
                <w:b/>
                <w:bCs/>
                <w:sz w:val="20"/>
                <w:szCs w:val="20"/>
              </w:rPr>
            </w:pPr>
            <w:r w:rsidRPr="00B16E6B">
              <w:rPr>
                <w:rFonts w:cs="Arial"/>
                <w:b/>
                <w:bCs/>
                <w:sz w:val="20"/>
                <w:szCs w:val="20"/>
              </w:rPr>
              <w:t>Why not option 1, 2, or 3?</w:t>
            </w:r>
          </w:p>
        </w:tc>
      </w:tr>
      <w:tr w:rsidR="00517C19" w:rsidRPr="00B16E6B" w14:paraId="181DBEFA" w14:textId="77777777" w:rsidTr="00823904">
        <w:trPr>
          <w:trHeight w:val="1001"/>
        </w:trPr>
        <w:tc>
          <w:tcPr>
            <w:tcW w:w="56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9DF5669" w14:textId="77777777" w:rsidR="00517C19" w:rsidRPr="00B16E6B" w:rsidRDefault="00517C19" w:rsidP="009613E1">
            <w:pPr>
              <w:spacing w:before="60" w:after="60" w:line="271" w:lineRule="auto"/>
              <w:contextualSpacing/>
              <w:rPr>
                <w:rFonts w:cs="Arial"/>
                <w:b/>
                <w:bCs/>
                <w:sz w:val="20"/>
                <w:szCs w:val="20"/>
              </w:rPr>
            </w:pPr>
            <w:r w:rsidRPr="00B16E6B">
              <w:rPr>
                <w:rFonts w:cs="Arial"/>
                <w:b/>
                <w:bCs/>
                <w:sz w:val="20"/>
                <w:szCs w:val="20"/>
              </w:rPr>
              <w:t>1.1</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2C8BF" w14:textId="77777777" w:rsidR="00517C19" w:rsidRPr="00B16E6B" w:rsidRDefault="00517C19" w:rsidP="009613E1">
            <w:pPr>
              <w:spacing w:before="60" w:after="60" w:line="271" w:lineRule="auto"/>
              <w:rPr>
                <w:rFonts w:cs="Arial"/>
                <w:szCs w:val="20"/>
              </w:rPr>
            </w:pPr>
            <w:r w:rsidRPr="00B16E6B">
              <w:rPr>
                <w:rFonts w:cs="Arial"/>
                <w:szCs w:val="20"/>
              </w:rPr>
              <w:t xml:space="preserve">There are a growing number of threats to Australia’s transport sector, </w:t>
            </w:r>
            <w:r w:rsidRPr="00B16E6B">
              <w:rPr>
                <w:rFonts w:cs="Arial"/>
                <w:szCs w:val="20"/>
              </w:rPr>
              <w:lastRenderedPageBreak/>
              <w:t xml:space="preserve">including an increasing risk of cyber incidents </w:t>
            </w:r>
          </w:p>
        </w:tc>
        <w:tc>
          <w:tcPr>
            <w:tcW w:w="2835"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2DDC0F9E" w14:textId="77777777" w:rsidR="00517C19" w:rsidRPr="00B16E6B" w:rsidRDefault="00517C19" w:rsidP="00A11AF5">
            <w:pPr>
              <w:pStyle w:val="ListParagraph"/>
              <w:numPr>
                <w:ilvl w:val="0"/>
                <w:numId w:val="32"/>
              </w:numPr>
              <w:spacing w:before="60" w:after="60" w:line="271" w:lineRule="auto"/>
              <w:rPr>
                <w:rFonts w:cs="Arial"/>
                <w:szCs w:val="20"/>
              </w:rPr>
            </w:pPr>
            <w:r w:rsidRPr="00B16E6B">
              <w:rPr>
                <w:rFonts w:cs="Arial"/>
                <w:szCs w:val="20"/>
              </w:rPr>
              <w:lastRenderedPageBreak/>
              <w:t>Ensure government and industry are equipped to respond to current and emerging threats</w:t>
            </w:r>
          </w:p>
          <w:p w14:paraId="6E4FFE22" w14:textId="77777777" w:rsidR="00517C19" w:rsidRPr="00B16E6B" w:rsidRDefault="00517C19" w:rsidP="00A11AF5">
            <w:pPr>
              <w:pStyle w:val="ListParagraph"/>
              <w:numPr>
                <w:ilvl w:val="0"/>
                <w:numId w:val="32"/>
              </w:numPr>
              <w:spacing w:before="60" w:after="60" w:line="271" w:lineRule="auto"/>
              <w:rPr>
                <w:rFonts w:cs="Arial"/>
                <w:szCs w:val="20"/>
              </w:rPr>
            </w:pPr>
            <w:r w:rsidRPr="00B16E6B">
              <w:rPr>
                <w:rFonts w:cs="Arial"/>
                <w:szCs w:val="20"/>
              </w:rPr>
              <w:t xml:space="preserve">Ensure industry can meet desired security </w:t>
            </w:r>
            <w:r w:rsidRPr="00B16E6B">
              <w:rPr>
                <w:rFonts w:cs="Arial"/>
                <w:szCs w:val="20"/>
              </w:rPr>
              <w:lastRenderedPageBreak/>
              <w:t>outcomes, including through identifying, mitigating, and responding to all hazards security threats</w:t>
            </w:r>
          </w:p>
          <w:p w14:paraId="0DD5411C" w14:textId="77777777" w:rsidR="00517C19" w:rsidRPr="00B16E6B" w:rsidRDefault="00517C19" w:rsidP="009613E1">
            <w:pPr>
              <w:pStyle w:val="ListParagraph"/>
              <w:spacing w:before="60" w:after="60" w:line="271" w:lineRule="auto"/>
              <w:ind w:left="340"/>
              <w:rPr>
                <w:rFonts w:cs="Arial"/>
                <w:sz w:val="20"/>
                <w:szCs w:val="20"/>
              </w:rPr>
            </w:pPr>
            <w:r w:rsidRPr="00B16E6B">
              <w:rPr>
                <w:rFonts w:cs="Arial"/>
                <w:szCs w:val="20"/>
              </w:rPr>
              <w:t xml:space="preserve">Ensure Australia continues to comply with its international aviation and maritime security obligations </w:t>
            </w:r>
          </w:p>
        </w:tc>
        <w:tc>
          <w:tcPr>
            <w:tcW w:w="567" w:type="dxa"/>
            <w:tcBorders>
              <w:top w:val="single" w:sz="4" w:space="0" w:color="BFBFBF" w:themeColor="background1" w:themeShade="BF"/>
              <w:left w:val="single" w:sz="4" w:space="0" w:color="BFBFBF" w:themeColor="background1" w:themeShade="BF"/>
              <w:bottom w:val="single" w:sz="4" w:space="0" w:color="F9E3D0" w:themeColor="accent4" w:themeTint="33"/>
              <w:right w:val="single" w:sz="4" w:space="0" w:color="F9E3D0" w:themeColor="accent4" w:themeTint="33"/>
            </w:tcBorders>
            <w:shd w:val="clear" w:color="auto" w:fill="F9E3D0" w:themeFill="accent4" w:themeFillTint="33"/>
            <w:vAlign w:val="center"/>
            <w:hideMark/>
          </w:tcPr>
          <w:p w14:paraId="492F923C" w14:textId="4374F4AA" w:rsidR="00517C19" w:rsidRPr="00B16E6B" w:rsidRDefault="00E96D5F" w:rsidP="009613E1">
            <w:pPr>
              <w:pStyle w:val="ListParagraph"/>
              <w:spacing w:after="60" w:line="271" w:lineRule="auto"/>
              <w:ind w:left="360"/>
              <w:rPr>
                <w:rFonts w:cs="Arial"/>
                <w:sz w:val="20"/>
                <w:szCs w:val="20"/>
              </w:rPr>
            </w:pPr>
            <w:r w:rsidRPr="00B16E6B">
              <w:rPr>
                <w:noProof/>
                <w:lang w:eastAsia="en-AU"/>
              </w:rPr>
              <w:lastRenderedPageBreak/>
              <mc:AlternateContent>
                <mc:Choice Requires="wps">
                  <w:drawing>
                    <wp:anchor distT="0" distB="0" distL="114300" distR="114300" simplePos="0" relativeHeight="251732992" behindDoc="0" locked="0" layoutInCell="1" allowOverlap="1" wp14:anchorId="78DB04A2" wp14:editId="7D53B6BC">
                      <wp:simplePos x="0" y="0"/>
                      <wp:positionH relativeFrom="column">
                        <wp:posOffset>7620</wp:posOffset>
                      </wp:positionH>
                      <wp:positionV relativeFrom="paragraph">
                        <wp:posOffset>147955</wp:posOffset>
                      </wp:positionV>
                      <wp:extent cx="222250" cy="237490"/>
                      <wp:effectExtent l="0" t="0" r="0" b="0"/>
                      <wp:wrapNone/>
                      <wp:docPr id="4" name="Multiply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22250" cy="237490"/>
                              </a:xfrm>
                              <a:prstGeom prst="mathMultiply">
                                <a:avLst/>
                              </a:prstGeom>
                              <a:solidFill>
                                <a:srgbClr val="ED7D31"/>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668047" id="Multiply 4" o:spid="_x0000_s1026" alt="&quot;&quot;" style="position:absolute;margin-left:.6pt;margin-top:11.65pt;width:17.5pt;height:18.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" path="m34295,74898l72462,39180r38663,41314l149788,39180r38167,35718l146921,118745r41034,43847l149788,198310,111125,156996,72462,198310,34295,162592,75329,118745,34295,74898xe" fillcolor="#ed7d31" stroked="f" strokeweight=".06339mm">
                      <v:stroke joinstyle="miter"/>
                      <v:path arrowok="t" o:connecttype="custom" o:connectlocs="34295,74898;72462,39180;111125,80494;149788,39180;187955,74898;146921,118745;187955,162592;149788,198310;111125,156996;72462,198310;34295,162592;75329,118745;34295,74898" o:connectangles="0,0,0,0,0,0,0,0,0,0,0,0,0"/>
                    </v:shape>
                  </w:pict>
                </mc:Fallback>
              </mc:AlternateContent>
            </w:r>
            <w:r w:rsidRPr="00B16E6B">
              <w:rPr>
                <w:noProof/>
                <w:lang w:eastAsia="en-AU"/>
              </w:rPr>
              <mc:AlternateContent>
                <mc:Choice Requires="wps">
                  <w:drawing>
                    <wp:anchor distT="0" distB="0" distL="114300" distR="114300" simplePos="0" relativeHeight="251730944" behindDoc="0" locked="0" layoutInCell="1" allowOverlap="1" wp14:anchorId="6C75A020" wp14:editId="087B1A4C">
                      <wp:simplePos x="0" y="0"/>
                      <wp:positionH relativeFrom="column">
                        <wp:posOffset>-15240</wp:posOffset>
                      </wp:positionH>
                      <wp:positionV relativeFrom="paragraph">
                        <wp:posOffset>975360</wp:posOffset>
                      </wp:positionV>
                      <wp:extent cx="222250" cy="237490"/>
                      <wp:effectExtent l="0" t="0" r="0" b="0"/>
                      <wp:wrapNone/>
                      <wp:docPr id="920551405" name="Multiply 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22250" cy="237490"/>
                              </a:xfrm>
                              <a:prstGeom prst="mathMultiply">
                                <a:avLst/>
                              </a:prstGeom>
                              <a:solidFill>
                                <a:srgbClr val="ED7D31"/>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74947" id="Multiply 4" o:spid="_x0000_s1026" alt="&quot;&quot;" style="position:absolute;margin-left:-1.2pt;margin-top:76.8pt;width:17.5pt;height:18.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" path="m34295,74898l72462,39180r38663,41314l149788,39180r38167,35718l146921,118745r41034,43847l149788,198310,111125,156996,72462,198310,34295,162592,75329,118745,34295,74898xe" fillcolor="#ed7d31" stroked="f" strokeweight=".06339mm">
                      <v:stroke joinstyle="miter"/>
                      <v:path arrowok="t" o:connecttype="custom" o:connectlocs="34295,74898;72462,39180;111125,80494;149788,39180;187955,74898;146921,118745;187955,162592;149788,198310;111125,156996;72462,198310;34295,162592;75329,118745;34295,74898" o:connectangles="0,0,0,0,0,0,0,0,0,0,0,0,0"/>
                    </v:shape>
                  </w:pict>
                </mc:Fallback>
              </mc:AlternateContent>
            </w:r>
          </w:p>
        </w:tc>
        <w:tc>
          <w:tcPr>
            <w:tcW w:w="4395" w:type="dxa"/>
            <w:tcBorders>
              <w:top w:val="single" w:sz="4" w:space="0" w:color="BFBFBF" w:themeColor="background1" w:themeShade="BF"/>
              <w:left w:val="single" w:sz="4" w:space="0" w:color="F9E3D0" w:themeColor="accent4" w:themeTint="33"/>
              <w:bottom w:val="single" w:sz="4" w:space="0" w:color="FFFFFF" w:themeColor="background1"/>
              <w:right w:val="nil"/>
            </w:tcBorders>
            <w:vAlign w:val="center"/>
            <w:hideMark/>
          </w:tcPr>
          <w:p w14:paraId="37BFB1B8" w14:textId="77777777" w:rsidR="006A7DD6" w:rsidRDefault="006A7DD6" w:rsidP="006A7DD6">
            <w:pPr>
              <w:spacing w:before="60" w:after="60" w:line="268" w:lineRule="auto"/>
              <w:rPr>
                <w:rFonts w:cs="Arial"/>
                <w:b/>
                <w:bCs/>
                <w:sz w:val="20"/>
                <w:szCs w:val="20"/>
              </w:rPr>
            </w:pPr>
            <w:r>
              <w:rPr>
                <w:rFonts w:cs="Arial"/>
                <w:b/>
                <w:bCs/>
                <w:sz w:val="20"/>
                <w:szCs w:val="20"/>
              </w:rPr>
              <w:t>Option 1:</w:t>
            </w:r>
          </w:p>
          <w:p w14:paraId="5011BC14" w14:textId="77777777" w:rsidR="006A7DD6" w:rsidRDefault="006A7DD6" w:rsidP="00A11AF5">
            <w:pPr>
              <w:pStyle w:val="ListParagraph"/>
              <w:numPr>
                <w:ilvl w:val="0"/>
                <w:numId w:val="34"/>
              </w:numPr>
              <w:spacing w:before="60" w:after="60" w:line="268" w:lineRule="auto"/>
              <w:rPr>
                <w:rFonts w:cs="Arial"/>
                <w:b/>
                <w:bCs/>
                <w:sz w:val="20"/>
                <w:szCs w:val="20"/>
              </w:rPr>
            </w:pPr>
            <w:r>
              <w:rPr>
                <w:rFonts w:cs="Arial"/>
                <w:bCs/>
                <w:sz w:val="20"/>
                <w:szCs w:val="20"/>
              </w:rPr>
              <w:t xml:space="preserve">Current problem elements will persist as the </w:t>
            </w:r>
            <w:r>
              <w:rPr>
                <w:rFonts w:cs="Arial"/>
                <w:sz w:val="20"/>
                <w:szCs w:val="20"/>
              </w:rPr>
              <w:t>transport sector remains exposed to threats</w:t>
            </w:r>
          </w:p>
          <w:p w14:paraId="53693C1B" w14:textId="77777777" w:rsidR="006A7DD6" w:rsidRDefault="006A7DD6" w:rsidP="00A11AF5">
            <w:pPr>
              <w:pStyle w:val="ListParagraph"/>
              <w:numPr>
                <w:ilvl w:val="0"/>
                <w:numId w:val="34"/>
              </w:numPr>
              <w:spacing w:before="60" w:after="60" w:line="268" w:lineRule="auto"/>
              <w:rPr>
                <w:rFonts w:cs="Arial"/>
                <w:b/>
                <w:bCs/>
                <w:sz w:val="20"/>
                <w:szCs w:val="20"/>
              </w:rPr>
            </w:pPr>
            <w:r>
              <w:rPr>
                <w:rFonts w:cs="Arial"/>
                <w:sz w:val="20"/>
                <w:szCs w:val="20"/>
              </w:rPr>
              <w:t xml:space="preserve">Insufficient mitigations will maintain the potential for a security incident to occur </w:t>
            </w:r>
          </w:p>
          <w:p w14:paraId="0733C6C8" w14:textId="77777777" w:rsidR="006A7DD6" w:rsidRDefault="006A7DD6" w:rsidP="006A7DD6">
            <w:pPr>
              <w:spacing w:before="60" w:after="60" w:line="268" w:lineRule="auto"/>
              <w:rPr>
                <w:rFonts w:cs="Arial"/>
                <w:b/>
                <w:bCs/>
                <w:sz w:val="20"/>
                <w:szCs w:val="20"/>
              </w:rPr>
            </w:pPr>
            <w:r>
              <w:rPr>
                <w:rFonts w:cs="Arial"/>
                <w:b/>
                <w:bCs/>
                <w:sz w:val="20"/>
                <w:szCs w:val="20"/>
              </w:rPr>
              <w:t>Option 2:</w:t>
            </w:r>
          </w:p>
          <w:p w14:paraId="685D9A81" w14:textId="77777777" w:rsidR="006A7DD6" w:rsidRDefault="006A7DD6" w:rsidP="00A11AF5">
            <w:pPr>
              <w:pStyle w:val="ListParagraph"/>
              <w:numPr>
                <w:ilvl w:val="0"/>
                <w:numId w:val="34"/>
              </w:numPr>
              <w:spacing w:after="120" w:line="268" w:lineRule="auto"/>
              <w:rPr>
                <w:rFonts w:cs="Arial"/>
                <w:sz w:val="20"/>
                <w:szCs w:val="20"/>
                <w:lang w:val="en-US"/>
              </w:rPr>
            </w:pPr>
            <w:r>
              <w:rPr>
                <w:rFonts w:cs="Arial"/>
                <w:sz w:val="20"/>
                <w:szCs w:val="20"/>
                <w:lang w:val="en-US"/>
              </w:rPr>
              <w:t>Existing regulatory gaps are not addressed</w:t>
            </w:r>
          </w:p>
          <w:p w14:paraId="69FD3B60" w14:textId="77777777" w:rsidR="006A7DD6" w:rsidRDefault="006A7DD6" w:rsidP="00A11AF5">
            <w:pPr>
              <w:pStyle w:val="ListParagraph"/>
              <w:numPr>
                <w:ilvl w:val="0"/>
                <w:numId w:val="34"/>
              </w:numPr>
              <w:spacing w:after="120" w:line="268" w:lineRule="auto"/>
              <w:rPr>
                <w:rFonts w:cs="Arial"/>
                <w:sz w:val="20"/>
                <w:szCs w:val="20"/>
                <w:lang w:val="en-US"/>
              </w:rPr>
            </w:pPr>
            <w:r>
              <w:rPr>
                <w:rFonts w:cs="Arial"/>
                <w:sz w:val="20"/>
                <w:szCs w:val="20"/>
                <w:lang w:val="en-US"/>
              </w:rPr>
              <w:lastRenderedPageBreak/>
              <w:t>Potential additional costs associated with increased threats and entities choosing not to consider guidance material to uplift their risk mitigation strategies</w:t>
            </w:r>
          </w:p>
          <w:p w14:paraId="32DBBD06" w14:textId="77777777" w:rsidR="006A7DD6" w:rsidRDefault="006A7DD6" w:rsidP="00A11AF5">
            <w:pPr>
              <w:pStyle w:val="ListParagraph"/>
              <w:numPr>
                <w:ilvl w:val="0"/>
                <w:numId w:val="34"/>
              </w:numPr>
              <w:spacing w:after="120" w:line="268" w:lineRule="auto"/>
              <w:rPr>
                <w:rFonts w:cs="Arial"/>
                <w:bCs/>
                <w:sz w:val="20"/>
                <w:szCs w:val="20"/>
              </w:rPr>
            </w:pPr>
            <w:r>
              <w:rPr>
                <w:rFonts w:cs="Arial"/>
                <w:sz w:val="20"/>
                <w:szCs w:val="20"/>
                <w:lang w:val="en-US"/>
              </w:rPr>
              <w:t>Government has limited visibility over industry’s</w:t>
            </w:r>
            <w:r>
              <w:rPr>
                <w:rFonts w:cs="Arial"/>
                <w:sz w:val="20"/>
                <w:szCs w:val="20"/>
              </w:rPr>
              <w:t xml:space="preserve"> existing risk management practices</w:t>
            </w:r>
          </w:p>
          <w:p w14:paraId="32EF5F47" w14:textId="77777777" w:rsidR="006A7DD6" w:rsidRDefault="006A7DD6" w:rsidP="006A7DD6">
            <w:pPr>
              <w:spacing w:before="60" w:after="60" w:line="268" w:lineRule="auto"/>
              <w:rPr>
                <w:rFonts w:cs="Arial"/>
                <w:b/>
                <w:bCs/>
                <w:sz w:val="20"/>
                <w:szCs w:val="20"/>
              </w:rPr>
            </w:pPr>
            <w:r>
              <w:rPr>
                <w:rFonts w:cs="Arial"/>
                <w:sz w:val="20"/>
                <w:szCs w:val="20"/>
              </w:rPr>
              <w:t>Should one entity in the supply chain choose to not uplift their capability, it poses a risk to the whole supply chain despite any capability improvement made by other entities</w:t>
            </w:r>
            <w:r>
              <w:rPr>
                <w:rFonts w:cs="Arial"/>
                <w:b/>
                <w:bCs/>
                <w:sz w:val="20"/>
                <w:szCs w:val="20"/>
              </w:rPr>
              <w:t xml:space="preserve"> </w:t>
            </w:r>
          </w:p>
          <w:p w14:paraId="2427074D" w14:textId="00613A4C" w:rsidR="006A7DD6" w:rsidRDefault="00E96D5F" w:rsidP="006A7DD6">
            <w:pPr>
              <w:spacing w:before="60" w:after="60" w:line="268" w:lineRule="auto"/>
              <w:rPr>
                <w:rFonts w:cs="Arial"/>
                <w:b/>
                <w:bCs/>
                <w:sz w:val="20"/>
                <w:szCs w:val="20"/>
              </w:rPr>
            </w:pPr>
            <w:r w:rsidRPr="00B16E6B">
              <w:rPr>
                <w:noProof/>
                <w:lang w:eastAsia="en-AU"/>
              </w:rPr>
              <mc:AlternateContent>
                <mc:Choice Requires="wps">
                  <w:drawing>
                    <wp:anchor distT="0" distB="0" distL="114300" distR="114300" simplePos="0" relativeHeight="251737088" behindDoc="0" locked="0" layoutInCell="1" allowOverlap="1" wp14:anchorId="60D8B9B5" wp14:editId="7BACFCCF">
                      <wp:simplePos x="0" y="0"/>
                      <wp:positionH relativeFrom="column">
                        <wp:posOffset>-365760</wp:posOffset>
                      </wp:positionH>
                      <wp:positionV relativeFrom="paragraph">
                        <wp:posOffset>14605</wp:posOffset>
                      </wp:positionV>
                      <wp:extent cx="222250" cy="237490"/>
                      <wp:effectExtent l="0" t="0" r="0" b="0"/>
                      <wp:wrapNone/>
                      <wp:docPr id="2" name="Multiply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22250" cy="237490"/>
                              </a:xfrm>
                              <a:prstGeom prst="mathMultiply">
                                <a:avLst/>
                              </a:prstGeom>
                              <a:solidFill>
                                <a:srgbClr val="ED7D31"/>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50DE44" id="Multiply 2" o:spid="_x0000_s1026" alt="&quot;&quot;" style="position:absolute;margin-left:-28.8pt;margin-top:1.15pt;width:17.5pt;height:18.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" path="m34295,74898l72462,39180r38663,41314l149788,39180r38167,35718l146921,118745r41034,43847l149788,198310,111125,156996,72462,198310,34295,162592,75329,118745,34295,74898xe" fillcolor="#ed7d31" stroked="f" strokeweight=".06339mm">
                      <v:stroke joinstyle="miter"/>
                      <v:path arrowok="t" o:connecttype="custom" o:connectlocs="34295,74898;72462,39180;111125,80494;149788,39180;187955,74898;146921,118745;187955,162592;149788,198310;111125,156996;72462,198310;34295,162592;75329,118745;34295,74898" o:connectangles="0,0,0,0,0,0,0,0,0,0,0,0,0"/>
                    </v:shape>
                  </w:pict>
                </mc:Fallback>
              </mc:AlternateContent>
            </w:r>
            <w:r w:rsidR="006A7DD6">
              <w:rPr>
                <w:rFonts w:cs="Arial"/>
                <w:b/>
                <w:bCs/>
                <w:sz w:val="20"/>
                <w:szCs w:val="20"/>
              </w:rPr>
              <w:t>Option 3:</w:t>
            </w:r>
          </w:p>
          <w:p w14:paraId="084FED04" w14:textId="7AD0EA13" w:rsidR="006A7DD6" w:rsidRDefault="006A7DD6" w:rsidP="00A11AF5">
            <w:pPr>
              <w:pStyle w:val="ListParagraph"/>
              <w:numPr>
                <w:ilvl w:val="0"/>
                <w:numId w:val="34"/>
              </w:numPr>
              <w:spacing w:after="120" w:line="268" w:lineRule="auto"/>
              <w:rPr>
                <w:rFonts w:cs="Arial"/>
                <w:sz w:val="20"/>
                <w:szCs w:val="20"/>
                <w:lang w:val="en-US"/>
              </w:rPr>
            </w:pPr>
            <w:r>
              <w:rPr>
                <w:rFonts w:cs="Arial"/>
                <w:sz w:val="20"/>
                <w:szCs w:val="20"/>
                <w:lang w:val="en-US"/>
              </w:rPr>
              <w:t>Mitigating the problem elements through the SOCI Act will not capture the transport sector holistically</w:t>
            </w:r>
          </w:p>
          <w:p w14:paraId="7D447656" w14:textId="0C92D065" w:rsidR="006A7DD6" w:rsidRDefault="006A7DD6" w:rsidP="00A11AF5">
            <w:pPr>
              <w:pStyle w:val="ListParagraph"/>
              <w:numPr>
                <w:ilvl w:val="0"/>
                <w:numId w:val="34"/>
              </w:numPr>
              <w:spacing w:after="120" w:line="268" w:lineRule="auto"/>
              <w:rPr>
                <w:rFonts w:cs="Arial"/>
                <w:sz w:val="20"/>
                <w:szCs w:val="20"/>
                <w:lang w:val="en-US"/>
              </w:rPr>
            </w:pPr>
            <w:r>
              <w:rPr>
                <w:rFonts w:cs="Arial"/>
                <w:sz w:val="20"/>
                <w:szCs w:val="20"/>
                <w:lang w:val="en-US"/>
              </w:rPr>
              <w:t>Does not provide the government with adequate powers to enforce industry compliance</w:t>
            </w:r>
          </w:p>
          <w:p w14:paraId="06FFA306" w14:textId="23C5107E" w:rsidR="00517C19" w:rsidRPr="00B16E6B" w:rsidRDefault="006A7DD6" w:rsidP="00A11AF5">
            <w:pPr>
              <w:pStyle w:val="ListParagraph"/>
              <w:numPr>
                <w:ilvl w:val="0"/>
                <w:numId w:val="34"/>
              </w:numPr>
              <w:spacing w:before="60" w:after="60" w:line="271" w:lineRule="auto"/>
              <w:rPr>
                <w:rFonts w:cs="Arial"/>
                <w:b/>
                <w:bCs/>
                <w:sz w:val="20"/>
                <w:szCs w:val="20"/>
              </w:rPr>
            </w:pPr>
            <w:r>
              <w:rPr>
                <w:rFonts w:cs="Arial"/>
                <w:sz w:val="20"/>
                <w:szCs w:val="20"/>
                <w:lang w:val="en-US"/>
              </w:rPr>
              <w:t>Presents additional compliance burden on industry, having to respond to security obligations across multiple legislative frameworks</w:t>
            </w:r>
          </w:p>
        </w:tc>
      </w:tr>
      <w:tr w:rsidR="00751E76" w:rsidRPr="00B16E6B" w14:paraId="106BC434" w14:textId="77777777" w:rsidTr="00823904">
        <w:trPr>
          <w:trHeight w:val="551"/>
        </w:trPr>
        <w:tc>
          <w:tcPr>
            <w:tcW w:w="567" w:type="dxa"/>
            <w:tcBorders>
              <w:top w:val="single" w:sz="4" w:space="0" w:color="BFBFBF" w:themeColor="background1" w:themeShade="BF"/>
              <w:left w:val="nil"/>
              <w:right w:val="single" w:sz="4" w:space="0" w:color="BFBFBF" w:themeColor="background1" w:themeShade="BF"/>
            </w:tcBorders>
            <w:shd w:val="clear" w:color="auto" w:fill="F2F2F2" w:themeFill="background1" w:themeFillShade="F2"/>
            <w:vAlign w:val="center"/>
            <w:hideMark/>
          </w:tcPr>
          <w:p w14:paraId="48342D39" w14:textId="77777777" w:rsidR="00751E76" w:rsidRPr="00B16E6B" w:rsidRDefault="00751E76" w:rsidP="009613E1">
            <w:pPr>
              <w:spacing w:before="60" w:after="60" w:line="271" w:lineRule="auto"/>
              <w:contextualSpacing/>
              <w:rPr>
                <w:rFonts w:cs="Arial"/>
                <w:b/>
                <w:bCs/>
                <w:sz w:val="20"/>
                <w:szCs w:val="20"/>
              </w:rPr>
            </w:pPr>
            <w:r w:rsidRPr="00B16E6B">
              <w:rPr>
                <w:rFonts w:cs="Arial"/>
                <w:b/>
                <w:bCs/>
                <w:sz w:val="20"/>
                <w:szCs w:val="20"/>
              </w:rPr>
              <w:lastRenderedPageBreak/>
              <w:t>1.2</w:t>
            </w:r>
          </w:p>
        </w:tc>
        <w:tc>
          <w:tcPr>
            <w:tcW w:w="170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hideMark/>
          </w:tcPr>
          <w:p w14:paraId="14B7CA96" w14:textId="77777777" w:rsidR="00751E76" w:rsidRPr="00B16E6B" w:rsidRDefault="00751E76" w:rsidP="009613E1">
            <w:pPr>
              <w:spacing w:before="60" w:after="60" w:line="271" w:lineRule="auto"/>
              <w:rPr>
                <w:rFonts w:cs="Arial"/>
                <w:szCs w:val="20"/>
              </w:rPr>
            </w:pPr>
            <w:r w:rsidRPr="00B16E6B">
              <w:rPr>
                <w:rFonts w:cs="Arial"/>
                <w:szCs w:val="20"/>
              </w:rPr>
              <w:t>The dynamic and uncertain nature of these threats means the transport sector faces challenges in preparing for, mitigating, and responding to the realisation of these threats</w:t>
            </w:r>
          </w:p>
        </w:tc>
        <w:tc>
          <w:tcPr>
            <w:tcW w:w="2835" w:type="dxa"/>
            <w:tcBorders>
              <w:left w:val="single" w:sz="4" w:space="0" w:color="BFBFBF" w:themeColor="background1" w:themeShade="BF"/>
              <w:bottom w:val="nil"/>
              <w:right w:val="single" w:sz="4" w:space="0" w:color="BFBFBF" w:themeColor="background1" w:themeShade="BF"/>
            </w:tcBorders>
            <w:vAlign w:val="center"/>
            <w:hideMark/>
          </w:tcPr>
          <w:p w14:paraId="46CC4D69" w14:textId="77777777" w:rsidR="00ED5F0A" w:rsidRPr="00ED5F0A" w:rsidRDefault="00ED5F0A" w:rsidP="00A11AF5">
            <w:pPr>
              <w:numPr>
                <w:ilvl w:val="0"/>
                <w:numId w:val="71"/>
              </w:numPr>
              <w:spacing w:after="0" w:line="271" w:lineRule="auto"/>
              <w:rPr>
                <w:rFonts w:cs="Arial"/>
                <w:sz w:val="20"/>
                <w:szCs w:val="20"/>
              </w:rPr>
            </w:pPr>
            <w:r w:rsidRPr="00ED5F0A">
              <w:rPr>
                <w:rFonts w:cs="Arial"/>
                <w:sz w:val="20"/>
                <w:szCs w:val="20"/>
              </w:rPr>
              <w:t>Ensure government and industry are equipped to respond to current and emerging threats</w:t>
            </w:r>
          </w:p>
          <w:p w14:paraId="26C293EE" w14:textId="77777777" w:rsidR="00ED5F0A" w:rsidRPr="00ED5F0A" w:rsidRDefault="00ED5F0A" w:rsidP="00A11AF5">
            <w:pPr>
              <w:numPr>
                <w:ilvl w:val="0"/>
                <w:numId w:val="71"/>
              </w:numPr>
              <w:spacing w:after="0" w:line="271" w:lineRule="auto"/>
              <w:rPr>
                <w:rFonts w:cs="Arial"/>
                <w:sz w:val="20"/>
                <w:szCs w:val="20"/>
              </w:rPr>
            </w:pPr>
            <w:r w:rsidRPr="00ED5F0A">
              <w:rPr>
                <w:rFonts w:cs="Arial"/>
                <w:sz w:val="20"/>
                <w:szCs w:val="20"/>
              </w:rPr>
              <w:t>Ensure industry can meet desired security outcomes, including through identifying, mitigating, and responding to all hazards security threats</w:t>
            </w:r>
          </w:p>
          <w:p w14:paraId="69E39F07" w14:textId="11B1E2B0" w:rsidR="00751E76" w:rsidRPr="00ED5F0A" w:rsidRDefault="00ED5F0A" w:rsidP="00A11AF5">
            <w:pPr>
              <w:pStyle w:val="ListParagraph"/>
              <w:numPr>
                <w:ilvl w:val="0"/>
                <w:numId w:val="72"/>
              </w:numPr>
              <w:spacing w:after="0" w:line="271" w:lineRule="auto"/>
              <w:rPr>
                <w:rFonts w:cs="Arial"/>
                <w:sz w:val="20"/>
                <w:szCs w:val="20"/>
              </w:rPr>
            </w:pPr>
            <w:r w:rsidRPr="00ED5F0A">
              <w:rPr>
                <w:rFonts w:cs="Arial"/>
                <w:sz w:val="20"/>
                <w:szCs w:val="20"/>
              </w:rPr>
              <w:t>Ensure Australia continues to comply with its international aviation and</w:t>
            </w:r>
          </w:p>
        </w:tc>
        <w:tc>
          <w:tcPr>
            <w:tcW w:w="567" w:type="dxa"/>
            <w:tcBorders>
              <w:top w:val="single" w:sz="4" w:space="0" w:color="F9E3D0" w:themeColor="accent4" w:themeTint="33"/>
              <w:left w:val="single" w:sz="4" w:space="0" w:color="BFBFBF" w:themeColor="background1" w:themeShade="BF"/>
              <w:bottom w:val="nil"/>
              <w:right w:val="single" w:sz="4" w:space="0" w:color="F9E3D0" w:themeColor="accent4" w:themeTint="33"/>
            </w:tcBorders>
            <w:shd w:val="clear" w:color="auto" w:fill="F9E3D0" w:themeFill="accent4" w:themeFillTint="33"/>
            <w:vAlign w:val="center"/>
            <w:hideMark/>
          </w:tcPr>
          <w:p w14:paraId="5C58B4C5" w14:textId="299804D9" w:rsidR="00751E76" w:rsidRPr="00B16E6B" w:rsidRDefault="00E96D5F" w:rsidP="009613E1">
            <w:pPr>
              <w:pStyle w:val="ListParagraph"/>
              <w:spacing w:after="60" w:line="271" w:lineRule="auto"/>
              <w:ind w:left="360"/>
              <w:rPr>
                <w:rFonts w:cs="Arial"/>
                <w:sz w:val="20"/>
                <w:szCs w:val="20"/>
              </w:rPr>
            </w:pPr>
            <w:r w:rsidRPr="00B16E6B">
              <w:rPr>
                <w:noProof/>
                <w:lang w:eastAsia="en-AU"/>
              </w:rPr>
              <mc:AlternateContent>
                <mc:Choice Requires="wps">
                  <w:drawing>
                    <wp:anchor distT="0" distB="0" distL="114300" distR="114300" simplePos="0" relativeHeight="251741184" behindDoc="0" locked="0" layoutInCell="1" allowOverlap="1" wp14:anchorId="2E59C8F1" wp14:editId="08E1C1D9">
                      <wp:simplePos x="0" y="0"/>
                      <wp:positionH relativeFrom="column">
                        <wp:posOffset>2540</wp:posOffset>
                      </wp:positionH>
                      <wp:positionV relativeFrom="paragraph">
                        <wp:posOffset>1233805</wp:posOffset>
                      </wp:positionV>
                      <wp:extent cx="222250" cy="237490"/>
                      <wp:effectExtent l="0" t="0" r="0" b="0"/>
                      <wp:wrapNone/>
                      <wp:docPr id="387398512" name="Multiply 1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22250" cy="237490"/>
                              </a:xfrm>
                              <a:prstGeom prst="mathMultiply">
                                <a:avLst/>
                              </a:prstGeom>
                              <a:solidFill>
                                <a:srgbClr val="ED7D31"/>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576282" id="Multiply 13" o:spid="_x0000_s1026" alt="&quot;&quot;" style="position:absolute;margin-left:.2pt;margin-top:97.15pt;width:17.5pt;height:18.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" path="m34295,74898l72462,39180r38663,41314l149788,39180r38167,35718l146921,118745r41034,43847l149788,198310,111125,156996,72462,198310,34295,162592,75329,118745,34295,74898xe" fillcolor="#ed7d31" stroked="f" strokeweight=".06339mm">
                      <v:stroke joinstyle="miter"/>
                      <v:path arrowok="t" o:connecttype="custom" o:connectlocs="34295,74898;72462,39180;111125,80494;149788,39180;187955,74898;146921,118745;187955,162592;149788,198310;111125,156996;72462,198310;34295,162592;75329,118745;34295,74898" o:connectangles="0,0,0,0,0,0,0,0,0,0,0,0,0"/>
                    </v:shape>
                  </w:pict>
                </mc:Fallback>
              </mc:AlternateContent>
            </w:r>
            <w:r w:rsidRPr="00B16E6B">
              <w:rPr>
                <w:noProof/>
                <w:lang w:eastAsia="en-AU"/>
              </w:rPr>
              <mc:AlternateContent>
                <mc:Choice Requires="wps">
                  <w:drawing>
                    <wp:anchor distT="0" distB="0" distL="114300" distR="114300" simplePos="0" relativeHeight="251739136" behindDoc="0" locked="0" layoutInCell="1" allowOverlap="1" wp14:anchorId="120466D0" wp14:editId="3435C7F8">
                      <wp:simplePos x="0" y="0"/>
                      <wp:positionH relativeFrom="column">
                        <wp:posOffset>-5080</wp:posOffset>
                      </wp:positionH>
                      <wp:positionV relativeFrom="paragraph">
                        <wp:posOffset>90805</wp:posOffset>
                      </wp:positionV>
                      <wp:extent cx="222250" cy="237490"/>
                      <wp:effectExtent l="0" t="0" r="0" b="0"/>
                      <wp:wrapNone/>
                      <wp:docPr id="1012190892" name="Multiply 1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22250" cy="237490"/>
                              </a:xfrm>
                              <a:prstGeom prst="mathMultiply">
                                <a:avLst/>
                              </a:prstGeom>
                              <a:solidFill>
                                <a:srgbClr val="ED7D31"/>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BA971" id="Multiply 13" o:spid="_x0000_s1026" alt="&quot;&quot;" style="position:absolute;margin-left:-.4pt;margin-top:7.15pt;width:17.5pt;height:18.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" path="m34295,74898l72462,39180r38663,41314l149788,39180r38167,35718l146921,118745r41034,43847l149788,198310,111125,156996,72462,198310,34295,162592,75329,118745,34295,74898xe" fillcolor="#ed7d31" stroked="f" strokeweight=".06339mm">
                      <v:stroke joinstyle="miter"/>
                      <v:path arrowok="t" o:connecttype="custom" o:connectlocs="34295,74898;72462,39180;111125,80494;149788,39180;187955,74898;146921,118745;187955,162592;149788,198310;111125,156996;72462,198310;34295,162592;75329,118745;34295,74898" o:connectangles="0,0,0,0,0,0,0,0,0,0,0,0,0"/>
                    </v:shape>
                  </w:pict>
                </mc:Fallback>
              </mc:AlternateContent>
            </w:r>
            <w:r w:rsidRPr="00B16E6B">
              <w:rPr>
                <w:noProof/>
                <w:lang w:eastAsia="en-AU"/>
              </w:rPr>
              <mc:AlternateContent>
                <mc:Choice Requires="wps">
                  <w:drawing>
                    <wp:anchor distT="0" distB="0" distL="114300" distR="114300" simplePos="0" relativeHeight="251726848" behindDoc="0" locked="0" layoutInCell="1" allowOverlap="1" wp14:anchorId="277DB47A" wp14:editId="216D9E35">
                      <wp:simplePos x="0" y="0"/>
                      <wp:positionH relativeFrom="column">
                        <wp:posOffset>12700</wp:posOffset>
                      </wp:positionH>
                      <wp:positionV relativeFrom="paragraph">
                        <wp:posOffset>3783965</wp:posOffset>
                      </wp:positionV>
                      <wp:extent cx="222250" cy="237490"/>
                      <wp:effectExtent l="0" t="0" r="0" b="0"/>
                      <wp:wrapNone/>
                      <wp:docPr id="13" name="Multiply 1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22250" cy="237490"/>
                              </a:xfrm>
                              <a:prstGeom prst="mathMultiply">
                                <a:avLst/>
                              </a:prstGeom>
                              <a:solidFill>
                                <a:srgbClr val="ED7D31"/>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44EA15" id="Multiply 13" o:spid="_x0000_s1026" alt="&quot;&quot;" style="position:absolute;margin-left:1pt;margin-top:297.95pt;width:17.5pt;height:18.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" path="m34295,74898l72462,39180r38663,41314l149788,39180r38167,35718l146921,118745r41034,43847l149788,198310,111125,156996,72462,198310,34295,162592,75329,118745,34295,74898xe" fillcolor="#ed7d31" stroked="f" strokeweight=".06339mm">
                      <v:stroke joinstyle="miter"/>
                      <v:path arrowok="t" o:connecttype="custom" o:connectlocs="34295,74898;72462,39180;111125,80494;149788,39180;187955,74898;146921,118745;187955,162592;149788,198310;111125,156996;72462,198310;34295,162592;75329,118745;34295,74898" o:connectangles="0,0,0,0,0,0,0,0,0,0,0,0,0"/>
                    </v:shape>
                  </w:pict>
                </mc:Fallback>
              </mc:AlternateContent>
            </w:r>
          </w:p>
        </w:tc>
        <w:tc>
          <w:tcPr>
            <w:tcW w:w="4395" w:type="dxa"/>
            <w:tcBorders>
              <w:top w:val="single" w:sz="4" w:space="0" w:color="FFFFFF" w:themeColor="background1"/>
              <w:left w:val="single" w:sz="4" w:space="0" w:color="F9E3D0" w:themeColor="accent4" w:themeTint="33"/>
              <w:bottom w:val="single" w:sz="4" w:space="0" w:color="BFBFBF" w:themeColor="background1" w:themeShade="BF"/>
              <w:right w:val="nil"/>
            </w:tcBorders>
            <w:vAlign w:val="center"/>
            <w:hideMark/>
          </w:tcPr>
          <w:p w14:paraId="68123864" w14:textId="77777777" w:rsidR="006A7DD6" w:rsidRDefault="006A7DD6" w:rsidP="006A7DD6">
            <w:pPr>
              <w:spacing w:before="60" w:after="60" w:line="268" w:lineRule="auto"/>
              <w:rPr>
                <w:rFonts w:cs="Arial"/>
                <w:b/>
                <w:bCs/>
                <w:sz w:val="20"/>
                <w:szCs w:val="20"/>
              </w:rPr>
            </w:pPr>
            <w:r>
              <w:rPr>
                <w:rFonts w:cs="Arial"/>
                <w:b/>
                <w:bCs/>
                <w:sz w:val="20"/>
                <w:szCs w:val="20"/>
              </w:rPr>
              <w:t>Option 1:</w:t>
            </w:r>
          </w:p>
          <w:p w14:paraId="1E0A4EEA" w14:textId="77777777" w:rsidR="006A7DD6" w:rsidRDefault="006A7DD6" w:rsidP="00A11AF5">
            <w:pPr>
              <w:pStyle w:val="ListParagraph"/>
              <w:numPr>
                <w:ilvl w:val="0"/>
                <w:numId w:val="34"/>
              </w:numPr>
              <w:spacing w:before="60" w:after="60" w:line="268" w:lineRule="auto"/>
              <w:rPr>
                <w:rFonts w:cs="Arial"/>
                <w:b/>
                <w:bCs/>
                <w:sz w:val="20"/>
                <w:szCs w:val="20"/>
              </w:rPr>
            </w:pPr>
            <w:r>
              <w:rPr>
                <w:rFonts w:cs="Arial"/>
                <w:bCs/>
                <w:sz w:val="20"/>
                <w:szCs w:val="20"/>
              </w:rPr>
              <w:t xml:space="preserve">Current problem elements will persist as the </w:t>
            </w:r>
            <w:r>
              <w:rPr>
                <w:rFonts w:cs="Arial"/>
                <w:sz w:val="20"/>
                <w:szCs w:val="20"/>
              </w:rPr>
              <w:t>transport sector remains exposed to threats</w:t>
            </w:r>
          </w:p>
          <w:p w14:paraId="0C8220C8" w14:textId="77777777" w:rsidR="006A7DD6" w:rsidRDefault="006A7DD6" w:rsidP="00A11AF5">
            <w:pPr>
              <w:pStyle w:val="ListParagraph"/>
              <w:numPr>
                <w:ilvl w:val="0"/>
                <w:numId w:val="34"/>
              </w:numPr>
              <w:spacing w:before="60" w:after="60" w:line="268" w:lineRule="auto"/>
              <w:rPr>
                <w:rFonts w:cs="Arial"/>
                <w:b/>
                <w:bCs/>
                <w:sz w:val="20"/>
                <w:szCs w:val="20"/>
              </w:rPr>
            </w:pPr>
            <w:r>
              <w:rPr>
                <w:rFonts w:cs="Arial"/>
                <w:sz w:val="20"/>
                <w:szCs w:val="20"/>
              </w:rPr>
              <w:t xml:space="preserve">Insufficient mitigations will maintain the potential for a security incident to occur </w:t>
            </w:r>
          </w:p>
          <w:p w14:paraId="77304DDA" w14:textId="77777777" w:rsidR="006A7DD6" w:rsidRDefault="006A7DD6" w:rsidP="006A7DD6">
            <w:pPr>
              <w:spacing w:before="60" w:after="60" w:line="268" w:lineRule="auto"/>
              <w:rPr>
                <w:rFonts w:cs="Arial"/>
                <w:b/>
                <w:bCs/>
                <w:sz w:val="20"/>
                <w:szCs w:val="20"/>
              </w:rPr>
            </w:pPr>
            <w:r>
              <w:rPr>
                <w:rFonts w:cs="Arial"/>
                <w:b/>
                <w:bCs/>
                <w:sz w:val="20"/>
                <w:szCs w:val="20"/>
              </w:rPr>
              <w:t>Option 2:</w:t>
            </w:r>
          </w:p>
          <w:p w14:paraId="1327A30D" w14:textId="77777777" w:rsidR="006A7DD6" w:rsidRDefault="006A7DD6" w:rsidP="00A11AF5">
            <w:pPr>
              <w:pStyle w:val="ListParagraph"/>
              <w:numPr>
                <w:ilvl w:val="0"/>
                <w:numId w:val="34"/>
              </w:numPr>
              <w:spacing w:after="120" w:line="268" w:lineRule="auto"/>
              <w:rPr>
                <w:rFonts w:cs="Arial"/>
                <w:sz w:val="20"/>
                <w:szCs w:val="20"/>
                <w:lang w:val="en-US"/>
              </w:rPr>
            </w:pPr>
            <w:r>
              <w:rPr>
                <w:rFonts w:cs="Arial"/>
                <w:sz w:val="20"/>
                <w:szCs w:val="20"/>
                <w:lang w:val="en-US"/>
              </w:rPr>
              <w:t>Existing regulatory gaps are not addressed</w:t>
            </w:r>
          </w:p>
          <w:p w14:paraId="72A6F120" w14:textId="77777777" w:rsidR="006A7DD6" w:rsidRDefault="006A7DD6" w:rsidP="00A11AF5">
            <w:pPr>
              <w:pStyle w:val="ListParagraph"/>
              <w:numPr>
                <w:ilvl w:val="0"/>
                <w:numId w:val="34"/>
              </w:numPr>
              <w:spacing w:after="120" w:line="268" w:lineRule="auto"/>
              <w:rPr>
                <w:rFonts w:cs="Arial"/>
                <w:sz w:val="20"/>
                <w:szCs w:val="20"/>
                <w:lang w:val="en-US"/>
              </w:rPr>
            </w:pPr>
            <w:r>
              <w:rPr>
                <w:rFonts w:cs="Arial"/>
                <w:sz w:val="20"/>
                <w:szCs w:val="20"/>
                <w:lang w:val="en-US"/>
              </w:rPr>
              <w:t>Potential additional costs associated with increased threats and entities choosing not to consider guidance material to uplift their risk mitigation strategies</w:t>
            </w:r>
          </w:p>
          <w:p w14:paraId="097D5CCD" w14:textId="77777777" w:rsidR="006A7DD6" w:rsidRDefault="006A7DD6" w:rsidP="00A11AF5">
            <w:pPr>
              <w:pStyle w:val="ListParagraph"/>
              <w:numPr>
                <w:ilvl w:val="0"/>
                <w:numId w:val="34"/>
              </w:numPr>
              <w:spacing w:after="120" w:line="268" w:lineRule="auto"/>
              <w:rPr>
                <w:rFonts w:cs="Arial"/>
                <w:bCs/>
                <w:sz w:val="20"/>
                <w:szCs w:val="20"/>
              </w:rPr>
            </w:pPr>
            <w:r>
              <w:rPr>
                <w:rFonts w:cs="Arial"/>
                <w:sz w:val="20"/>
                <w:szCs w:val="20"/>
                <w:lang w:val="en-US"/>
              </w:rPr>
              <w:t>Government has limited visibility over industry’s</w:t>
            </w:r>
            <w:r>
              <w:rPr>
                <w:rFonts w:cs="Arial"/>
                <w:sz w:val="20"/>
                <w:szCs w:val="20"/>
              </w:rPr>
              <w:t xml:space="preserve"> existing risk management practices</w:t>
            </w:r>
          </w:p>
          <w:p w14:paraId="295DE7D6" w14:textId="77777777" w:rsidR="006A7DD6" w:rsidRPr="001D4644" w:rsidRDefault="006A7DD6" w:rsidP="00A11AF5">
            <w:pPr>
              <w:pStyle w:val="ListParagraph"/>
              <w:numPr>
                <w:ilvl w:val="0"/>
                <w:numId w:val="74"/>
              </w:numPr>
              <w:spacing w:before="60" w:after="60" w:line="268" w:lineRule="auto"/>
              <w:rPr>
                <w:rFonts w:cs="Arial"/>
                <w:b/>
                <w:bCs/>
                <w:sz w:val="20"/>
                <w:szCs w:val="20"/>
              </w:rPr>
            </w:pPr>
            <w:r w:rsidRPr="001D4644">
              <w:rPr>
                <w:rFonts w:cs="Arial"/>
                <w:sz w:val="20"/>
                <w:szCs w:val="20"/>
              </w:rPr>
              <w:t>Should one entity in the supply chain choose to not uplift their capability, it poses a risk to the whole supply chain despite any capability improvement made by other entities</w:t>
            </w:r>
            <w:r w:rsidRPr="001D4644">
              <w:rPr>
                <w:rFonts w:cs="Arial"/>
                <w:b/>
                <w:bCs/>
                <w:sz w:val="20"/>
                <w:szCs w:val="20"/>
              </w:rPr>
              <w:t xml:space="preserve"> </w:t>
            </w:r>
          </w:p>
          <w:p w14:paraId="1293BB89" w14:textId="77777777" w:rsidR="006A7DD6" w:rsidRDefault="006A7DD6" w:rsidP="006A7DD6">
            <w:pPr>
              <w:spacing w:before="60" w:after="60" w:line="268" w:lineRule="auto"/>
              <w:rPr>
                <w:rFonts w:cs="Arial"/>
                <w:b/>
                <w:bCs/>
                <w:sz w:val="20"/>
                <w:szCs w:val="20"/>
              </w:rPr>
            </w:pPr>
            <w:r>
              <w:rPr>
                <w:rFonts w:cs="Arial"/>
                <w:b/>
                <w:bCs/>
                <w:sz w:val="20"/>
                <w:szCs w:val="20"/>
              </w:rPr>
              <w:lastRenderedPageBreak/>
              <w:t>Option 3:</w:t>
            </w:r>
          </w:p>
          <w:p w14:paraId="488E327D" w14:textId="77777777" w:rsidR="006A7DD6" w:rsidRDefault="006A7DD6" w:rsidP="00A11AF5">
            <w:pPr>
              <w:pStyle w:val="ListParagraph"/>
              <w:numPr>
                <w:ilvl w:val="0"/>
                <w:numId w:val="34"/>
              </w:numPr>
              <w:spacing w:after="120" w:line="268" w:lineRule="auto"/>
              <w:rPr>
                <w:rFonts w:cs="Arial"/>
                <w:sz w:val="20"/>
                <w:szCs w:val="20"/>
                <w:lang w:val="en-US"/>
              </w:rPr>
            </w:pPr>
            <w:r>
              <w:rPr>
                <w:rFonts w:cs="Arial"/>
                <w:sz w:val="20"/>
                <w:szCs w:val="20"/>
                <w:lang w:val="en-US"/>
              </w:rPr>
              <w:t>Mitigating the problem elements through the SOCI Act will not capture the transport sector holistically</w:t>
            </w:r>
          </w:p>
          <w:p w14:paraId="1233B656" w14:textId="77777777" w:rsidR="006A7DD6" w:rsidRDefault="006A7DD6" w:rsidP="00A11AF5">
            <w:pPr>
              <w:pStyle w:val="ListParagraph"/>
              <w:numPr>
                <w:ilvl w:val="0"/>
                <w:numId w:val="34"/>
              </w:numPr>
              <w:spacing w:after="120" w:line="268" w:lineRule="auto"/>
              <w:rPr>
                <w:rFonts w:cs="Arial"/>
                <w:sz w:val="20"/>
                <w:szCs w:val="20"/>
                <w:lang w:val="en-US"/>
              </w:rPr>
            </w:pPr>
            <w:r>
              <w:rPr>
                <w:rFonts w:cs="Arial"/>
                <w:sz w:val="20"/>
                <w:szCs w:val="20"/>
                <w:lang w:val="en-US"/>
              </w:rPr>
              <w:t>Does not provide the government with adequate powers to enforce industry compliance</w:t>
            </w:r>
          </w:p>
          <w:p w14:paraId="521BD29D" w14:textId="64E6BB4F" w:rsidR="00751E76" w:rsidRPr="001D4644" w:rsidRDefault="006A7DD6" w:rsidP="00A11AF5">
            <w:pPr>
              <w:pStyle w:val="ListParagraph"/>
              <w:numPr>
                <w:ilvl w:val="0"/>
                <w:numId w:val="73"/>
              </w:numPr>
              <w:spacing w:after="0" w:line="271" w:lineRule="auto"/>
              <w:rPr>
                <w:rFonts w:cs="Arial"/>
                <w:b/>
                <w:bCs/>
                <w:sz w:val="20"/>
                <w:szCs w:val="20"/>
              </w:rPr>
            </w:pPr>
            <w:r w:rsidRPr="001D4644">
              <w:rPr>
                <w:rFonts w:cs="Arial"/>
                <w:sz w:val="20"/>
                <w:szCs w:val="20"/>
                <w:lang w:val="en-US"/>
              </w:rPr>
              <w:t>Presents additional compliance burden on industry, having to respond to security obligations across multiple legislative frameworks</w:t>
            </w:r>
          </w:p>
        </w:tc>
      </w:tr>
    </w:tbl>
    <w:p w14:paraId="6D65382E" w14:textId="7B1CE9CB" w:rsidR="007A2B9E" w:rsidRPr="00B16E6B" w:rsidRDefault="007A2B9E" w:rsidP="009613E1">
      <w:pPr>
        <w:spacing w:before="240" w:line="271" w:lineRule="auto"/>
        <w:rPr>
          <w:rFonts w:eastAsia="Times New Roman"/>
          <w:lang w:eastAsia="en-AU"/>
        </w:rPr>
      </w:pPr>
      <w:r w:rsidRPr="00B16E6B">
        <w:rPr>
          <w:rFonts w:eastAsia="Times New Roman"/>
          <w:lang w:eastAsia="en-AU"/>
        </w:rPr>
        <w:lastRenderedPageBreak/>
        <w:t xml:space="preserve">As demonstrated in </w:t>
      </w:r>
      <w:r w:rsidR="00E2411D" w:rsidRPr="00B16E6B">
        <w:rPr>
          <w:rFonts w:eastAsia="Times New Roman"/>
          <w:lang w:eastAsia="en-AU"/>
        </w:rPr>
        <w:t>table</w:t>
      </w:r>
      <w:r w:rsidRPr="00B16E6B">
        <w:rPr>
          <w:rFonts w:eastAsia="Times New Roman"/>
          <w:lang w:eastAsia="en-AU"/>
        </w:rPr>
        <w:t xml:space="preserve"> </w:t>
      </w:r>
      <w:r w:rsidR="00A027FB" w:rsidRPr="00B16E6B">
        <w:rPr>
          <w:rFonts w:eastAsia="Times New Roman"/>
          <w:lang w:eastAsia="en-AU"/>
        </w:rPr>
        <w:t xml:space="preserve">23 </w:t>
      </w:r>
      <w:r w:rsidR="00406043" w:rsidRPr="00B16E6B">
        <w:rPr>
          <w:rFonts w:eastAsia="Times New Roman"/>
          <w:lang w:eastAsia="en-AU"/>
        </w:rPr>
        <w:t>above, o</w:t>
      </w:r>
      <w:r w:rsidRPr="00B16E6B">
        <w:rPr>
          <w:rFonts w:eastAsia="Times New Roman"/>
          <w:lang w:eastAsia="en-AU"/>
        </w:rPr>
        <w:t xml:space="preserve">ptions 1, 2, and 3 are not capable of solving the policy problem, nor aligning with the </w:t>
      </w:r>
      <w:r w:rsidR="00487C6A" w:rsidRPr="00B16E6B">
        <w:rPr>
          <w:rFonts w:eastAsia="Times New Roman"/>
          <w:lang w:eastAsia="en-AU"/>
        </w:rPr>
        <w:t>government</w:t>
      </w:r>
      <w:r w:rsidRPr="00B16E6B">
        <w:rPr>
          <w:rFonts w:eastAsia="Times New Roman"/>
          <w:lang w:eastAsia="en-AU"/>
        </w:rPr>
        <w:t xml:space="preserve"> objectives for intervention outlined by</w:t>
      </w:r>
      <w:r w:rsidR="00406043" w:rsidRPr="00B16E6B">
        <w:rPr>
          <w:rFonts w:eastAsia="Times New Roman"/>
          <w:lang w:eastAsia="en-AU"/>
        </w:rPr>
        <w:t xml:space="preserve"> this IA. Without implementing o</w:t>
      </w:r>
      <w:r w:rsidRPr="00B16E6B">
        <w:rPr>
          <w:rFonts w:eastAsia="Times New Roman"/>
          <w:lang w:eastAsia="en-AU"/>
        </w:rPr>
        <w:t xml:space="preserve">ption 4 as demonstrated in </w:t>
      </w:r>
      <w:r w:rsidR="00E2411D" w:rsidRPr="00B16E6B">
        <w:rPr>
          <w:rFonts w:eastAsia="Times New Roman"/>
          <w:lang w:eastAsia="en-AU"/>
        </w:rPr>
        <w:t>table</w:t>
      </w:r>
      <w:r w:rsidRPr="00B16E6B">
        <w:rPr>
          <w:rFonts w:eastAsia="Times New Roman"/>
          <w:lang w:eastAsia="en-AU"/>
        </w:rPr>
        <w:t xml:space="preserve"> </w:t>
      </w:r>
      <w:r w:rsidR="00A027FB" w:rsidRPr="00B16E6B">
        <w:rPr>
          <w:rFonts w:eastAsia="Times New Roman"/>
          <w:lang w:eastAsia="en-AU"/>
        </w:rPr>
        <w:t xml:space="preserve">23 </w:t>
      </w:r>
      <w:r w:rsidRPr="00B16E6B">
        <w:rPr>
          <w:rFonts w:eastAsia="Times New Roman"/>
          <w:lang w:eastAsia="en-AU"/>
        </w:rPr>
        <w:t xml:space="preserve">above, the identified problem areas cannot be addressed, </w:t>
      </w:r>
      <w:r w:rsidR="00487C6A" w:rsidRPr="00B16E6B">
        <w:rPr>
          <w:rFonts w:eastAsia="Times New Roman"/>
          <w:lang w:eastAsia="en-AU"/>
        </w:rPr>
        <w:t>government</w:t>
      </w:r>
      <w:r w:rsidRPr="00B16E6B">
        <w:rPr>
          <w:rFonts w:eastAsia="Times New Roman"/>
          <w:lang w:eastAsia="en-AU"/>
        </w:rPr>
        <w:t xml:space="preserve">’s objectives for intervention cannot be met, and industry and the Australian economy as a whole will not experience, to the full extent, the avoided costs outlined above. </w:t>
      </w:r>
    </w:p>
    <w:p w14:paraId="5F29235C" w14:textId="486A00A2" w:rsidR="009E6A26" w:rsidRPr="00B16E6B" w:rsidRDefault="009E6A26" w:rsidP="009613E1">
      <w:pPr>
        <w:pStyle w:val="Heading3"/>
        <w:spacing w:line="271" w:lineRule="auto"/>
        <w:rPr>
          <w:sz w:val="28"/>
        </w:rPr>
      </w:pPr>
      <w:bookmarkStart w:id="33" w:name="_Toc164683845"/>
      <w:r w:rsidRPr="00B16E6B">
        <w:t>6.</w:t>
      </w:r>
      <w:r w:rsidR="00DE3EF7" w:rsidRPr="00B16E6B">
        <w:t>1.1</w:t>
      </w:r>
      <w:r w:rsidRPr="00B16E6B">
        <w:t xml:space="preserve"> Implementation</w:t>
      </w:r>
      <w:bookmarkEnd w:id="33"/>
    </w:p>
    <w:p w14:paraId="483E7AEE" w14:textId="0BD17A6A" w:rsidR="009E6A26" w:rsidRPr="00B16E6B" w:rsidRDefault="009E6A26" w:rsidP="009613E1">
      <w:pPr>
        <w:spacing w:line="271" w:lineRule="auto"/>
        <w:rPr>
          <w:rFonts w:eastAsia="Times New Roman"/>
          <w:lang w:eastAsia="en-AU"/>
        </w:rPr>
      </w:pPr>
      <w:r w:rsidRPr="00B16E6B">
        <w:rPr>
          <w:rFonts w:eastAsia="Times New Roman"/>
          <w:lang w:eastAsia="en-AU"/>
        </w:rPr>
        <w:t>Although it offers the best</w:t>
      </w:r>
      <w:r w:rsidR="00406043" w:rsidRPr="00B16E6B">
        <w:rPr>
          <w:rFonts w:eastAsia="Times New Roman"/>
          <w:lang w:eastAsia="en-AU"/>
        </w:rPr>
        <w:t xml:space="preserve"> option from those considered, o</w:t>
      </w:r>
      <w:r w:rsidRPr="00B16E6B">
        <w:rPr>
          <w:rFonts w:eastAsia="Times New Roman"/>
          <w:lang w:eastAsia="en-AU"/>
        </w:rPr>
        <w:t>ption 4 is not without risk</w:t>
      </w:r>
      <w:r w:rsidR="00406043" w:rsidRPr="00B16E6B">
        <w:rPr>
          <w:rFonts w:eastAsia="Times New Roman"/>
          <w:lang w:eastAsia="en-AU"/>
        </w:rPr>
        <w:t>s. Effective implementation of o</w:t>
      </w:r>
      <w:r w:rsidRPr="00B16E6B">
        <w:rPr>
          <w:rFonts w:eastAsia="Times New Roman"/>
          <w:lang w:eastAsia="en-AU"/>
        </w:rPr>
        <w:t xml:space="preserve">ption 4 is essential for ensuring its benefits are realised in their entirety. </w:t>
      </w:r>
      <w:r w:rsidR="00460973" w:rsidRPr="00B16E6B">
        <w:rPr>
          <w:rFonts w:eastAsia="Times New Roman"/>
          <w:lang w:eastAsia="en-AU"/>
        </w:rPr>
        <w:t xml:space="preserve">The required implementation activities associated with option 4 are listed in </w:t>
      </w:r>
      <w:r w:rsidR="00E2411D" w:rsidRPr="00B16E6B">
        <w:rPr>
          <w:rFonts w:eastAsia="Times New Roman"/>
          <w:lang w:eastAsia="en-AU"/>
        </w:rPr>
        <w:t>table</w:t>
      </w:r>
      <w:r w:rsidR="00460973" w:rsidRPr="00B16E6B">
        <w:rPr>
          <w:rFonts w:eastAsia="Times New Roman"/>
          <w:lang w:eastAsia="en-AU"/>
        </w:rPr>
        <w:t xml:space="preserve"> 24 and t</w:t>
      </w:r>
      <w:r w:rsidR="00406043" w:rsidRPr="00B16E6B">
        <w:rPr>
          <w:rFonts w:eastAsia="Times New Roman"/>
          <w:lang w:eastAsia="en-AU"/>
        </w:rPr>
        <w:t>he risks</w:t>
      </w:r>
      <w:r w:rsidR="00460973" w:rsidRPr="00B16E6B">
        <w:rPr>
          <w:rFonts w:eastAsia="Times New Roman"/>
          <w:lang w:eastAsia="en-AU"/>
        </w:rPr>
        <w:t xml:space="preserve"> to implementation</w:t>
      </w:r>
      <w:r w:rsidR="00406043" w:rsidRPr="00B16E6B">
        <w:rPr>
          <w:rFonts w:eastAsia="Times New Roman"/>
          <w:lang w:eastAsia="en-AU"/>
        </w:rPr>
        <w:t xml:space="preserve"> </w:t>
      </w:r>
      <w:r w:rsidR="00460973" w:rsidRPr="00B16E6B">
        <w:rPr>
          <w:rFonts w:eastAsia="Times New Roman"/>
          <w:lang w:eastAsia="en-AU"/>
        </w:rPr>
        <w:t>and required management mitigations</w:t>
      </w:r>
      <w:r w:rsidRPr="00B16E6B">
        <w:rPr>
          <w:rFonts w:eastAsia="Times New Roman"/>
          <w:lang w:eastAsia="en-AU"/>
        </w:rPr>
        <w:t xml:space="preserve"> are discussed </w:t>
      </w:r>
      <w:r w:rsidR="00460973" w:rsidRPr="00B16E6B">
        <w:rPr>
          <w:rFonts w:eastAsia="Times New Roman"/>
          <w:lang w:eastAsia="en-AU"/>
        </w:rPr>
        <w:t>i</w:t>
      </w:r>
      <w:r w:rsidRPr="00B16E6B">
        <w:rPr>
          <w:rFonts w:eastAsia="Times New Roman"/>
          <w:lang w:eastAsia="en-AU"/>
        </w:rPr>
        <w:t xml:space="preserve">n </w:t>
      </w:r>
      <w:r w:rsidR="00460973" w:rsidRPr="00B16E6B">
        <w:rPr>
          <w:rFonts w:eastAsia="Times New Roman"/>
          <w:lang w:eastAsia="en-AU"/>
        </w:rPr>
        <w:t>table 27</w:t>
      </w:r>
      <w:r w:rsidR="00671AE3" w:rsidRPr="00B16E6B">
        <w:rPr>
          <w:rFonts w:eastAsia="Times New Roman"/>
          <w:lang w:eastAsia="en-AU"/>
        </w:rPr>
        <w:t>.</w:t>
      </w:r>
    </w:p>
    <w:p w14:paraId="1FFED5A1" w14:textId="601A1D8B" w:rsidR="009E6A26" w:rsidRPr="00B16E6B" w:rsidRDefault="009E6A26" w:rsidP="009613E1">
      <w:pPr>
        <w:pStyle w:val="Heading3"/>
        <w:spacing w:line="271" w:lineRule="auto"/>
      </w:pPr>
      <w:r w:rsidRPr="00B16E6B">
        <w:t>6.1.</w:t>
      </w:r>
      <w:r w:rsidR="00DE3EF7" w:rsidRPr="00B16E6B">
        <w:t>2</w:t>
      </w:r>
      <w:r w:rsidRPr="00B16E6B">
        <w:t xml:space="preserve"> Approach to implementation</w:t>
      </w:r>
    </w:p>
    <w:p w14:paraId="2D5BC148" w14:textId="76416996" w:rsidR="009E6A26" w:rsidRPr="00B16E6B" w:rsidRDefault="000D181B" w:rsidP="009613E1">
      <w:pPr>
        <w:spacing w:line="271" w:lineRule="auto"/>
        <w:rPr>
          <w:rFonts w:eastAsia="Times New Roman"/>
          <w:lang w:eastAsia="en-AU"/>
        </w:rPr>
      </w:pPr>
      <w:r w:rsidRPr="00B16E6B">
        <w:rPr>
          <w:rFonts w:eastAsia="Times New Roman"/>
          <w:lang w:eastAsia="en-AU"/>
        </w:rPr>
        <w:t>This section outlines the d</w:t>
      </w:r>
      <w:r w:rsidR="009E6A26" w:rsidRPr="00B16E6B">
        <w:rPr>
          <w:rFonts w:eastAsia="Times New Roman"/>
          <w:lang w:eastAsia="en-AU"/>
        </w:rPr>
        <w:t>epartment’s proposed implementation plan, including an outline of key implementation tasks, and the challenges or risk</w:t>
      </w:r>
      <w:r w:rsidR="00406043" w:rsidRPr="00B16E6B">
        <w:rPr>
          <w:rFonts w:eastAsia="Times New Roman"/>
          <w:lang w:eastAsia="en-AU"/>
        </w:rPr>
        <w:t>s associated with implementing o</w:t>
      </w:r>
      <w:r w:rsidR="009E6A26" w:rsidRPr="00B16E6B">
        <w:rPr>
          <w:rFonts w:eastAsia="Times New Roman"/>
          <w:lang w:eastAsia="en-AU"/>
        </w:rPr>
        <w:t xml:space="preserve">ption 4. </w:t>
      </w:r>
      <w:r w:rsidR="00997388" w:rsidRPr="00B16E6B">
        <w:rPr>
          <w:rFonts w:eastAsia="Times New Roman"/>
          <w:lang w:eastAsia="en-AU"/>
        </w:rPr>
        <w:t xml:space="preserve">In line with </w:t>
      </w:r>
      <w:r w:rsidR="003C3457" w:rsidRPr="00B16E6B">
        <w:rPr>
          <w:rFonts w:eastAsia="Times New Roman"/>
          <w:lang w:eastAsia="en-AU"/>
        </w:rPr>
        <w:t xml:space="preserve">the Government’s Policy Impact Analysis </w:t>
      </w:r>
      <w:r w:rsidR="00997388" w:rsidRPr="00B16E6B">
        <w:rPr>
          <w:rFonts w:eastAsia="Times New Roman"/>
          <w:lang w:eastAsia="en-AU"/>
        </w:rPr>
        <w:t>guidance, e</w:t>
      </w:r>
      <w:r w:rsidR="009E6A26" w:rsidRPr="00B16E6B">
        <w:rPr>
          <w:rFonts w:eastAsia="Times New Roman"/>
          <w:lang w:eastAsia="en-AU"/>
        </w:rPr>
        <w:t>valuation considerations, including an evaluation plan, are</w:t>
      </w:r>
      <w:r w:rsidR="005A381C" w:rsidRPr="00B16E6B">
        <w:rPr>
          <w:rFonts w:eastAsia="Times New Roman"/>
          <w:lang w:eastAsia="en-AU"/>
        </w:rPr>
        <w:t xml:space="preserve"> contained in section 7 below. </w:t>
      </w:r>
      <w:r w:rsidR="00487C6A" w:rsidRPr="00B16E6B">
        <w:rPr>
          <w:rFonts w:eastAsia="Times New Roman"/>
          <w:lang w:eastAsia="en-AU"/>
        </w:rPr>
        <w:t>Government</w:t>
      </w:r>
      <w:r w:rsidR="009E6A26" w:rsidRPr="00B16E6B">
        <w:rPr>
          <w:rFonts w:eastAsia="Times New Roman"/>
          <w:lang w:eastAsia="en-AU"/>
        </w:rPr>
        <w:t>’s objectives for i</w:t>
      </w:r>
      <w:r w:rsidR="00406043" w:rsidRPr="00B16E6B">
        <w:rPr>
          <w:rFonts w:eastAsia="Times New Roman"/>
          <w:lang w:eastAsia="en-AU"/>
        </w:rPr>
        <w:t>mplementation are to introduce o</w:t>
      </w:r>
      <w:r w:rsidR="009E6A26" w:rsidRPr="00B16E6B">
        <w:rPr>
          <w:rFonts w:eastAsia="Times New Roman"/>
          <w:lang w:eastAsia="en-AU"/>
        </w:rPr>
        <w:t xml:space="preserve">ption 4 in a manner which ensures affected industry stakeholders: </w:t>
      </w:r>
    </w:p>
    <w:p w14:paraId="3412AC3E" w14:textId="77777777" w:rsidR="009E6A26" w:rsidRPr="00B16E6B" w:rsidRDefault="009E6A26" w:rsidP="00A11AF5">
      <w:pPr>
        <w:pStyle w:val="ListParagraph"/>
        <w:numPr>
          <w:ilvl w:val="0"/>
          <w:numId w:val="42"/>
        </w:numPr>
        <w:spacing w:line="271" w:lineRule="auto"/>
        <w:contextualSpacing w:val="0"/>
        <w:rPr>
          <w:rFonts w:eastAsia="Times New Roman"/>
          <w:lang w:eastAsia="en-AU"/>
        </w:rPr>
      </w:pPr>
      <w:r w:rsidRPr="00B16E6B">
        <w:rPr>
          <w:rFonts w:eastAsia="Times New Roman"/>
          <w:lang w:eastAsia="en-AU"/>
        </w:rPr>
        <w:t xml:space="preserve">understand and comply with their new or additional obligations under new regulatory requirements under </w:t>
      </w:r>
      <w:r w:rsidR="003153CB" w:rsidRPr="00B16E6B">
        <w:rPr>
          <w:rFonts w:eastAsia="Times New Roman"/>
          <w:lang w:eastAsia="en-AU"/>
        </w:rPr>
        <w:t>o</w:t>
      </w:r>
      <w:r w:rsidRPr="00B16E6B">
        <w:rPr>
          <w:rFonts w:eastAsia="Times New Roman"/>
          <w:lang w:eastAsia="en-AU"/>
        </w:rPr>
        <w:t>ption 4</w:t>
      </w:r>
    </w:p>
    <w:p w14:paraId="4B668C22" w14:textId="326AC532" w:rsidR="009E6A26" w:rsidRPr="00B16E6B" w:rsidRDefault="009E6A26" w:rsidP="00A11AF5">
      <w:pPr>
        <w:pStyle w:val="ListParagraph"/>
        <w:numPr>
          <w:ilvl w:val="0"/>
          <w:numId w:val="42"/>
        </w:numPr>
        <w:spacing w:line="271" w:lineRule="auto"/>
        <w:contextualSpacing w:val="0"/>
        <w:rPr>
          <w:rFonts w:eastAsia="Times New Roman"/>
          <w:lang w:eastAsia="en-AU"/>
        </w:rPr>
      </w:pPr>
      <w:r w:rsidRPr="00B16E6B">
        <w:rPr>
          <w:rFonts w:eastAsia="Times New Roman"/>
          <w:lang w:eastAsia="en-AU"/>
        </w:rPr>
        <w:t xml:space="preserve">continue to engage with </w:t>
      </w:r>
      <w:r w:rsidR="00487C6A" w:rsidRPr="00B16E6B">
        <w:rPr>
          <w:rFonts w:eastAsia="Times New Roman"/>
          <w:lang w:eastAsia="en-AU"/>
        </w:rPr>
        <w:t>government</w:t>
      </w:r>
      <w:r w:rsidRPr="00B16E6B">
        <w:rPr>
          <w:rFonts w:eastAsia="Times New Roman"/>
          <w:lang w:eastAsia="en-AU"/>
        </w:rPr>
        <w:t xml:space="preserve"> to identify, understand and mitigate risks which exist in the sector, and collaborate to drive the implementation of strong security standards and </w:t>
      </w:r>
      <w:r w:rsidR="0016512F" w:rsidRPr="00B16E6B">
        <w:rPr>
          <w:rFonts w:eastAsia="Times New Roman"/>
          <w:lang w:eastAsia="en-AU"/>
        </w:rPr>
        <w:t>expedient post-incident responses</w:t>
      </w:r>
      <w:r w:rsidRPr="00B16E6B">
        <w:rPr>
          <w:rFonts w:eastAsia="Times New Roman"/>
          <w:lang w:eastAsia="en-AU"/>
        </w:rPr>
        <w:t xml:space="preserve"> </w:t>
      </w:r>
    </w:p>
    <w:p w14:paraId="381AC460" w14:textId="77777777" w:rsidR="009E6A26" w:rsidRPr="00B16E6B" w:rsidRDefault="009E6A26" w:rsidP="00A11AF5">
      <w:pPr>
        <w:pStyle w:val="ListParagraph"/>
        <w:numPr>
          <w:ilvl w:val="0"/>
          <w:numId w:val="42"/>
        </w:numPr>
        <w:spacing w:line="271" w:lineRule="auto"/>
        <w:contextualSpacing w:val="0"/>
        <w:rPr>
          <w:rFonts w:eastAsia="Times New Roman"/>
          <w:lang w:eastAsia="en-AU"/>
        </w:rPr>
      </w:pPr>
      <w:r w:rsidRPr="00B16E6B">
        <w:rPr>
          <w:rFonts w:eastAsia="Times New Roman"/>
          <w:lang w:eastAsia="en-AU"/>
        </w:rPr>
        <w:t xml:space="preserve">receive appropriate and consistent direction, assistance, and guidance from </w:t>
      </w:r>
      <w:r w:rsidR="00487C6A" w:rsidRPr="00B16E6B">
        <w:rPr>
          <w:rFonts w:eastAsia="Times New Roman"/>
          <w:lang w:eastAsia="en-AU"/>
        </w:rPr>
        <w:t>government</w:t>
      </w:r>
      <w:r w:rsidRPr="00B16E6B">
        <w:rPr>
          <w:rFonts w:eastAsia="Times New Roman"/>
          <w:lang w:eastAsia="en-AU"/>
        </w:rPr>
        <w:t>, to allow for compliance with new and expanded obligations.</w:t>
      </w:r>
    </w:p>
    <w:p w14:paraId="75EC7069" w14:textId="77777777" w:rsidR="009E6A26" w:rsidRPr="00B16E6B" w:rsidRDefault="009E6A26" w:rsidP="009613E1">
      <w:pPr>
        <w:pStyle w:val="Heading4"/>
        <w:spacing w:line="271" w:lineRule="auto"/>
      </w:pPr>
      <w:r w:rsidRPr="00B16E6B">
        <w:lastRenderedPageBreak/>
        <w:t>Implementation plan</w:t>
      </w:r>
    </w:p>
    <w:p w14:paraId="0AA16EAC" w14:textId="402DDCAC" w:rsidR="009E6A26" w:rsidRDefault="009E6A26" w:rsidP="009613E1">
      <w:pPr>
        <w:spacing w:line="271" w:lineRule="auto"/>
        <w:rPr>
          <w:rFonts w:eastAsia="Times New Roman"/>
          <w:lang w:eastAsia="en-AU"/>
        </w:rPr>
      </w:pPr>
      <w:r w:rsidRPr="00B16E6B">
        <w:rPr>
          <w:rFonts w:eastAsia="Times New Roman"/>
          <w:lang w:eastAsia="en-AU"/>
        </w:rPr>
        <w:t xml:space="preserve">Effective implementation requires the completion of several key steps, identified below in Figure </w:t>
      </w:r>
      <w:r w:rsidR="00E064DD" w:rsidRPr="00B16E6B">
        <w:rPr>
          <w:rFonts w:eastAsia="Times New Roman"/>
          <w:lang w:eastAsia="en-AU"/>
        </w:rPr>
        <w:t>3</w:t>
      </w:r>
      <w:r w:rsidRPr="00B16E6B">
        <w:rPr>
          <w:rFonts w:eastAsia="Times New Roman"/>
          <w:lang w:eastAsia="en-AU"/>
        </w:rPr>
        <w:t xml:space="preserve">. Additional detail on these activities is set out </w:t>
      </w:r>
      <w:r w:rsidR="00E2411D" w:rsidRPr="00B16E6B">
        <w:rPr>
          <w:rFonts w:eastAsia="Times New Roman"/>
          <w:lang w:eastAsia="en-AU"/>
        </w:rPr>
        <w:t>table</w:t>
      </w:r>
      <w:r w:rsidRPr="00B16E6B">
        <w:rPr>
          <w:rFonts w:eastAsia="Times New Roman"/>
          <w:lang w:eastAsia="en-AU"/>
        </w:rPr>
        <w:t xml:space="preserve"> </w:t>
      </w:r>
      <w:r w:rsidR="00A027FB" w:rsidRPr="00B16E6B">
        <w:rPr>
          <w:rFonts w:eastAsia="Times New Roman"/>
          <w:lang w:eastAsia="en-AU"/>
        </w:rPr>
        <w:t>24</w:t>
      </w:r>
      <w:r w:rsidRPr="00B16E6B">
        <w:rPr>
          <w:rFonts w:eastAsia="Times New Roman"/>
          <w:lang w:eastAsia="en-AU"/>
        </w:rPr>
        <w:t xml:space="preserve">. </w:t>
      </w:r>
    </w:p>
    <w:p w14:paraId="265379C7" w14:textId="50C44E78" w:rsidR="002C07AF" w:rsidRPr="002C07AF" w:rsidRDefault="002C07AF" w:rsidP="002C07AF">
      <w:pPr>
        <w:spacing w:after="60" w:line="271" w:lineRule="auto"/>
        <w:rPr>
          <w:rFonts w:ascii="Arial" w:eastAsia="Times New Roman" w:hAnsi="Arial" w:cs="Arial"/>
          <w:b/>
          <w:bCs/>
          <w:i/>
          <w:iCs/>
          <w:color w:val="44546A"/>
          <w:sz w:val="18"/>
          <w:szCs w:val="18"/>
          <w:lang w:eastAsia="en-AU"/>
        </w:rPr>
      </w:pPr>
      <w:r w:rsidRPr="002C07AF">
        <w:rPr>
          <w:rFonts w:ascii="Arial" w:eastAsia="Times New Roman" w:hAnsi="Arial" w:cs="Arial"/>
          <w:b/>
          <w:bCs/>
          <w:i/>
          <w:iCs/>
          <w:color w:val="44546A"/>
          <w:sz w:val="18"/>
          <w:szCs w:val="18"/>
          <w:lang w:eastAsia="en-AU"/>
        </w:rPr>
        <w:t>Figure 3: Overview of implementation plan</w:t>
      </w:r>
    </w:p>
    <w:p w14:paraId="6E1F8024" w14:textId="1BCBF709" w:rsidR="009E6A26" w:rsidRPr="00B16E6B" w:rsidRDefault="005A381C" w:rsidP="009613E1">
      <w:pPr>
        <w:spacing w:line="271" w:lineRule="auto"/>
        <w:rPr>
          <w:rFonts w:ascii="Arial" w:hAnsi="Arial" w:cs="Arial"/>
          <w:b/>
          <w:bCs/>
          <w:i/>
          <w:iCs/>
          <w:color w:val="004261" w:themeColor="text2"/>
          <w:sz w:val="16"/>
          <w:szCs w:val="18"/>
        </w:rPr>
      </w:pPr>
      <w:r w:rsidRPr="00B16E6B">
        <w:rPr>
          <w:rFonts w:eastAsia="Times New Roman"/>
          <w:noProof/>
          <w:lang w:eastAsia="en-AU"/>
        </w:rPr>
        <w:drawing>
          <wp:inline distT="0" distB="0" distL="0" distR="0" wp14:anchorId="66398112" wp14:editId="7AD0E4D1">
            <wp:extent cx="6252210" cy="1807210"/>
            <wp:effectExtent l="0" t="0" r="0" b="40640"/>
            <wp:docPr id="27" name="Diagram 27" descr="Overview of implementation plan:&#10;Stage 1: Consideration and passage of amendments captured under option 4.&#10;Stage 2: Development of supporting regulations.&#10;Stage 3: Transition period, supported by guidance.&#10;Stage 4: New obligations become enforceable (12 months following regulatory passage). &#10;Stage 5: Post-implementation review.">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9E6A26" w:rsidRPr="00B16E6B">
        <w:rPr>
          <w:rFonts w:ascii="Arial" w:hAnsi="Arial" w:cs="Arial"/>
          <w:b/>
          <w:bCs/>
          <w:sz w:val="16"/>
        </w:rPr>
        <w:br w:type="page"/>
      </w:r>
      <w:bookmarkStart w:id="34" w:name="_Ref163737185"/>
    </w:p>
    <w:p w14:paraId="4983E61B" w14:textId="403239F6" w:rsidR="009E6A26" w:rsidRPr="00B16E6B" w:rsidRDefault="009E6A26" w:rsidP="009613E1">
      <w:pPr>
        <w:pStyle w:val="Caption"/>
        <w:spacing w:after="60" w:line="271" w:lineRule="auto"/>
        <w:rPr>
          <w:rFonts w:ascii="Arial" w:eastAsia="Times New Roman" w:hAnsi="Arial" w:cs="Arial"/>
          <w:b w:val="0"/>
          <w:i/>
          <w:iCs/>
          <w:smallCaps w:val="0"/>
          <w:color w:val="44546A"/>
          <w:sz w:val="18"/>
          <w:szCs w:val="18"/>
          <w:lang w:eastAsia="en-AU"/>
        </w:rPr>
      </w:pPr>
      <w:r w:rsidRPr="00B16E6B">
        <w:rPr>
          <w:rFonts w:ascii="Arial" w:eastAsia="Times New Roman" w:hAnsi="Arial" w:cs="Arial"/>
          <w:i/>
          <w:iCs/>
          <w:smallCaps w:val="0"/>
          <w:color w:val="44546A"/>
          <w:sz w:val="18"/>
          <w:szCs w:val="18"/>
          <w:lang w:eastAsia="en-AU"/>
        </w:rPr>
        <w:lastRenderedPageBreak/>
        <w:t xml:space="preserve">Table </w:t>
      </w:r>
      <w:bookmarkEnd w:id="34"/>
      <w:r w:rsidR="00A027FB" w:rsidRPr="00B16E6B">
        <w:rPr>
          <w:rFonts w:ascii="Arial" w:eastAsia="Times New Roman" w:hAnsi="Arial" w:cs="Arial"/>
          <w:i/>
          <w:iCs/>
          <w:smallCaps w:val="0"/>
          <w:color w:val="44546A"/>
          <w:sz w:val="18"/>
          <w:szCs w:val="18"/>
          <w:lang w:eastAsia="en-AU"/>
        </w:rPr>
        <w:t>24</w:t>
      </w:r>
      <w:r w:rsidR="00FD673D" w:rsidRPr="00B16E6B">
        <w:rPr>
          <w:rFonts w:ascii="Arial" w:eastAsia="Times New Roman" w:hAnsi="Arial" w:cs="Arial"/>
          <w:i/>
          <w:iCs/>
          <w:smallCaps w:val="0"/>
          <w:color w:val="44546A"/>
          <w:sz w:val="18"/>
          <w:szCs w:val="18"/>
          <w:lang w:eastAsia="en-AU"/>
        </w:rPr>
        <w:t>:</w:t>
      </w:r>
      <w:r w:rsidRPr="00B16E6B">
        <w:rPr>
          <w:rFonts w:ascii="Arial" w:eastAsia="Times New Roman" w:hAnsi="Arial" w:cs="Arial"/>
          <w:b w:val="0"/>
          <w:i/>
          <w:iCs/>
          <w:smallCaps w:val="0"/>
          <w:color w:val="44546A"/>
          <w:sz w:val="18"/>
          <w:szCs w:val="18"/>
          <w:lang w:eastAsia="en-AU"/>
        </w:rPr>
        <w:t xml:space="preserve"> Detail on implementation activities </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8079"/>
      </w:tblGrid>
      <w:tr w:rsidR="009E6A26" w:rsidRPr="00B16E6B" w14:paraId="2C0D3C05" w14:textId="77777777" w:rsidTr="00636E0E">
        <w:trPr>
          <w:trHeight w:val="300"/>
          <w:tblHeader/>
        </w:trPr>
        <w:tc>
          <w:tcPr>
            <w:tcW w:w="993" w:type="dxa"/>
            <w:tcBorders>
              <w:top w:val="nil"/>
              <w:left w:val="nil"/>
              <w:bottom w:val="single" w:sz="6" w:space="0" w:color="D9D9D9" w:themeColor="background1" w:themeShade="D9"/>
              <w:right w:val="single" w:sz="6" w:space="0" w:color="D9D9D9" w:themeColor="background1" w:themeShade="D9"/>
            </w:tcBorders>
            <w:shd w:val="clear" w:color="auto" w:fill="1C2B39" w:themeFill="accent1"/>
            <w:vAlign w:val="center"/>
            <w:hideMark/>
          </w:tcPr>
          <w:p w14:paraId="641F6B8E" w14:textId="77777777" w:rsidR="009E6A26" w:rsidRPr="00B16E6B" w:rsidRDefault="009E6A26" w:rsidP="009613E1">
            <w:pPr>
              <w:spacing w:before="120" w:after="120" w:line="271" w:lineRule="auto"/>
              <w:jc w:val="center"/>
              <w:rPr>
                <w:rFonts w:cs="Arial"/>
                <w:b/>
                <w:bCs/>
                <w:szCs w:val="20"/>
                <w:lang w:eastAsia="en-AU"/>
              </w:rPr>
            </w:pPr>
            <w:r w:rsidRPr="00B16E6B">
              <w:rPr>
                <w:rFonts w:cs="Arial"/>
                <w:b/>
                <w:bCs/>
                <w:szCs w:val="20"/>
                <w:lang w:eastAsia="en-AU"/>
              </w:rPr>
              <w:t>Stage</w:t>
            </w:r>
          </w:p>
        </w:tc>
        <w:tc>
          <w:tcPr>
            <w:tcW w:w="8079" w:type="dxa"/>
            <w:tcBorders>
              <w:top w:val="nil"/>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1C2B39" w:themeFill="accent1"/>
            <w:vAlign w:val="center"/>
            <w:hideMark/>
          </w:tcPr>
          <w:p w14:paraId="246E06F2" w14:textId="77777777" w:rsidR="009E6A26" w:rsidRPr="00B16E6B" w:rsidRDefault="009E6A26" w:rsidP="009613E1">
            <w:pPr>
              <w:spacing w:before="120" w:after="120" w:line="271" w:lineRule="auto"/>
              <w:jc w:val="center"/>
              <w:rPr>
                <w:rFonts w:cs="Arial"/>
                <w:b/>
                <w:bCs/>
                <w:szCs w:val="20"/>
                <w:lang w:eastAsia="en-AU"/>
              </w:rPr>
            </w:pPr>
            <w:r w:rsidRPr="00B16E6B">
              <w:rPr>
                <w:rFonts w:cs="Arial"/>
                <w:b/>
                <w:bCs/>
                <w:szCs w:val="20"/>
                <w:lang w:eastAsia="en-AU"/>
              </w:rPr>
              <w:t>Activities</w:t>
            </w:r>
          </w:p>
        </w:tc>
      </w:tr>
      <w:tr w:rsidR="009E6A26" w:rsidRPr="00B16E6B" w14:paraId="1336BF69" w14:textId="77777777" w:rsidTr="009E6A26">
        <w:trPr>
          <w:trHeight w:val="300"/>
        </w:trPr>
        <w:tc>
          <w:tcPr>
            <w:tcW w:w="993"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F2F2F2" w:themeFill="background1" w:themeFillShade="F2"/>
            <w:vAlign w:val="center"/>
            <w:hideMark/>
          </w:tcPr>
          <w:p w14:paraId="12C457F2" w14:textId="77777777" w:rsidR="009E6A26" w:rsidRPr="00B16E6B" w:rsidRDefault="009E6A26" w:rsidP="009613E1">
            <w:pPr>
              <w:spacing w:after="0" w:line="271" w:lineRule="auto"/>
              <w:rPr>
                <w:rFonts w:cs="Arial"/>
                <w:bCs/>
                <w:szCs w:val="24"/>
                <w:lang w:eastAsia="en-AU"/>
              </w:rPr>
            </w:pPr>
            <w:r w:rsidRPr="00B16E6B">
              <w:rPr>
                <w:rFonts w:cs="Arial"/>
                <w:bCs/>
                <w:szCs w:val="24"/>
                <w:lang w:eastAsia="en-AU"/>
              </w:rPr>
              <w:t>Stage 1</w:t>
            </w:r>
          </w:p>
        </w:tc>
        <w:tc>
          <w:tcPr>
            <w:tcW w:w="807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hideMark/>
          </w:tcPr>
          <w:p w14:paraId="34AE3712" w14:textId="7EC7F751" w:rsidR="002E60E2" w:rsidRPr="00B16E6B" w:rsidRDefault="002E60E2" w:rsidP="00A11AF5">
            <w:pPr>
              <w:pStyle w:val="ListParagraph"/>
              <w:numPr>
                <w:ilvl w:val="0"/>
                <w:numId w:val="35"/>
              </w:numPr>
              <w:spacing w:after="0" w:line="271" w:lineRule="auto"/>
              <w:rPr>
                <w:rFonts w:eastAsia="Times New Roman" w:cs="Arial"/>
                <w:szCs w:val="20"/>
                <w:lang w:eastAsia="en-AU"/>
              </w:rPr>
            </w:pPr>
            <w:r w:rsidRPr="00B16E6B">
              <w:rPr>
                <w:rFonts w:eastAsia="Times New Roman" w:cs="Arial"/>
                <w:szCs w:val="20"/>
                <w:lang w:eastAsia="en-AU"/>
              </w:rPr>
              <w:t>Consideration and passage of legislative amendments captured under option 4</w:t>
            </w:r>
          </w:p>
          <w:p w14:paraId="5D17B3CA" w14:textId="0DFD55DE" w:rsidR="00993F78" w:rsidRPr="00B16E6B" w:rsidRDefault="002E60E2" w:rsidP="00A11AF5">
            <w:pPr>
              <w:pStyle w:val="ListParagraph"/>
              <w:numPr>
                <w:ilvl w:val="0"/>
                <w:numId w:val="35"/>
              </w:numPr>
              <w:spacing w:after="0" w:line="271" w:lineRule="auto"/>
              <w:rPr>
                <w:rFonts w:eastAsia="Times New Roman" w:cs="Arial"/>
                <w:szCs w:val="20"/>
                <w:lang w:eastAsia="en-AU"/>
              </w:rPr>
            </w:pPr>
            <w:r w:rsidRPr="00B16E6B">
              <w:rPr>
                <w:rFonts w:eastAsia="Times New Roman" w:cs="Arial"/>
                <w:szCs w:val="20"/>
                <w:lang w:eastAsia="en-AU"/>
              </w:rPr>
              <w:t>Circulation of guidance material for industry on compliance obligations</w:t>
            </w:r>
            <w:r w:rsidR="00993F78" w:rsidRPr="00B16E6B">
              <w:rPr>
                <w:rFonts w:eastAsia="Times New Roman" w:cs="Arial"/>
                <w:szCs w:val="20"/>
                <w:lang w:eastAsia="en-AU"/>
              </w:rPr>
              <w:t xml:space="preserve">, which may include: </w:t>
            </w:r>
          </w:p>
          <w:p w14:paraId="715922C6" w14:textId="77777777" w:rsidR="00993F78" w:rsidRPr="00B16E6B" w:rsidRDefault="00993F78" w:rsidP="00A11AF5">
            <w:pPr>
              <w:pStyle w:val="ListParagraph"/>
              <w:numPr>
                <w:ilvl w:val="0"/>
                <w:numId w:val="36"/>
              </w:numPr>
              <w:spacing w:after="0" w:line="271" w:lineRule="auto"/>
              <w:rPr>
                <w:rFonts w:eastAsia="Times New Roman" w:cs="Arial"/>
                <w:szCs w:val="20"/>
                <w:lang w:eastAsia="en-AU"/>
              </w:rPr>
            </w:pPr>
            <w:r w:rsidRPr="00B16E6B">
              <w:rPr>
                <w:rFonts w:eastAsia="Times New Roman" w:cs="Arial"/>
                <w:szCs w:val="20"/>
                <w:lang w:eastAsia="en-AU"/>
              </w:rPr>
              <w:t>case studies</w:t>
            </w:r>
          </w:p>
          <w:p w14:paraId="0397F055" w14:textId="77777777" w:rsidR="00993F78" w:rsidRPr="00B16E6B" w:rsidRDefault="00993F78" w:rsidP="00A11AF5">
            <w:pPr>
              <w:pStyle w:val="ListParagraph"/>
              <w:numPr>
                <w:ilvl w:val="0"/>
                <w:numId w:val="36"/>
              </w:numPr>
              <w:spacing w:after="0" w:line="271" w:lineRule="auto"/>
              <w:rPr>
                <w:rFonts w:eastAsia="Times New Roman" w:cs="Arial"/>
                <w:szCs w:val="20"/>
                <w:lang w:eastAsia="en-AU"/>
              </w:rPr>
            </w:pPr>
            <w:r w:rsidRPr="00B16E6B">
              <w:rPr>
                <w:rFonts w:eastAsia="Times New Roman" w:cs="Arial"/>
                <w:szCs w:val="20"/>
                <w:lang w:eastAsia="en-AU"/>
              </w:rPr>
              <w:t>frequently asked questions</w:t>
            </w:r>
          </w:p>
          <w:p w14:paraId="76EB9DA7" w14:textId="77777777" w:rsidR="00993F78" w:rsidRPr="00B16E6B" w:rsidRDefault="00993F78" w:rsidP="00A11AF5">
            <w:pPr>
              <w:pStyle w:val="ListParagraph"/>
              <w:numPr>
                <w:ilvl w:val="0"/>
                <w:numId w:val="36"/>
              </w:numPr>
              <w:spacing w:after="0" w:line="271" w:lineRule="auto"/>
              <w:rPr>
                <w:rFonts w:eastAsia="Times New Roman" w:cs="Arial"/>
                <w:szCs w:val="20"/>
                <w:lang w:eastAsia="en-AU"/>
              </w:rPr>
            </w:pPr>
            <w:r w:rsidRPr="00B16E6B">
              <w:rPr>
                <w:rFonts w:eastAsia="Times New Roman" w:cs="Arial"/>
                <w:szCs w:val="20"/>
                <w:lang w:eastAsia="en-AU"/>
              </w:rPr>
              <w:t xml:space="preserve">guidance and engagement through relevant industry forums </w:t>
            </w:r>
          </w:p>
          <w:p w14:paraId="480C1963" w14:textId="77777777" w:rsidR="009E6A26" w:rsidRPr="00B16E6B" w:rsidRDefault="00993F78" w:rsidP="00A11AF5">
            <w:pPr>
              <w:pStyle w:val="ListParagraph"/>
              <w:numPr>
                <w:ilvl w:val="0"/>
                <w:numId w:val="36"/>
              </w:numPr>
              <w:spacing w:after="0" w:line="271" w:lineRule="auto"/>
              <w:rPr>
                <w:rFonts w:eastAsia="Times New Roman" w:cs="Arial"/>
                <w:szCs w:val="20"/>
                <w:lang w:eastAsia="en-AU"/>
              </w:rPr>
            </w:pPr>
            <w:r w:rsidRPr="00B16E6B">
              <w:rPr>
                <w:rFonts w:eastAsia="Times New Roman" w:cs="Arial"/>
                <w:szCs w:val="20"/>
                <w:lang w:eastAsia="en-AU"/>
              </w:rPr>
              <w:t xml:space="preserve">insights into best practice and </w:t>
            </w:r>
            <w:r w:rsidR="00487C6A" w:rsidRPr="00B16E6B">
              <w:rPr>
                <w:rFonts w:eastAsia="Times New Roman" w:cs="Arial"/>
                <w:szCs w:val="20"/>
                <w:lang w:eastAsia="en-AU"/>
              </w:rPr>
              <w:t>government</w:t>
            </w:r>
            <w:r w:rsidRPr="00B16E6B">
              <w:rPr>
                <w:rFonts w:eastAsia="Times New Roman" w:cs="Arial"/>
                <w:szCs w:val="20"/>
                <w:lang w:eastAsia="en-AU"/>
              </w:rPr>
              <w:t>’s expectations</w:t>
            </w:r>
          </w:p>
        </w:tc>
      </w:tr>
      <w:tr w:rsidR="009E6A26" w:rsidRPr="00B16E6B" w14:paraId="4CBD4A4F" w14:textId="77777777" w:rsidTr="009E6A26">
        <w:trPr>
          <w:trHeight w:val="300"/>
        </w:trPr>
        <w:tc>
          <w:tcPr>
            <w:tcW w:w="993"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F2F2F2" w:themeFill="background1" w:themeFillShade="F2"/>
            <w:vAlign w:val="center"/>
            <w:hideMark/>
          </w:tcPr>
          <w:p w14:paraId="3659EDD2" w14:textId="77777777" w:rsidR="009E6A26" w:rsidRPr="00B16E6B" w:rsidRDefault="009E6A26" w:rsidP="009613E1">
            <w:pPr>
              <w:spacing w:after="0" w:line="271" w:lineRule="auto"/>
              <w:rPr>
                <w:rFonts w:cs="Arial"/>
                <w:bCs/>
                <w:szCs w:val="24"/>
                <w:lang w:eastAsia="en-AU"/>
              </w:rPr>
            </w:pPr>
            <w:r w:rsidRPr="00B16E6B">
              <w:rPr>
                <w:rFonts w:cs="Arial"/>
                <w:bCs/>
                <w:szCs w:val="24"/>
                <w:lang w:eastAsia="en-AU"/>
              </w:rPr>
              <w:t>Stage 2</w:t>
            </w:r>
          </w:p>
        </w:tc>
        <w:tc>
          <w:tcPr>
            <w:tcW w:w="807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hideMark/>
          </w:tcPr>
          <w:p w14:paraId="70537506" w14:textId="77777777" w:rsidR="009E6A26" w:rsidRPr="00B16E6B" w:rsidRDefault="00993F78" w:rsidP="00A11AF5">
            <w:pPr>
              <w:pStyle w:val="ListParagraph"/>
              <w:numPr>
                <w:ilvl w:val="0"/>
                <w:numId w:val="35"/>
              </w:numPr>
              <w:spacing w:after="0" w:line="271" w:lineRule="auto"/>
              <w:rPr>
                <w:rFonts w:eastAsia="Times New Roman"/>
                <w:lang w:eastAsia="en-AU"/>
              </w:rPr>
            </w:pPr>
            <w:r w:rsidRPr="00B16E6B">
              <w:rPr>
                <w:rFonts w:eastAsia="Times New Roman" w:cs="Arial"/>
                <w:szCs w:val="20"/>
                <w:lang w:eastAsia="en-AU"/>
              </w:rPr>
              <w:t>Development and passage of supporting regulations, including an addition</w:t>
            </w:r>
            <w:r w:rsidR="00795BAD" w:rsidRPr="00B16E6B">
              <w:rPr>
                <w:rFonts w:eastAsia="Times New Roman" w:cs="Arial"/>
                <w:szCs w:val="20"/>
                <w:lang w:eastAsia="en-AU"/>
              </w:rPr>
              <w:t>al</w:t>
            </w:r>
            <w:r w:rsidRPr="00B16E6B">
              <w:rPr>
                <w:rFonts w:eastAsia="Times New Roman" w:cs="Arial"/>
                <w:szCs w:val="20"/>
                <w:lang w:eastAsia="en-AU"/>
              </w:rPr>
              <w:t xml:space="preserve"> consultation period</w:t>
            </w:r>
          </w:p>
        </w:tc>
      </w:tr>
      <w:tr w:rsidR="009E6A26" w:rsidRPr="00B16E6B" w14:paraId="72E01266" w14:textId="77777777" w:rsidTr="009E6A26">
        <w:trPr>
          <w:trHeight w:val="300"/>
        </w:trPr>
        <w:tc>
          <w:tcPr>
            <w:tcW w:w="993"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F2F2F2" w:themeFill="background1" w:themeFillShade="F2"/>
            <w:vAlign w:val="center"/>
            <w:hideMark/>
          </w:tcPr>
          <w:p w14:paraId="14D89E88" w14:textId="77777777" w:rsidR="009E6A26" w:rsidRPr="00B16E6B" w:rsidRDefault="009E6A26" w:rsidP="009613E1">
            <w:pPr>
              <w:spacing w:after="0" w:line="271" w:lineRule="auto"/>
              <w:rPr>
                <w:rFonts w:cs="Arial"/>
                <w:bCs/>
                <w:szCs w:val="24"/>
                <w:lang w:eastAsia="en-AU"/>
              </w:rPr>
            </w:pPr>
            <w:r w:rsidRPr="00B16E6B">
              <w:rPr>
                <w:rFonts w:cs="Arial"/>
                <w:bCs/>
                <w:szCs w:val="24"/>
                <w:lang w:eastAsia="en-AU"/>
              </w:rPr>
              <w:t>Stage 3</w:t>
            </w:r>
          </w:p>
        </w:tc>
        <w:tc>
          <w:tcPr>
            <w:tcW w:w="807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hideMark/>
          </w:tcPr>
          <w:p w14:paraId="5546751D" w14:textId="77777777" w:rsidR="009E6A26" w:rsidRPr="00B16E6B" w:rsidRDefault="009E6A26" w:rsidP="00A11AF5">
            <w:pPr>
              <w:pStyle w:val="ListParagraph"/>
              <w:numPr>
                <w:ilvl w:val="0"/>
                <w:numId w:val="35"/>
              </w:numPr>
              <w:spacing w:after="0" w:line="271" w:lineRule="auto"/>
              <w:rPr>
                <w:rFonts w:eastAsia="Times New Roman" w:cs="Arial"/>
                <w:szCs w:val="20"/>
                <w:lang w:eastAsia="en-AU"/>
              </w:rPr>
            </w:pPr>
            <w:r w:rsidRPr="00B16E6B">
              <w:rPr>
                <w:rFonts w:eastAsia="Times New Roman" w:cs="Arial"/>
                <w:szCs w:val="20"/>
                <w:lang w:eastAsia="en-AU"/>
              </w:rPr>
              <w:t>Commencement of transition period where industry commence undertaking activities to become compliant with the new r</w:t>
            </w:r>
            <w:r w:rsidR="00381947" w:rsidRPr="00B16E6B">
              <w:rPr>
                <w:rFonts w:eastAsia="Times New Roman" w:cs="Arial"/>
                <w:szCs w:val="20"/>
                <w:lang w:eastAsia="en-AU"/>
              </w:rPr>
              <w:t>egulatory requirements, f</w:t>
            </w:r>
            <w:r w:rsidRPr="00B16E6B">
              <w:rPr>
                <w:rFonts w:eastAsia="Times New Roman" w:cs="Arial"/>
                <w:szCs w:val="20"/>
                <w:lang w:eastAsia="en-AU"/>
              </w:rPr>
              <w:t>or example, completing an all hazards risk assessment or reporting cyber security incidents</w:t>
            </w:r>
          </w:p>
          <w:p w14:paraId="0B07ABBC" w14:textId="77777777" w:rsidR="009E6A26" w:rsidRPr="00B16E6B" w:rsidRDefault="009E6A26" w:rsidP="00A11AF5">
            <w:pPr>
              <w:pStyle w:val="ListParagraph"/>
              <w:numPr>
                <w:ilvl w:val="0"/>
                <w:numId w:val="35"/>
              </w:numPr>
              <w:spacing w:line="271" w:lineRule="auto"/>
              <w:rPr>
                <w:rFonts w:eastAsia="Times New Roman" w:cs="Arial"/>
                <w:szCs w:val="20"/>
                <w:lang w:eastAsia="en-AU"/>
              </w:rPr>
            </w:pPr>
            <w:r w:rsidRPr="00B16E6B">
              <w:rPr>
                <w:rFonts w:eastAsia="Times New Roman" w:cs="Arial"/>
                <w:szCs w:val="20"/>
                <w:lang w:eastAsia="en-AU"/>
              </w:rPr>
              <w:t>Education and engagement</w:t>
            </w:r>
            <w:r w:rsidR="00993F78" w:rsidRPr="00B16E6B">
              <w:rPr>
                <w:rFonts w:eastAsia="Times New Roman" w:cs="Arial"/>
                <w:szCs w:val="20"/>
                <w:lang w:eastAsia="en-AU"/>
              </w:rPr>
              <w:t>, including implementation of formal and informal regular feedback mechanisms, including through the TISN and open communication with the department</w:t>
            </w:r>
          </w:p>
          <w:p w14:paraId="405408BD" w14:textId="77777777" w:rsidR="009E6A26" w:rsidRPr="00B16E6B" w:rsidRDefault="009E6A26" w:rsidP="00A11AF5">
            <w:pPr>
              <w:pStyle w:val="ListParagraph"/>
              <w:numPr>
                <w:ilvl w:val="0"/>
                <w:numId w:val="35"/>
              </w:numPr>
              <w:spacing w:after="0" w:line="271" w:lineRule="auto"/>
              <w:rPr>
                <w:rFonts w:eastAsia="Times New Roman" w:cs="Arial"/>
                <w:szCs w:val="20"/>
                <w:lang w:eastAsia="en-AU"/>
              </w:rPr>
            </w:pPr>
            <w:r w:rsidRPr="00B16E6B">
              <w:rPr>
                <w:rFonts w:eastAsia="Times New Roman" w:cs="Arial"/>
                <w:szCs w:val="20"/>
                <w:lang w:eastAsia="en-AU"/>
              </w:rPr>
              <w:t>Preparation of policies and procedures for compliance activities</w:t>
            </w:r>
          </w:p>
        </w:tc>
      </w:tr>
      <w:tr w:rsidR="009E6A26" w:rsidRPr="00B16E6B" w14:paraId="2DBE9C2A" w14:textId="77777777" w:rsidTr="009E6A26">
        <w:trPr>
          <w:trHeight w:val="300"/>
        </w:trPr>
        <w:tc>
          <w:tcPr>
            <w:tcW w:w="993"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F2F2F2" w:themeFill="background1" w:themeFillShade="F2"/>
            <w:vAlign w:val="center"/>
            <w:hideMark/>
          </w:tcPr>
          <w:p w14:paraId="192EC7CC" w14:textId="77777777" w:rsidR="009E6A26" w:rsidRPr="00B16E6B" w:rsidRDefault="009E6A26" w:rsidP="009613E1">
            <w:pPr>
              <w:spacing w:after="0" w:line="271" w:lineRule="auto"/>
              <w:rPr>
                <w:rFonts w:cs="Arial"/>
                <w:bCs/>
                <w:szCs w:val="24"/>
                <w:lang w:eastAsia="en-AU"/>
              </w:rPr>
            </w:pPr>
            <w:r w:rsidRPr="00B16E6B">
              <w:rPr>
                <w:rFonts w:cs="Arial"/>
                <w:bCs/>
                <w:szCs w:val="24"/>
                <w:lang w:eastAsia="en-AU"/>
              </w:rPr>
              <w:t>Stage 4</w:t>
            </w:r>
          </w:p>
        </w:tc>
        <w:tc>
          <w:tcPr>
            <w:tcW w:w="807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hideMark/>
          </w:tcPr>
          <w:p w14:paraId="32B39096" w14:textId="3A9E1FC6" w:rsidR="009E6A26" w:rsidRPr="00B16E6B" w:rsidRDefault="002E60E2" w:rsidP="00A11AF5">
            <w:pPr>
              <w:pStyle w:val="ListParagraph"/>
              <w:numPr>
                <w:ilvl w:val="0"/>
                <w:numId w:val="35"/>
              </w:numPr>
              <w:spacing w:after="0" w:line="271" w:lineRule="auto"/>
              <w:rPr>
                <w:rFonts w:eastAsia="Times New Roman" w:cs="Arial"/>
                <w:szCs w:val="20"/>
                <w:lang w:eastAsia="en-AU"/>
              </w:rPr>
            </w:pPr>
            <w:r w:rsidRPr="00B16E6B">
              <w:rPr>
                <w:rFonts w:eastAsia="Times New Roman" w:cs="Arial"/>
                <w:szCs w:val="20"/>
                <w:lang w:eastAsia="en-AU"/>
              </w:rPr>
              <w:t>Compliance and enforcement of expanded obligations commences</w:t>
            </w:r>
          </w:p>
        </w:tc>
      </w:tr>
      <w:tr w:rsidR="009E6A26" w:rsidRPr="00B16E6B" w14:paraId="31D9B329" w14:textId="77777777" w:rsidTr="009E6A26">
        <w:trPr>
          <w:trHeight w:val="300"/>
        </w:trPr>
        <w:tc>
          <w:tcPr>
            <w:tcW w:w="993" w:type="dxa"/>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shd w:val="clear" w:color="auto" w:fill="F2F2F2" w:themeFill="background1" w:themeFillShade="F2"/>
            <w:vAlign w:val="center"/>
            <w:hideMark/>
          </w:tcPr>
          <w:p w14:paraId="0479D0A7" w14:textId="77777777" w:rsidR="009E6A26" w:rsidRPr="00B16E6B" w:rsidRDefault="009E6A26" w:rsidP="009613E1">
            <w:pPr>
              <w:spacing w:after="0" w:line="271" w:lineRule="auto"/>
              <w:rPr>
                <w:rFonts w:cs="Arial"/>
                <w:bCs/>
                <w:szCs w:val="24"/>
                <w:lang w:eastAsia="en-AU"/>
              </w:rPr>
            </w:pPr>
            <w:r w:rsidRPr="00B16E6B">
              <w:rPr>
                <w:rFonts w:cs="Arial"/>
                <w:bCs/>
                <w:szCs w:val="24"/>
                <w:lang w:eastAsia="en-AU"/>
              </w:rPr>
              <w:t>Stage 5</w:t>
            </w:r>
          </w:p>
        </w:tc>
        <w:tc>
          <w:tcPr>
            <w:tcW w:w="8079"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hideMark/>
          </w:tcPr>
          <w:p w14:paraId="50463E87" w14:textId="77777777" w:rsidR="009E6A26" w:rsidRPr="00B16E6B" w:rsidRDefault="009E6A26" w:rsidP="00A11AF5">
            <w:pPr>
              <w:pStyle w:val="ListParagraph"/>
              <w:numPr>
                <w:ilvl w:val="0"/>
                <w:numId w:val="35"/>
              </w:numPr>
              <w:spacing w:after="0" w:line="271" w:lineRule="auto"/>
              <w:rPr>
                <w:rFonts w:eastAsia="Times New Roman" w:cs="Arial"/>
                <w:szCs w:val="20"/>
                <w:lang w:eastAsia="en-AU"/>
              </w:rPr>
            </w:pPr>
            <w:r w:rsidRPr="00B16E6B">
              <w:rPr>
                <w:rFonts w:eastAsia="Times New Roman" w:cs="Arial"/>
                <w:szCs w:val="20"/>
                <w:lang w:eastAsia="en-AU"/>
              </w:rPr>
              <w:t>Post-implementation review of amendments</w:t>
            </w:r>
          </w:p>
        </w:tc>
      </w:tr>
    </w:tbl>
    <w:p w14:paraId="4D59A9D3" w14:textId="77777777" w:rsidR="00A502B4" w:rsidRDefault="00A502B4" w:rsidP="00A502B4"/>
    <w:p w14:paraId="66F528EE" w14:textId="1C0A2C7E" w:rsidR="008D31A7" w:rsidRDefault="008D31A7" w:rsidP="00A502B4">
      <w:pPr>
        <w:pStyle w:val="Heading4"/>
        <w:spacing w:line="271" w:lineRule="auto"/>
      </w:pPr>
      <w:r>
        <w:t>Governance Arrangements</w:t>
      </w:r>
    </w:p>
    <w:p w14:paraId="2BCD7EA2" w14:textId="5DCA7744" w:rsidR="001759EF" w:rsidRPr="00B16E6B" w:rsidRDefault="007B641E" w:rsidP="00D17A7E">
      <w:r w:rsidRPr="00B16E6B">
        <w:t>T</w:t>
      </w:r>
      <w:r w:rsidR="001759EF" w:rsidRPr="00B16E6B">
        <w:t xml:space="preserve">he department </w:t>
      </w:r>
      <w:r w:rsidRPr="00B16E6B">
        <w:t xml:space="preserve">has implemented and will also develop and progress initiatives that will support the </w:t>
      </w:r>
      <w:r w:rsidR="001759EF" w:rsidRPr="00B16E6B">
        <w:t>uplift</w:t>
      </w:r>
      <w:r w:rsidRPr="00B16E6B">
        <w:t xml:space="preserve"> of government</w:t>
      </w:r>
      <w:r w:rsidR="001759EF" w:rsidRPr="00B16E6B">
        <w:t xml:space="preserve"> and industry capability and partnerships</w:t>
      </w:r>
      <w:r w:rsidR="001C4C6D" w:rsidRPr="00B16E6B">
        <w:t>, including consideration of appropriate governance arrangements</w:t>
      </w:r>
      <w:r w:rsidR="001759EF" w:rsidRPr="00B16E6B">
        <w:t xml:space="preserve">. </w:t>
      </w:r>
    </w:p>
    <w:p w14:paraId="315CC011" w14:textId="122B080F" w:rsidR="007B641E" w:rsidRPr="00B16E6B" w:rsidRDefault="007B641E" w:rsidP="00D17A7E">
      <w:r w:rsidRPr="00B16E6B">
        <w:t>The department will also contin</w:t>
      </w:r>
      <w:r w:rsidR="001C4C6D" w:rsidRPr="00B16E6B">
        <w:t>ue to convene TSRAC meetings, to</w:t>
      </w:r>
      <w:r w:rsidRPr="00B16E6B">
        <w:t xml:space="preserve"> </w:t>
      </w:r>
      <w:r w:rsidR="001C4C6D" w:rsidRPr="00B16E6B">
        <w:t xml:space="preserve">oversee and </w:t>
      </w:r>
      <w:r w:rsidRPr="00B16E6B">
        <w:t xml:space="preserve">discuss key issues relevant to the development and implementation of the measures. </w:t>
      </w:r>
    </w:p>
    <w:p w14:paraId="411D42C3" w14:textId="21BD7213" w:rsidR="009E6A26" w:rsidRPr="00B16E6B" w:rsidRDefault="001759EF" w:rsidP="009613E1">
      <w:pPr>
        <w:pStyle w:val="Heading4"/>
        <w:spacing w:line="271" w:lineRule="auto"/>
      </w:pPr>
      <w:r w:rsidRPr="00B16E6B">
        <w:t>A</w:t>
      </w:r>
      <w:r w:rsidR="009E6A26" w:rsidRPr="00B16E6B">
        <w:t>pproach to compliance</w:t>
      </w:r>
    </w:p>
    <w:p w14:paraId="1A96FDEC" w14:textId="633C2B47" w:rsidR="004838AA" w:rsidRPr="00B16E6B" w:rsidRDefault="000D181B" w:rsidP="00D912F4">
      <w:pPr>
        <w:rPr>
          <w:rFonts w:eastAsia="Times New Roman"/>
          <w:lang w:eastAsia="en-AU"/>
        </w:rPr>
      </w:pPr>
      <w:r w:rsidRPr="00B16E6B">
        <w:rPr>
          <w:rFonts w:eastAsia="Times New Roman"/>
          <w:lang w:eastAsia="en-AU"/>
        </w:rPr>
        <w:t>The d</w:t>
      </w:r>
      <w:r w:rsidR="009E6A26" w:rsidRPr="00B16E6B">
        <w:rPr>
          <w:rFonts w:eastAsia="Times New Roman"/>
          <w:lang w:eastAsia="en-AU"/>
        </w:rPr>
        <w:t xml:space="preserve">epartment specifies </w:t>
      </w:r>
      <w:r w:rsidR="00774379" w:rsidRPr="00B16E6B">
        <w:rPr>
          <w:rFonts w:eastAsia="Times New Roman"/>
          <w:lang w:eastAsia="en-AU"/>
        </w:rPr>
        <w:t xml:space="preserve">5 </w:t>
      </w:r>
      <w:r w:rsidR="009E6A26" w:rsidRPr="00B16E6B">
        <w:rPr>
          <w:rFonts w:eastAsia="Times New Roman"/>
          <w:lang w:eastAsia="en-AU"/>
        </w:rPr>
        <w:t>principles which provide guidance in the exercise of its regulatory powers and engagement with</w:t>
      </w:r>
      <w:r w:rsidR="003153CB" w:rsidRPr="00B16E6B">
        <w:rPr>
          <w:rFonts w:eastAsia="Times New Roman"/>
          <w:lang w:eastAsia="en-AU"/>
        </w:rPr>
        <w:t xml:space="preserve"> critical infrastructure </w:t>
      </w:r>
      <w:r w:rsidR="004838AA" w:rsidRPr="00B16E6B">
        <w:rPr>
          <w:rFonts w:eastAsia="Times New Roman"/>
          <w:lang w:eastAsia="en-AU"/>
        </w:rPr>
        <w:t>owners and operators</w:t>
      </w:r>
      <w:r w:rsidR="009E6A26" w:rsidRPr="00B16E6B">
        <w:rPr>
          <w:rFonts w:eastAsia="Times New Roman"/>
          <w:lang w:eastAsia="en-AU"/>
        </w:rPr>
        <w:t>.</w:t>
      </w:r>
      <w:r w:rsidR="009E6A26" w:rsidRPr="00B16E6B">
        <w:rPr>
          <w:rFonts w:eastAsia="Times New Roman"/>
          <w:vertAlign w:val="superscript"/>
          <w:lang w:eastAsia="en-AU"/>
        </w:rPr>
        <w:footnoteReference w:id="54"/>
      </w:r>
    </w:p>
    <w:p w14:paraId="1655368F" w14:textId="13E3EFD5" w:rsidR="002E60E2" w:rsidRPr="00B16E6B" w:rsidRDefault="002E60E2" w:rsidP="009613E1">
      <w:pPr>
        <w:spacing w:line="271" w:lineRule="auto"/>
        <w:rPr>
          <w:lang w:eastAsia="en-AU"/>
        </w:rPr>
      </w:pPr>
      <w:r w:rsidRPr="00B16E6B">
        <w:rPr>
          <w:lang w:eastAsia="en-AU"/>
        </w:rPr>
        <w:t>These principles inform the way in which the department’s regulatory function engagements with industry including, wherever possible, working in partnership with regulated entities to manage and understand risk. This approach reflects the department’s vision for voluntary legislative compliance by owners and operators and ultimately, the effective management of security risks across the transport sector.</w:t>
      </w:r>
    </w:p>
    <w:p w14:paraId="2D97FA5D" w14:textId="77777777" w:rsidR="009E6A26" w:rsidRPr="00B16E6B" w:rsidRDefault="004838AA" w:rsidP="009613E1">
      <w:pPr>
        <w:spacing w:after="200" w:line="271" w:lineRule="auto"/>
        <w:rPr>
          <w:rFonts w:eastAsia="Times New Roman"/>
          <w:lang w:eastAsia="en-AU"/>
        </w:rPr>
      </w:pPr>
      <w:r w:rsidRPr="00B16E6B">
        <w:rPr>
          <w:rFonts w:eastAsia="Times New Roman"/>
          <w:lang w:eastAsia="en-AU"/>
        </w:rPr>
        <w:lastRenderedPageBreak/>
        <w:br w:type="page"/>
      </w:r>
    </w:p>
    <w:p w14:paraId="3A6C7B08" w14:textId="60E9FDE5" w:rsidR="009E6A26" w:rsidRPr="00B16E6B" w:rsidRDefault="009E6A26" w:rsidP="009613E1">
      <w:pPr>
        <w:pStyle w:val="Caption"/>
        <w:spacing w:after="60" w:line="271" w:lineRule="auto"/>
        <w:rPr>
          <w:rFonts w:ascii="Arial" w:eastAsia="Times New Roman" w:hAnsi="Arial" w:cs="Arial"/>
          <w:b w:val="0"/>
          <w:i/>
          <w:iCs/>
          <w:smallCaps w:val="0"/>
          <w:color w:val="44546A"/>
          <w:sz w:val="18"/>
          <w:szCs w:val="18"/>
          <w:lang w:eastAsia="en-AU"/>
        </w:rPr>
      </w:pPr>
      <w:r w:rsidRPr="00B16E6B">
        <w:rPr>
          <w:rFonts w:ascii="Arial" w:eastAsia="Times New Roman" w:hAnsi="Arial" w:cs="Arial"/>
          <w:i/>
          <w:iCs/>
          <w:smallCaps w:val="0"/>
          <w:color w:val="44546A"/>
          <w:sz w:val="18"/>
          <w:szCs w:val="18"/>
          <w:lang w:eastAsia="en-AU"/>
        </w:rPr>
        <w:lastRenderedPageBreak/>
        <w:t>Table</w:t>
      </w:r>
      <w:r w:rsidR="00AE00AF" w:rsidRPr="00B16E6B">
        <w:rPr>
          <w:rFonts w:ascii="Arial" w:eastAsia="Times New Roman" w:hAnsi="Arial" w:cs="Arial"/>
          <w:i/>
          <w:iCs/>
          <w:smallCaps w:val="0"/>
          <w:color w:val="44546A"/>
          <w:sz w:val="18"/>
          <w:szCs w:val="18"/>
          <w:lang w:eastAsia="en-AU"/>
        </w:rPr>
        <w:t xml:space="preserve"> </w:t>
      </w:r>
      <w:r w:rsidR="00A027FB" w:rsidRPr="00B16E6B">
        <w:rPr>
          <w:rFonts w:ascii="Arial" w:eastAsia="Times New Roman" w:hAnsi="Arial" w:cs="Arial"/>
          <w:i/>
          <w:iCs/>
          <w:smallCaps w:val="0"/>
          <w:color w:val="44546A"/>
          <w:sz w:val="18"/>
          <w:szCs w:val="18"/>
          <w:lang w:eastAsia="en-AU"/>
        </w:rPr>
        <w:t>25</w:t>
      </w:r>
      <w:r w:rsidRPr="00B16E6B">
        <w:rPr>
          <w:rFonts w:ascii="Arial" w:eastAsia="Times New Roman" w:hAnsi="Arial" w:cs="Arial"/>
          <w:i/>
          <w:iCs/>
          <w:smallCaps w:val="0"/>
          <w:color w:val="44546A"/>
          <w:sz w:val="18"/>
          <w:szCs w:val="18"/>
          <w:lang w:eastAsia="en-AU"/>
        </w:rPr>
        <w:t>:</w:t>
      </w:r>
      <w:r w:rsidRPr="00B16E6B">
        <w:rPr>
          <w:rFonts w:ascii="Arial" w:eastAsia="Times New Roman" w:hAnsi="Arial" w:cs="Arial"/>
          <w:b w:val="0"/>
          <w:i/>
          <w:iCs/>
          <w:smallCaps w:val="0"/>
          <w:color w:val="44546A"/>
          <w:sz w:val="18"/>
          <w:szCs w:val="18"/>
          <w:lang w:eastAsia="en-AU"/>
        </w:rPr>
        <w:t xml:space="preserve"> Department</w:t>
      </w:r>
      <w:r w:rsidR="00E17665" w:rsidRPr="00B16E6B">
        <w:rPr>
          <w:rFonts w:ascii="Arial" w:eastAsia="Times New Roman" w:hAnsi="Arial" w:cs="Arial"/>
          <w:b w:val="0"/>
          <w:i/>
          <w:iCs/>
          <w:smallCaps w:val="0"/>
          <w:color w:val="44546A"/>
          <w:sz w:val="18"/>
          <w:szCs w:val="18"/>
          <w:lang w:eastAsia="en-AU"/>
        </w:rPr>
        <w:t>’</w:t>
      </w:r>
      <w:r w:rsidRPr="00B16E6B">
        <w:rPr>
          <w:rFonts w:ascii="Arial" w:eastAsia="Times New Roman" w:hAnsi="Arial" w:cs="Arial"/>
          <w:b w:val="0"/>
          <w:i/>
          <w:iCs/>
          <w:smallCaps w:val="0"/>
          <w:color w:val="44546A"/>
          <w:sz w:val="18"/>
          <w:szCs w:val="18"/>
          <w:lang w:eastAsia="en-AU"/>
        </w:rPr>
        <w:t>s regulatory principles</w:t>
      </w:r>
    </w:p>
    <w:tbl>
      <w:tblPr>
        <w:tblW w:w="9072" w:type="dxa"/>
        <w:tblBorders>
          <w:insideH w:val="single" w:sz="4" w:space="0" w:color="FFFFFF" w:themeColor="background2"/>
          <w:insideV w:val="single" w:sz="4" w:space="0" w:color="FFFFFF" w:themeColor="background2"/>
        </w:tblBorders>
        <w:tblCellMar>
          <w:left w:w="0" w:type="dxa"/>
          <w:right w:w="0" w:type="dxa"/>
        </w:tblCellMar>
        <w:tblLook w:val="04A0" w:firstRow="1" w:lastRow="0" w:firstColumn="1" w:lastColumn="0" w:noHBand="0" w:noVBand="1"/>
      </w:tblPr>
      <w:tblGrid>
        <w:gridCol w:w="2127"/>
        <w:gridCol w:w="6945"/>
      </w:tblGrid>
      <w:tr w:rsidR="009E6A26" w:rsidRPr="00B16E6B" w14:paraId="7E14FDAB" w14:textId="77777777" w:rsidTr="00B36BC3">
        <w:trPr>
          <w:trHeight w:val="300"/>
          <w:tblHeader/>
        </w:trPr>
        <w:tc>
          <w:tcPr>
            <w:tcW w:w="2127" w:type="dxa"/>
            <w:tcBorders>
              <w:top w:val="nil"/>
              <w:left w:val="nil"/>
              <w:bottom w:val="single" w:sz="4" w:space="0" w:color="FFFFFF" w:themeColor="background2"/>
              <w:right w:val="single" w:sz="4" w:space="0" w:color="FFFFFF" w:themeColor="background2"/>
            </w:tcBorders>
            <w:shd w:val="clear" w:color="auto" w:fill="1C2B39" w:themeFill="accent1"/>
            <w:vAlign w:val="center"/>
            <w:hideMark/>
          </w:tcPr>
          <w:p w14:paraId="6EB8B30D" w14:textId="77777777" w:rsidR="009E6A26" w:rsidRPr="00B16E6B" w:rsidRDefault="009E6A26" w:rsidP="009613E1">
            <w:pPr>
              <w:spacing w:before="120" w:after="120" w:line="271" w:lineRule="auto"/>
              <w:jc w:val="center"/>
              <w:rPr>
                <w:rFonts w:cs="Arial"/>
                <w:b/>
                <w:bCs/>
                <w:szCs w:val="20"/>
                <w:lang w:eastAsia="en-AU"/>
              </w:rPr>
            </w:pPr>
            <w:r w:rsidRPr="00B16E6B">
              <w:rPr>
                <w:rFonts w:cs="Arial"/>
                <w:b/>
                <w:bCs/>
                <w:szCs w:val="20"/>
                <w:lang w:eastAsia="en-AU"/>
              </w:rPr>
              <w:t>Principle</w:t>
            </w:r>
          </w:p>
        </w:tc>
        <w:tc>
          <w:tcPr>
            <w:tcW w:w="6945" w:type="dxa"/>
            <w:tcBorders>
              <w:top w:val="nil"/>
              <w:left w:val="single" w:sz="4" w:space="0" w:color="FFFFFF" w:themeColor="background2"/>
              <w:bottom w:val="single" w:sz="4" w:space="0" w:color="FFFFFF" w:themeColor="background2"/>
              <w:right w:val="nil"/>
            </w:tcBorders>
            <w:shd w:val="clear" w:color="auto" w:fill="1C2B39" w:themeFill="accent1"/>
            <w:vAlign w:val="center"/>
            <w:hideMark/>
          </w:tcPr>
          <w:p w14:paraId="3EB9EF10" w14:textId="77777777" w:rsidR="009E6A26" w:rsidRPr="00B16E6B" w:rsidRDefault="009E6A26" w:rsidP="009613E1">
            <w:pPr>
              <w:spacing w:before="120" w:after="120" w:line="271" w:lineRule="auto"/>
              <w:jc w:val="center"/>
              <w:rPr>
                <w:rFonts w:cs="Arial"/>
                <w:b/>
                <w:bCs/>
                <w:szCs w:val="20"/>
                <w:lang w:eastAsia="en-AU"/>
              </w:rPr>
            </w:pPr>
            <w:r w:rsidRPr="00B16E6B">
              <w:rPr>
                <w:rFonts w:cs="Arial"/>
                <w:b/>
                <w:bCs/>
                <w:szCs w:val="20"/>
                <w:lang w:eastAsia="en-AU"/>
              </w:rPr>
              <w:t>Meaning</w:t>
            </w:r>
          </w:p>
        </w:tc>
      </w:tr>
      <w:tr w:rsidR="009E6A26" w:rsidRPr="00B16E6B" w14:paraId="5B5C17D4" w14:textId="77777777" w:rsidTr="00B36BC3">
        <w:trPr>
          <w:trHeight w:val="300"/>
        </w:trPr>
        <w:tc>
          <w:tcPr>
            <w:tcW w:w="2127" w:type="dxa"/>
            <w:tcBorders>
              <w:top w:val="single" w:sz="4" w:space="0" w:color="FFFFFF" w:themeColor="background2"/>
              <w:left w:val="nil"/>
              <w:bottom w:val="single" w:sz="4" w:space="0" w:color="D9D9D9" w:themeColor="background1" w:themeShade="D9"/>
              <w:right w:val="single" w:sz="4" w:space="0" w:color="D9D9D9" w:themeColor="background1" w:themeShade="D9"/>
            </w:tcBorders>
            <w:shd w:val="clear" w:color="auto" w:fill="F2F2F2"/>
            <w:vAlign w:val="center"/>
            <w:hideMark/>
          </w:tcPr>
          <w:p w14:paraId="0654868E" w14:textId="77777777" w:rsidR="009E6A26" w:rsidRPr="00B16E6B" w:rsidRDefault="009E6A26" w:rsidP="009613E1">
            <w:pPr>
              <w:spacing w:after="0" w:line="271" w:lineRule="auto"/>
              <w:rPr>
                <w:rFonts w:cs="Arial"/>
                <w:bCs/>
                <w:szCs w:val="24"/>
                <w:lang w:eastAsia="en-AU"/>
              </w:rPr>
            </w:pPr>
            <w:r w:rsidRPr="00B16E6B">
              <w:rPr>
                <w:rFonts w:cs="Arial"/>
                <w:bCs/>
                <w:szCs w:val="24"/>
                <w:lang w:eastAsia="en-AU"/>
              </w:rPr>
              <w:t>Focus on risk</w:t>
            </w:r>
          </w:p>
        </w:tc>
        <w:tc>
          <w:tcPr>
            <w:tcW w:w="6945" w:type="dxa"/>
            <w:tcBorders>
              <w:top w:val="single" w:sz="4" w:space="0" w:color="FFFFFF" w:themeColor="background2"/>
              <w:left w:val="single" w:sz="4" w:space="0" w:color="D9D9D9" w:themeColor="background1" w:themeShade="D9"/>
              <w:bottom w:val="single" w:sz="4" w:space="0" w:color="D9D9D9" w:themeColor="background1" w:themeShade="D9"/>
              <w:right w:val="nil"/>
            </w:tcBorders>
            <w:vAlign w:val="center"/>
            <w:hideMark/>
          </w:tcPr>
          <w:p w14:paraId="73BAABC2" w14:textId="77777777" w:rsidR="009E6A26" w:rsidRPr="00B16E6B" w:rsidRDefault="009E6A26" w:rsidP="00A11AF5">
            <w:pPr>
              <w:pStyle w:val="ListParagraph"/>
              <w:numPr>
                <w:ilvl w:val="0"/>
                <w:numId w:val="37"/>
              </w:numPr>
              <w:spacing w:after="0" w:line="271" w:lineRule="auto"/>
              <w:rPr>
                <w:rFonts w:cs="Arial"/>
                <w:szCs w:val="20"/>
              </w:rPr>
            </w:pPr>
            <w:r w:rsidRPr="00B16E6B">
              <w:rPr>
                <w:rFonts w:cs="Arial"/>
                <w:szCs w:val="20"/>
              </w:rPr>
              <w:t>Focus attention and resources on higher risk areas to ensure the resilience and security of the sectors we regulate</w:t>
            </w:r>
          </w:p>
        </w:tc>
      </w:tr>
      <w:tr w:rsidR="009E6A26" w:rsidRPr="00B16E6B" w14:paraId="7076F2C2" w14:textId="77777777" w:rsidTr="00B36BC3">
        <w:trPr>
          <w:trHeight w:val="70"/>
        </w:trPr>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vAlign w:val="center"/>
            <w:hideMark/>
          </w:tcPr>
          <w:p w14:paraId="770AFEA6" w14:textId="77777777" w:rsidR="009E6A26" w:rsidRPr="00B16E6B" w:rsidRDefault="009E6A26" w:rsidP="009613E1">
            <w:pPr>
              <w:spacing w:after="0" w:line="271" w:lineRule="auto"/>
              <w:rPr>
                <w:rFonts w:cs="Arial"/>
                <w:bCs/>
                <w:szCs w:val="24"/>
                <w:lang w:eastAsia="en-AU"/>
              </w:rPr>
            </w:pPr>
            <w:r w:rsidRPr="00B16E6B">
              <w:rPr>
                <w:rFonts w:cs="Arial"/>
                <w:bCs/>
                <w:szCs w:val="24"/>
                <w:lang w:eastAsia="en-AU"/>
              </w:rPr>
              <w:t>Promote voluntary compliance</w:t>
            </w:r>
          </w:p>
        </w:tc>
        <w:tc>
          <w:tcPr>
            <w:tcW w:w="694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7BD80FF3" w14:textId="77777777" w:rsidR="009E6A26" w:rsidRPr="00B16E6B" w:rsidRDefault="009E6A26" w:rsidP="00A11AF5">
            <w:pPr>
              <w:pStyle w:val="ListParagraph"/>
              <w:numPr>
                <w:ilvl w:val="0"/>
                <w:numId w:val="38"/>
              </w:numPr>
              <w:spacing w:after="0" w:line="271" w:lineRule="auto"/>
              <w:rPr>
                <w:rFonts w:cs="Arial"/>
                <w:szCs w:val="20"/>
              </w:rPr>
            </w:pPr>
            <w:r w:rsidRPr="00B16E6B">
              <w:rPr>
                <w:rFonts w:cs="Arial"/>
                <w:szCs w:val="20"/>
              </w:rPr>
              <w:t xml:space="preserve">Where appropriate, adopt a consultative approach with industry stakeholders </w:t>
            </w:r>
          </w:p>
          <w:p w14:paraId="2AE8E1FA" w14:textId="77777777" w:rsidR="009E6A26" w:rsidRPr="00B16E6B" w:rsidRDefault="009E6A26" w:rsidP="00A11AF5">
            <w:pPr>
              <w:pStyle w:val="ListParagraph"/>
              <w:numPr>
                <w:ilvl w:val="0"/>
                <w:numId w:val="38"/>
              </w:numPr>
              <w:spacing w:after="0" w:line="271" w:lineRule="auto"/>
              <w:rPr>
                <w:rFonts w:cs="Arial"/>
                <w:szCs w:val="20"/>
              </w:rPr>
            </w:pPr>
            <w:r w:rsidRPr="00B16E6B">
              <w:rPr>
                <w:rFonts w:cs="Arial"/>
                <w:szCs w:val="20"/>
              </w:rPr>
              <w:t>Solicit feedback to inform continuous improvement within the aviation, maritime, and air cargo sectors</w:t>
            </w:r>
          </w:p>
          <w:p w14:paraId="433201AC" w14:textId="77777777" w:rsidR="009E6A26" w:rsidRPr="00B16E6B" w:rsidRDefault="009E6A26" w:rsidP="00A11AF5">
            <w:pPr>
              <w:pStyle w:val="ListParagraph"/>
              <w:numPr>
                <w:ilvl w:val="0"/>
                <w:numId w:val="38"/>
              </w:numPr>
              <w:spacing w:after="0" w:line="271" w:lineRule="auto"/>
              <w:rPr>
                <w:rFonts w:cs="Arial"/>
                <w:szCs w:val="20"/>
              </w:rPr>
            </w:pPr>
            <w:r w:rsidRPr="00B16E6B">
              <w:rPr>
                <w:rFonts w:cs="Arial"/>
                <w:szCs w:val="20"/>
              </w:rPr>
              <w:t>Provide education and guidance to help industry understand their legislative obligations</w:t>
            </w:r>
          </w:p>
        </w:tc>
      </w:tr>
      <w:tr w:rsidR="009E6A26" w:rsidRPr="00B16E6B" w14:paraId="5CCCB980" w14:textId="77777777" w:rsidTr="00B36BC3">
        <w:trPr>
          <w:trHeight w:val="300"/>
        </w:trPr>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vAlign w:val="center"/>
            <w:hideMark/>
          </w:tcPr>
          <w:p w14:paraId="1E4BDD10" w14:textId="77777777" w:rsidR="009E6A26" w:rsidRPr="00B16E6B" w:rsidRDefault="009E6A26" w:rsidP="009613E1">
            <w:pPr>
              <w:spacing w:after="0" w:line="271" w:lineRule="auto"/>
              <w:rPr>
                <w:rFonts w:cs="Arial"/>
                <w:bCs/>
                <w:szCs w:val="24"/>
                <w:lang w:eastAsia="en-AU"/>
              </w:rPr>
            </w:pPr>
            <w:r w:rsidRPr="00B16E6B">
              <w:rPr>
                <w:rFonts w:cs="Arial"/>
                <w:bCs/>
                <w:szCs w:val="24"/>
                <w:lang w:eastAsia="en-AU"/>
              </w:rPr>
              <w:t>Be accountable, fair, and transparent</w:t>
            </w:r>
          </w:p>
        </w:tc>
        <w:tc>
          <w:tcPr>
            <w:tcW w:w="694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5F6C6788" w14:textId="77777777" w:rsidR="009E6A26" w:rsidRPr="00B16E6B" w:rsidRDefault="009E6A26" w:rsidP="00A11AF5">
            <w:pPr>
              <w:pStyle w:val="ListParagraph"/>
              <w:numPr>
                <w:ilvl w:val="0"/>
                <w:numId w:val="39"/>
              </w:numPr>
              <w:tabs>
                <w:tab w:val="num" w:pos="1877"/>
              </w:tabs>
              <w:spacing w:after="0" w:line="271" w:lineRule="auto"/>
              <w:rPr>
                <w:rFonts w:cs="Arial"/>
                <w:szCs w:val="20"/>
              </w:rPr>
            </w:pPr>
            <w:r w:rsidRPr="00B16E6B">
              <w:rPr>
                <w:rFonts w:cs="Arial"/>
                <w:szCs w:val="20"/>
              </w:rPr>
              <w:t>Avoid unnecessarily impacting the efficient and effective operations of regulated entities, while making timely decisions based on legislative requirements</w:t>
            </w:r>
          </w:p>
        </w:tc>
      </w:tr>
      <w:tr w:rsidR="009E6A26" w:rsidRPr="00B16E6B" w14:paraId="519736F1" w14:textId="77777777" w:rsidTr="00B36BC3">
        <w:trPr>
          <w:trHeight w:val="300"/>
        </w:trPr>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vAlign w:val="center"/>
            <w:hideMark/>
          </w:tcPr>
          <w:p w14:paraId="34F54F53" w14:textId="77777777" w:rsidR="009E6A26" w:rsidRPr="00B16E6B" w:rsidRDefault="009E6A26" w:rsidP="009613E1">
            <w:pPr>
              <w:spacing w:after="0" w:line="271" w:lineRule="auto"/>
              <w:rPr>
                <w:rFonts w:cs="Arial"/>
                <w:bCs/>
                <w:szCs w:val="24"/>
                <w:lang w:eastAsia="en-AU"/>
              </w:rPr>
            </w:pPr>
            <w:r w:rsidRPr="00B16E6B">
              <w:rPr>
                <w:rFonts w:cs="Arial"/>
                <w:bCs/>
                <w:szCs w:val="24"/>
                <w:lang w:eastAsia="en-AU"/>
              </w:rPr>
              <w:t>Act consistently</w:t>
            </w:r>
          </w:p>
        </w:tc>
        <w:tc>
          <w:tcPr>
            <w:tcW w:w="694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hideMark/>
          </w:tcPr>
          <w:p w14:paraId="41F0E53D" w14:textId="77777777" w:rsidR="009E6A26" w:rsidRPr="00B16E6B" w:rsidRDefault="009E6A26" w:rsidP="00A11AF5">
            <w:pPr>
              <w:pStyle w:val="ListParagraph"/>
              <w:numPr>
                <w:ilvl w:val="0"/>
                <w:numId w:val="38"/>
              </w:numPr>
              <w:spacing w:after="0" w:line="271" w:lineRule="auto"/>
              <w:rPr>
                <w:rFonts w:cs="Arial"/>
                <w:szCs w:val="20"/>
              </w:rPr>
            </w:pPr>
            <w:r w:rsidRPr="00B16E6B">
              <w:rPr>
                <w:rFonts w:cs="Arial"/>
                <w:szCs w:val="20"/>
              </w:rPr>
              <w:t>Deliver equitable decision-making across the aviation, maritime and air cargo sectors</w:t>
            </w:r>
          </w:p>
        </w:tc>
      </w:tr>
      <w:tr w:rsidR="009E6A26" w:rsidRPr="00B16E6B" w14:paraId="66DAF211" w14:textId="77777777" w:rsidTr="00B36BC3">
        <w:trPr>
          <w:trHeight w:val="300"/>
        </w:trPr>
        <w:tc>
          <w:tcPr>
            <w:tcW w:w="2127" w:type="dxa"/>
            <w:tcBorders>
              <w:top w:val="single" w:sz="4" w:space="0" w:color="D9D9D9" w:themeColor="background1" w:themeShade="D9"/>
              <w:left w:val="nil"/>
              <w:bottom w:val="nil"/>
              <w:right w:val="single" w:sz="4" w:space="0" w:color="D9D9D9" w:themeColor="background1" w:themeShade="D9"/>
            </w:tcBorders>
            <w:shd w:val="clear" w:color="auto" w:fill="F2F2F2"/>
            <w:vAlign w:val="center"/>
            <w:hideMark/>
          </w:tcPr>
          <w:p w14:paraId="312396F7" w14:textId="77777777" w:rsidR="009E6A26" w:rsidRPr="00B16E6B" w:rsidRDefault="009E6A26" w:rsidP="009613E1">
            <w:pPr>
              <w:spacing w:after="0" w:line="271" w:lineRule="auto"/>
              <w:rPr>
                <w:rFonts w:cs="Arial"/>
                <w:bCs/>
                <w:szCs w:val="24"/>
                <w:lang w:eastAsia="en-AU"/>
              </w:rPr>
            </w:pPr>
            <w:r w:rsidRPr="00B16E6B">
              <w:rPr>
                <w:rFonts w:cs="Arial"/>
                <w:bCs/>
                <w:szCs w:val="24"/>
                <w:lang w:eastAsia="en-AU"/>
              </w:rPr>
              <w:t>Act proportionately</w:t>
            </w:r>
          </w:p>
        </w:tc>
        <w:tc>
          <w:tcPr>
            <w:tcW w:w="6945" w:type="dxa"/>
            <w:tcBorders>
              <w:top w:val="single" w:sz="4" w:space="0" w:color="D9D9D9" w:themeColor="background1" w:themeShade="D9"/>
              <w:left w:val="single" w:sz="4" w:space="0" w:color="D9D9D9" w:themeColor="background1" w:themeShade="D9"/>
              <w:bottom w:val="nil"/>
              <w:right w:val="nil"/>
            </w:tcBorders>
            <w:vAlign w:val="center"/>
            <w:hideMark/>
          </w:tcPr>
          <w:p w14:paraId="3D634C49" w14:textId="77777777" w:rsidR="009E6A26" w:rsidRPr="00B16E6B" w:rsidRDefault="009E6A26" w:rsidP="00A11AF5">
            <w:pPr>
              <w:pStyle w:val="ListParagraph"/>
              <w:numPr>
                <w:ilvl w:val="0"/>
                <w:numId w:val="40"/>
              </w:numPr>
              <w:shd w:val="clear" w:color="auto" w:fill="FFFFFF"/>
              <w:spacing w:after="0" w:line="271" w:lineRule="auto"/>
              <w:rPr>
                <w:rFonts w:cs="Arial"/>
                <w:szCs w:val="20"/>
              </w:rPr>
            </w:pPr>
            <w:r w:rsidRPr="00B16E6B">
              <w:rPr>
                <w:rFonts w:cs="Arial"/>
                <w:szCs w:val="20"/>
              </w:rPr>
              <w:t>When exercising enforcement powers, we consider the:</w:t>
            </w:r>
          </w:p>
          <w:p w14:paraId="25725C18" w14:textId="77777777" w:rsidR="009E6A26" w:rsidRPr="00B16E6B" w:rsidRDefault="009E6A26" w:rsidP="00A11AF5">
            <w:pPr>
              <w:pStyle w:val="ListParagraph"/>
              <w:numPr>
                <w:ilvl w:val="0"/>
                <w:numId w:val="41"/>
              </w:numPr>
              <w:shd w:val="clear" w:color="auto" w:fill="FFFFFF"/>
              <w:spacing w:after="0" w:line="271" w:lineRule="auto"/>
              <w:rPr>
                <w:rFonts w:cs="Arial"/>
                <w:szCs w:val="20"/>
              </w:rPr>
            </w:pPr>
            <w:r w:rsidRPr="00B16E6B">
              <w:rPr>
                <w:rFonts w:cs="Arial"/>
                <w:szCs w:val="20"/>
              </w:rPr>
              <w:t>security implications of non-compliance;</w:t>
            </w:r>
          </w:p>
          <w:p w14:paraId="2F43DAD0" w14:textId="77777777" w:rsidR="009E6A26" w:rsidRPr="00B16E6B" w:rsidRDefault="009E6A26" w:rsidP="00A11AF5">
            <w:pPr>
              <w:pStyle w:val="ListParagraph"/>
              <w:numPr>
                <w:ilvl w:val="0"/>
                <w:numId w:val="41"/>
              </w:numPr>
              <w:shd w:val="clear" w:color="auto" w:fill="FFFFFF"/>
              <w:spacing w:after="0" w:line="271" w:lineRule="auto"/>
              <w:rPr>
                <w:rFonts w:cs="Arial"/>
                <w:szCs w:val="20"/>
              </w:rPr>
            </w:pPr>
            <w:r w:rsidRPr="00B16E6B">
              <w:rPr>
                <w:rFonts w:cs="Arial"/>
                <w:szCs w:val="20"/>
              </w:rPr>
              <w:t>seriousness of non-compliance;</w:t>
            </w:r>
          </w:p>
          <w:p w14:paraId="592E2C16" w14:textId="77777777" w:rsidR="009E6A26" w:rsidRPr="00B16E6B" w:rsidRDefault="009E6A26" w:rsidP="00A11AF5">
            <w:pPr>
              <w:pStyle w:val="ListParagraph"/>
              <w:numPr>
                <w:ilvl w:val="0"/>
                <w:numId w:val="41"/>
              </w:numPr>
              <w:shd w:val="clear" w:color="auto" w:fill="FFFFFF"/>
              <w:spacing w:after="0" w:line="271" w:lineRule="auto"/>
              <w:rPr>
                <w:rFonts w:cs="Arial"/>
                <w:szCs w:val="20"/>
              </w:rPr>
            </w:pPr>
            <w:r w:rsidRPr="00B16E6B">
              <w:rPr>
                <w:rFonts w:cs="Arial"/>
                <w:szCs w:val="20"/>
              </w:rPr>
              <w:t>compliance history and regulatory posture of the entity;</w:t>
            </w:r>
          </w:p>
          <w:p w14:paraId="5B5E2F9E" w14:textId="77777777" w:rsidR="009E6A26" w:rsidRPr="00B16E6B" w:rsidRDefault="009E6A26" w:rsidP="00A11AF5">
            <w:pPr>
              <w:pStyle w:val="ListParagraph"/>
              <w:numPr>
                <w:ilvl w:val="0"/>
                <w:numId w:val="41"/>
              </w:numPr>
              <w:shd w:val="clear" w:color="auto" w:fill="FFFFFF"/>
              <w:spacing w:after="0" w:line="271" w:lineRule="auto"/>
              <w:rPr>
                <w:rFonts w:cs="Arial"/>
                <w:szCs w:val="20"/>
              </w:rPr>
            </w:pPr>
            <w:r w:rsidRPr="00B16E6B">
              <w:rPr>
                <w:rFonts w:cs="Arial"/>
                <w:szCs w:val="20"/>
              </w:rPr>
              <w:t>need for deterrence;</w:t>
            </w:r>
          </w:p>
          <w:p w14:paraId="4755A241" w14:textId="77777777" w:rsidR="009E6A26" w:rsidRPr="00B16E6B" w:rsidRDefault="009E6A26" w:rsidP="00A11AF5">
            <w:pPr>
              <w:pStyle w:val="ListParagraph"/>
              <w:numPr>
                <w:ilvl w:val="0"/>
                <w:numId w:val="41"/>
              </w:numPr>
              <w:shd w:val="clear" w:color="auto" w:fill="FFFFFF"/>
              <w:spacing w:after="0" w:line="271" w:lineRule="auto"/>
              <w:rPr>
                <w:rFonts w:cs="Arial"/>
                <w:szCs w:val="20"/>
              </w:rPr>
            </w:pPr>
            <w:r w:rsidRPr="00B16E6B">
              <w:rPr>
                <w:rFonts w:cs="Arial"/>
                <w:szCs w:val="20"/>
              </w:rPr>
              <w:t>facts of the matter at hand; and</w:t>
            </w:r>
          </w:p>
          <w:p w14:paraId="3B3E79FF" w14:textId="77777777" w:rsidR="009E6A26" w:rsidRPr="00B16E6B" w:rsidRDefault="009E6A26" w:rsidP="00A11AF5">
            <w:pPr>
              <w:pStyle w:val="ListParagraph"/>
              <w:numPr>
                <w:ilvl w:val="0"/>
                <w:numId w:val="41"/>
              </w:numPr>
              <w:shd w:val="clear" w:color="auto" w:fill="FFFFFF"/>
              <w:spacing w:after="0" w:line="271" w:lineRule="auto"/>
              <w:rPr>
                <w:rFonts w:cs="Arial"/>
                <w:szCs w:val="20"/>
              </w:rPr>
            </w:pPr>
            <w:r w:rsidRPr="00B16E6B">
              <w:rPr>
                <w:rFonts w:cs="Arial"/>
                <w:szCs w:val="20"/>
              </w:rPr>
              <w:t>impact on Australia’s reputation or Australian interests overseas</w:t>
            </w:r>
          </w:p>
        </w:tc>
      </w:tr>
    </w:tbl>
    <w:p w14:paraId="78856C7C" w14:textId="77777777" w:rsidR="004838AA" w:rsidRPr="00B16E6B" w:rsidRDefault="009E6A26" w:rsidP="009613E1">
      <w:pPr>
        <w:pStyle w:val="NormalWeb"/>
        <w:shd w:val="clear" w:color="auto" w:fill="FFFFFF" w:themeFill="background1"/>
        <w:spacing w:before="240" w:beforeAutospacing="0" w:after="160" w:afterAutospacing="0" w:line="271" w:lineRule="auto"/>
        <w:rPr>
          <w:rFonts w:asciiTheme="minorHAnsi" w:eastAsia="Times New Roman" w:hAnsiTheme="minorHAnsi" w:cstheme="minorBidi"/>
          <w:szCs w:val="21"/>
        </w:rPr>
      </w:pPr>
      <w:r w:rsidRPr="00B16E6B">
        <w:rPr>
          <w:rFonts w:asciiTheme="minorHAnsi" w:eastAsia="Times New Roman" w:hAnsiTheme="minorHAnsi" w:cstheme="minorBidi"/>
          <w:szCs w:val="21"/>
        </w:rPr>
        <w:t>These principl</w:t>
      </w:r>
      <w:r w:rsidR="000D181B" w:rsidRPr="00B16E6B">
        <w:rPr>
          <w:rFonts w:asciiTheme="minorHAnsi" w:eastAsia="Times New Roman" w:hAnsiTheme="minorHAnsi" w:cstheme="minorBidi"/>
          <w:szCs w:val="21"/>
        </w:rPr>
        <w:t>es inform the way in which the d</w:t>
      </w:r>
      <w:r w:rsidRPr="00B16E6B">
        <w:rPr>
          <w:rFonts w:asciiTheme="minorHAnsi" w:eastAsia="Times New Roman" w:hAnsiTheme="minorHAnsi" w:cstheme="minorBidi"/>
          <w:szCs w:val="21"/>
        </w:rPr>
        <w:t>epartment’s regulatory function engages with industry including, wherever possible, working in partnership with regulated entities to manage and understand ri</w:t>
      </w:r>
      <w:r w:rsidR="000D181B" w:rsidRPr="00B16E6B">
        <w:rPr>
          <w:rFonts w:asciiTheme="minorHAnsi" w:eastAsia="Times New Roman" w:hAnsiTheme="minorHAnsi" w:cstheme="minorBidi"/>
          <w:szCs w:val="21"/>
        </w:rPr>
        <w:t>sk. This approach reflects the d</w:t>
      </w:r>
      <w:r w:rsidRPr="00B16E6B">
        <w:rPr>
          <w:rFonts w:asciiTheme="minorHAnsi" w:eastAsia="Times New Roman" w:hAnsiTheme="minorHAnsi" w:cstheme="minorBidi"/>
          <w:szCs w:val="21"/>
        </w:rPr>
        <w:t>epartment’s vision for voluntary legislative compliance by owners and operators and ultimately, the effective management of security ris</w:t>
      </w:r>
      <w:r w:rsidR="001235F8" w:rsidRPr="00B16E6B">
        <w:rPr>
          <w:rFonts w:asciiTheme="minorHAnsi" w:eastAsia="Times New Roman" w:hAnsiTheme="minorHAnsi" w:cstheme="minorBidi"/>
          <w:szCs w:val="21"/>
        </w:rPr>
        <w:t>ks across the transport sector.</w:t>
      </w:r>
    </w:p>
    <w:p w14:paraId="319FC9FB" w14:textId="77777777" w:rsidR="00C32B22" w:rsidRPr="00B16E6B" w:rsidRDefault="00C32B22" w:rsidP="009613E1">
      <w:pPr>
        <w:pStyle w:val="Heading4"/>
        <w:spacing w:line="271" w:lineRule="auto"/>
        <w:rPr>
          <w:rFonts w:eastAsia="Times New Roman"/>
        </w:rPr>
      </w:pPr>
      <w:r w:rsidRPr="00B16E6B">
        <w:rPr>
          <w:rFonts w:eastAsia="Times New Roman"/>
        </w:rPr>
        <w:t>Possible regulatory responses</w:t>
      </w:r>
    </w:p>
    <w:p w14:paraId="5A14829D" w14:textId="77777777" w:rsidR="00C32B22" w:rsidRPr="00B16E6B" w:rsidRDefault="00C32B22" w:rsidP="009613E1">
      <w:pPr>
        <w:pStyle w:val="NormalWeb"/>
        <w:shd w:val="clear" w:color="auto" w:fill="FFFFFF" w:themeFill="background1"/>
        <w:spacing w:before="240" w:beforeAutospacing="0" w:after="160" w:afterAutospacing="0" w:line="271" w:lineRule="auto"/>
        <w:rPr>
          <w:rFonts w:asciiTheme="minorHAnsi" w:hAnsiTheme="minorHAnsi"/>
        </w:rPr>
      </w:pPr>
      <w:r w:rsidRPr="00B16E6B">
        <w:rPr>
          <w:rFonts w:asciiTheme="minorHAnsi" w:eastAsia="Times New Roman" w:hAnsiTheme="minorHAnsi" w:cstheme="minorBidi"/>
          <w:szCs w:val="21"/>
        </w:rPr>
        <w:t xml:space="preserve">If industry participants fail to comply with their proposed legislative measures following their passage and the end of the transition period, they may be subject to a regulatory response. </w:t>
      </w:r>
      <w:r w:rsidRPr="00B16E6B">
        <w:rPr>
          <w:rFonts w:asciiTheme="minorHAnsi" w:hAnsiTheme="minorHAnsi"/>
        </w:rPr>
        <w:t xml:space="preserve">The </w:t>
      </w:r>
      <w:r w:rsidR="00A649CD" w:rsidRPr="00B16E6B">
        <w:rPr>
          <w:rFonts w:asciiTheme="minorHAnsi" w:hAnsiTheme="minorHAnsi"/>
        </w:rPr>
        <w:t>d</w:t>
      </w:r>
      <w:r w:rsidRPr="00B16E6B">
        <w:rPr>
          <w:rFonts w:asciiTheme="minorHAnsi" w:hAnsiTheme="minorHAnsi"/>
        </w:rPr>
        <w:t>epartment would work to educate and guide entities towards best practice security management, wherever possible, to encourage voluntary compliance. This would include educating responsible entities to ensure they understand their administrative and legislative obligations, as well as maintaining strong links with entities to promote ongoing best practice behaviours.</w:t>
      </w:r>
    </w:p>
    <w:p w14:paraId="5FE3B878" w14:textId="2F026CC7" w:rsidR="00C32B22" w:rsidRPr="00B16E6B" w:rsidRDefault="00C32B22" w:rsidP="009613E1">
      <w:pPr>
        <w:pStyle w:val="NormalWeb"/>
        <w:shd w:val="clear" w:color="auto" w:fill="FFFFFF" w:themeFill="background1"/>
        <w:spacing w:before="240" w:beforeAutospacing="0" w:after="160" w:afterAutospacing="0" w:line="271" w:lineRule="auto"/>
        <w:rPr>
          <w:rFonts w:asciiTheme="minorHAnsi" w:hAnsiTheme="minorHAnsi"/>
        </w:rPr>
      </w:pPr>
      <w:r w:rsidRPr="00B16E6B">
        <w:rPr>
          <w:rFonts w:asciiTheme="minorHAnsi" w:hAnsiTheme="minorHAnsi"/>
        </w:rPr>
        <w:t xml:space="preserve">Figure </w:t>
      </w:r>
      <w:r w:rsidR="00E064DD" w:rsidRPr="00B16E6B">
        <w:rPr>
          <w:rFonts w:asciiTheme="minorHAnsi" w:hAnsiTheme="minorHAnsi"/>
        </w:rPr>
        <w:t>4</w:t>
      </w:r>
      <w:r w:rsidR="00A649CD" w:rsidRPr="00B16E6B">
        <w:rPr>
          <w:rFonts w:asciiTheme="minorHAnsi" w:hAnsiTheme="minorHAnsi"/>
        </w:rPr>
        <w:t xml:space="preserve"> </w:t>
      </w:r>
      <w:r w:rsidRPr="00B16E6B">
        <w:rPr>
          <w:rFonts w:asciiTheme="minorHAnsi" w:hAnsiTheme="minorHAnsi"/>
        </w:rPr>
        <w:t xml:space="preserve">below outlines the department’s proposed approach to imposing regulatory responses, in the event of non-compliance. The department would use a tiered approach to form its regulatory posture. Under this approach, regulatory actions and activities would be undertaken based on a scale ranging from support to penalties, proportionate to the nature and level of risk identified. </w:t>
      </w:r>
    </w:p>
    <w:p w14:paraId="3E28C1F7" w14:textId="77777777" w:rsidR="00C32B22" w:rsidRPr="00B16E6B" w:rsidRDefault="00C32B22" w:rsidP="009613E1">
      <w:pPr>
        <w:spacing w:line="271" w:lineRule="auto"/>
        <w:rPr>
          <w:rFonts w:eastAsia="Times New Roman"/>
          <w:lang w:eastAsia="en-AU"/>
        </w:rPr>
      </w:pPr>
    </w:p>
    <w:p w14:paraId="43FE0211" w14:textId="054BC2F8" w:rsidR="00C32B22" w:rsidRPr="00B16E6B" w:rsidRDefault="00C32B22" w:rsidP="009613E1">
      <w:pPr>
        <w:pStyle w:val="Caption"/>
        <w:spacing w:after="0" w:line="271" w:lineRule="auto"/>
        <w:rPr>
          <w:rFonts w:eastAsia="Times New Roman"/>
          <w:lang w:eastAsia="en-AU"/>
        </w:rPr>
      </w:pPr>
      <w:r w:rsidRPr="00B16E6B">
        <w:rPr>
          <w:rFonts w:ascii="Arial" w:eastAsia="Times New Roman" w:hAnsi="Arial" w:cs="Arial"/>
          <w:i/>
          <w:iCs/>
          <w:smallCaps w:val="0"/>
          <w:color w:val="44546A"/>
          <w:sz w:val="18"/>
          <w:szCs w:val="18"/>
          <w:lang w:eastAsia="en-AU"/>
        </w:rPr>
        <w:lastRenderedPageBreak/>
        <w:t xml:space="preserve">Figure </w:t>
      </w:r>
      <w:r w:rsidR="00E064DD" w:rsidRPr="00B16E6B">
        <w:rPr>
          <w:rFonts w:ascii="Arial" w:eastAsia="Times New Roman" w:hAnsi="Arial" w:cs="Arial"/>
          <w:i/>
          <w:iCs/>
          <w:smallCaps w:val="0"/>
          <w:color w:val="44546A"/>
          <w:sz w:val="18"/>
          <w:szCs w:val="18"/>
          <w:lang w:eastAsia="en-AU"/>
        </w:rPr>
        <w:t>4</w:t>
      </w:r>
      <w:r w:rsidRPr="00B16E6B">
        <w:rPr>
          <w:rFonts w:ascii="Arial" w:eastAsia="Times New Roman" w:hAnsi="Arial" w:cs="Arial"/>
          <w:i/>
          <w:iCs/>
          <w:smallCaps w:val="0"/>
          <w:color w:val="44546A"/>
          <w:sz w:val="18"/>
          <w:szCs w:val="18"/>
          <w:lang w:eastAsia="en-AU"/>
        </w:rPr>
        <w:t xml:space="preserve">: </w:t>
      </w:r>
      <w:r w:rsidRPr="00B16E6B">
        <w:rPr>
          <w:rFonts w:ascii="Arial" w:eastAsia="Times New Roman" w:hAnsi="Arial" w:cs="Arial"/>
          <w:b w:val="0"/>
          <w:i/>
          <w:iCs/>
          <w:smallCaps w:val="0"/>
          <w:color w:val="44546A"/>
          <w:sz w:val="18"/>
          <w:szCs w:val="18"/>
          <w:lang w:eastAsia="en-AU"/>
        </w:rPr>
        <w:t>Regulatory options</w:t>
      </w:r>
    </w:p>
    <w:p w14:paraId="02A22E55" w14:textId="337974DB" w:rsidR="00192D55" w:rsidRPr="00B16E6B" w:rsidRDefault="003D2CF0" w:rsidP="009613E1">
      <w:pPr>
        <w:spacing w:line="271" w:lineRule="auto"/>
        <w:rPr>
          <w:rFonts w:eastAsia="Times New Roman"/>
          <w:lang w:eastAsia="en-AU"/>
        </w:rPr>
      </w:pPr>
      <w:r w:rsidRPr="00B16E6B">
        <w:rPr>
          <w:rFonts w:ascii="Arial" w:eastAsia="Times New Roman" w:hAnsi="Arial" w:cs="Arial"/>
          <w:i/>
          <w:iCs/>
          <w:smallCaps/>
          <w:noProof/>
          <w:color w:val="44546A"/>
          <w:sz w:val="18"/>
          <w:szCs w:val="18"/>
          <w:lang w:eastAsia="en-AU"/>
        </w:rPr>
        <w:drawing>
          <wp:inline distT="0" distB="0" distL="0" distR="0" wp14:anchorId="5584C5CE" wp14:editId="2CE5804A">
            <wp:extent cx="4643120" cy="2653665"/>
            <wp:effectExtent l="0" t="0" r="5080" b="0"/>
            <wp:docPr id="3" name="Picture 3" descr="When Industry: Is seriously disengaged and does not comply &#10;Are able to comply but not willing&#10;Are willing but not able&#10;Are willing and able to comply&#10;We will:&#10;Use the full force of the law&#10;Deter by detection and administrative action&#10;Support them to comply&#10;Make it straight forward for them to comply&#10;Encourage return to full compliance.">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openxmlformats.org/drawingml/2006/picture">
                <pic:pic xmlns:pic="http://schemas.openxmlformats.org/drawingml/2006/picture">
                  <pic:nvPicPr>
                    <pic:cNvPr id="3" name="Picture 3" descr="When Industry: Is seriously disengaged and does not comply &#10;Are able to comply but not willing&#10;Are willing but not able&#10;Are willing and able to comply&#10;We will:&#10;Use the full force of the law&#10;Deter by detection and administrative action&#10;Support them to comply&#10;Make it straight forward for them to comply&#10;Encourage return to full compliance.">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rotWithShape="1">
                    <a:blip r:embed="rId22" r:link="rId23" cstate="print">
                      <a:extLst>
                        <a:ext uri="{28A0092B-C50C-407E-A947-70E740481C1C}">
                          <a14:useLocalDpi xmlns:a14="http://schemas.microsoft.com/office/drawing/2010/main" val="0"/>
                        </a:ext>
                      </a:extLst>
                    </a:blip>
                    <a:srcRect/>
                    <a:stretch/>
                  </pic:blipFill>
                  <pic:spPr bwMode="auto">
                    <a:xfrm>
                      <a:off x="0" y="0"/>
                      <a:ext cx="4643120" cy="2653665"/>
                    </a:xfrm>
                    <a:prstGeom prst="rect">
                      <a:avLst/>
                    </a:prstGeom>
                    <a:noFill/>
                    <a:ln>
                      <a:noFill/>
                    </a:ln>
                    <a:extLst>
                      <a:ext uri="{53640926-AAD7-44D8-BBD7-CCE9431645EC}">
                        <a14:shadowObscured xmlns:a14="http://schemas.microsoft.com/office/drawing/2010/main"/>
                      </a:ext>
                    </a:extLst>
                  </pic:spPr>
                </pic:pic>
              </a:graphicData>
            </a:graphic>
          </wp:inline>
        </w:drawing>
      </w:r>
      <w:r w:rsidR="00FE4A7D" w:rsidRPr="00B16E6B">
        <w:rPr>
          <w:rFonts w:eastAsia="Times New Roman"/>
          <w:noProof/>
          <w:lang w:eastAsia="en-AU"/>
        </w:rPr>
        <mc:AlternateContent>
          <mc:Choice Requires="wps">
            <w:drawing>
              <wp:inline distT="0" distB="0" distL="0" distR="0" wp14:anchorId="11129AAF" wp14:editId="441060E2">
                <wp:extent cx="1652905" cy="2419985"/>
                <wp:effectExtent l="0" t="0" r="4445" b="0"/>
                <wp:docPr id="6" name="Text Box 2" descr="How: &#10;Prosecution&#10;Cancel security program&#10;&#10;Infringement notice&#10;Compliance control direction&#10;Vary/revise security program&#10;&#10;Non-compliance notice&#10;Observations&#10;Corrective action plans&#10;&#10;Practical policy&#10;Industry guidance and education&#10;Just culture and use of judgement&#10;Information to industry on National Compliance Plan&#10;">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2419985"/>
                        </a:xfrm>
                        <a:prstGeom prst="rect">
                          <a:avLst/>
                        </a:prstGeom>
                        <a:solidFill>
                          <a:srgbClr val="FFFFFF"/>
                        </a:solidFill>
                        <a:ln w="9525">
                          <a:noFill/>
                          <a:miter lim="800000"/>
                          <a:headEnd/>
                          <a:tailEnd/>
                        </a:ln>
                      </wps:spPr>
                      <wps:txbx>
                        <w:txbxContent>
                          <w:p w14:paraId="3E36FE3D" w14:textId="77777777" w:rsidR="00730ACC" w:rsidRPr="00082215" w:rsidRDefault="00730ACC">
                            <w:pPr>
                              <w:rPr>
                                <w:b/>
                                <w:color w:val="005D89" w:themeColor="accent2" w:themeTint="E6"/>
                                <w:sz w:val="16"/>
                              </w:rPr>
                            </w:pPr>
                            <w:r w:rsidRPr="00082215">
                              <w:rPr>
                                <w:b/>
                                <w:color w:val="005D89" w:themeColor="accent2" w:themeTint="E6"/>
                                <w:sz w:val="16"/>
                              </w:rPr>
                              <w:t xml:space="preserve">How: </w:t>
                            </w:r>
                          </w:p>
                          <w:p w14:paraId="5EC43516" w14:textId="77777777" w:rsidR="00730ACC" w:rsidRPr="00192D55" w:rsidRDefault="00730ACC" w:rsidP="00192D55">
                            <w:pPr>
                              <w:spacing w:after="120" w:line="180" w:lineRule="auto"/>
                              <w:rPr>
                                <w:sz w:val="14"/>
                              </w:rPr>
                            </w:pPr>
                            <w:r w:rsidRPr="00192D55">
                              <w:rPr>
                                <w:sz w:val="14"/>
                              </w:rPr>
                              <w:t>Prosecution</w:t>
                            </w:r>
                          </w:p>
                          <w:p w14:paraId="28357F69" w14:textId="77777777" w:rsidR="00730ACC" w:rsidRPr="00192D55" w:rsidRDefault="00730ACC" w:rsidP="00192D55">
                            <w:pPr>
                              <w:spacing w:after="120" w:line="180" w:lineRule="auto"/>
                              <w:rPr>
                                <w:sz w:val="14"/>
                              </w:rPr>
                            </w:pPr>
                            <w:r w:rsidRPr="00192D55">
                              <w:rPr>
                                <w:sz w:val="14"/>
                              </w:rPr>
                              <w:t>Cancel security program</w:t>
                            </w:r>
                          </w:p>
                          <w:p w14:paraId="2765A0A2" w14:textId="77777777" w:rsidR="00730ACC" w:rsidRPr="00192D55" w:rsidRDefault="00730ACC" w:rsidP="00192D55">
                            <w:pPr>
                              <w:spacing w:after="120" w:line="180" w:lineRule="auto"/>
                              <w:rPr>
                                <w:sz w:val="4"/>
                              </w:rPr>
                            </w:pPr>
                          </w:p>
                          <w:p w14:paraId="00D03741" w14:textId="77777777" w:rsidR="00730ACC" w:rsidRPr="00192D55" w:rsidRDefault="00730ACC" w:rsidP="00192D55">
                            <w:pPr>
                              <w:spacing w:after="120" w:line="180" w:lineRule="auto"/>
                              <w:rPr>
                                <w:sz w:val="14"/>
                              </w:rPr>
                            </w:pPr>
                            <w:r w:rsidRPr="00192D55">
                              <w:rPr>
                                <w:sz w:val="14"/>
                              </w:rPr>
                              <w:t>Infringement notice</w:t>
                            </w:r>
                          </w:p>
                          <w:p w14:paraId="4EE46844" w14:textId="77777777" w:rsidR="00730ACC" w:rsidRPr="00192D55" w:rsidRDefault="00730ACC" w:rsidP="00192D55">
                            <w:pPr>
                              <w:spacing w:after="120" w:line="180" w:lineRule="auto"/>
                              <w:rPr>
                                <w:sz w:val="14"/>
                              </w:rPr>
                            </w:pPr>
                            <w:r w:rsidRPr="00192D55">
                              <w:rPr>
                                <w:sz w:val="14"/>
                              </w:rPr>
                              <w:t>Compliance control direction</w:t>
                            </w:r>
                          </w:p>
                          <w:p w14:paraId="2B80E6A0" w14:textId="77777777" w:rsidR="00730ACC" w:rsidRDefault="00730ACC" w:rsidP="00192D55">
                            <w:pPr>
                              <w:spacing w:after="120" w:line="180" w:lineRule="auto"/>
                              <w:rPr>
                                <w:sz w:val="14"/>
                              </w:rPr>
                            </w:pPr>
                            <w:r w:rsidRPr="00192D55">
                              <w:rPr>
                                <w:sz w:val="14"/>
                              </w:rPr>
                              <w:t>Vary/revise security program</w:t>
                            </w:r>
                          </w:p>
                          <w:p w14:paraId="0B1C58FA" w14:textId="77777777" w:rsidR="00730ACC" w:rsidRPr="00192D55" w:rsidRDefault="00730ACC" w:rsidP="00192D55">
                            <w:pPr>
                              <w:spacing w:after="120" w:line="180" w:lineRule="auto"/>
                              <w:rPr>
                                <w:sz w:val="2"/>
                              </w:rPr>
                            </w:pPr>
                          </w:p>
                          <w:p w14:paraId="598E21EC" w14:textId="77777777" w:rsidR="00730ACC" w:rsidRDefault="00730ACC" w:rsidP="00192D55">
                            <w:pPr>
                              <w:spacing w:after="120" w:line="180" w:lineRule="auto"/>
                              <w:rPr>
                                <w:sz w:val="14"/>
                              </w:rPr>
                            </w:pPr>
                            <w:r>
                              <w:rPr>
                                <w:sz w:val="14"/>
                              </w:rPr>
                              <w:t>Non-compliance notice</w:t>
                            </w:r>
                          </w:p>
                          <w:p w14:paraId="3CB82FEE" w14:textId="77777777" w:rsidR="00730ACC" w:rsidRDefault="00730ACC" w:rsidP="00192D55">
                            <w:pPr>
                              <w:spacing w:after="120" w:line="180" w:lineRule="auto"/>
                              <w:rPr>
                                <w:sz w:val="14"/>
                              </w:rPr>
                            </w:pPr>
                            <w:r>
                              <w:rPr>
                                <w:sz w:val="14"/>
                              </w:rPr>
                              <w:t>Observations</w:t>
                            </w:r>
                          </w:p>
                          <w:p w14:paraId="01138519" w14:textId="77777777" w:rsidR="00730ACC" w:rsidRDefault="00730ACC" w:rsidP="00192D55">
                            <w:pPr>
                              <w:spacing w:after="120" w:line="180" w:lineRule="auto"/>
                              <w:rPr>
                                <w:sz w:val="14"/>
                              </w:rPr>
                            </w:pPr>
                            <w:r>
                              <w:rPr>
                                <w:sz w:val="14"/>
                              </w:rPr>
                              <w:t>Corrective action plans</w:t>
                            </w:r>
                          </w:p>
                          <w:p w14:paraId="64E5B612" w14:textId="77777777" w:rsidR="00730ACC" w:rsidRDefault="00730ACC" w:rsidP="00192D55">
                            <w:pPr>
                              <w:spacing w:after="120" w:line="180" w:lineRule="auto"/>
                              <w:rPr>
                                <w:sz w:val="2"/>
                              </w:rPr>
                            </w:pPr>
                          </w:p>
                          <w:p w14:paraId="5B86ADE6" w14:textId="77777777" w:rsidR="00730ACC" w:rsidRDefault="00730ACC" w:rsidP="00192D55">
                            <w:pPr>
                              <w:spacing w:after="120" w:line="180" w:lineRule="auto"/>
                              <w:rPr>
                                <w:sz w:val="14"/>
                              </w:rPr>
                            </w:pPr>
                            <w:r>
                              <w:rPr>
                                <w:sz w:val="14"/>
                              </w:rPr>
                              <w:t>Practical policy</w:t>
                            </w:r>
                          </w:p>
                          <w:p w14:paraId="58CA424B" w14:textId="77777777" w:rsidR="00730ACC" w:rsidRDefault="00730ACC" w:rsidP="00192D55">
                            <w:pPr>
                              <w:spacing w:after="120" w:line="180" w:lineRule="auto"/>
                              <w:rPr>
                                <w:sz w:val="14"/>
                              </w:rPr>
                            </w:pPr>
                            <w:r>
                              <w:rPr>
                                <w:sz w:val="14"/>
                              </w:rPr>
                              <w:t>Industry guidance and education</w:t>
                            </w:r>
                          </w:p>
                          <w:p w14:paraId="625E2D1B" w14:textId="77777777" w:rsidR="00730ACC" w:rsidRDefault="00730ACC" w:rsidP="00192D55">
                            <w:pPr>
                              <w:spacing w:after="120" w:line="180" w:lineRule="auto"/>
                              <w:rPr>
                                <w:sz w:val="14"/>
                              </w:rPr>
                            </w:pPr>
                            <w:r>
                              <w:rPr>
                                <w:sz w:val="14"/>
                              </w:rPr>
                              <w:t>Just culture and use of judgement</w:t>
                            </w:r>
                          </w:p>
                          <w:p w14:paraId="51F55A4C" w14:textId="77777777" w:rsidR="00730ACC" w:rsidRPr="00192D55" w:rsidRDefault="00730ACC" w:rsidP="00192D55">
                            <w:pPr>
                              <w:spacing w:after="120" w:line="180" w:lineRule="auto"/>
                              <w:rPr>
                                <w:sz w:val="14"/>
                              </w:rPr>
                            </w:pPr>
                            <w:r>
                              <w:rPr>
                                <w:sz w:val="14"/>
                              </w:rPr>
                              <w:t>Information to industry on National Compliance Plan</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129AAF" id="Text Box 2" o:spid="_x0000_s1027" type="#_x0000_t202" alt="How: &#10;Prosecution&#10;Cancel security program&#10;&#10;Infringement notice&#10;Compliance control direction&#10;Vary/revise security program&#10;&#10;Non-compliance notice&#10;Observations&#10;Corrective action plans&#10;&#10;Practical policy&#10;Industry guidance and education&#10;Just culture and use of judgement&#10;Information to industry on National Compliance Plan&#10;" style="width:130.15pt;height:19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" stroked="f">
                <v:textbox>
                  <w:txbxContent>
                    <w:p w14:paraId="3E36FE3D" w14:textId="77777777" w:rsidR="00730ACC" w:rsidRPr="00082215" w:rsidRDefault="00730ACC">
                      <w:pPr>
                        <w:rPr>
                          <w:b/>
                          <w:color w:val="005D89" w:themeColor="accent2" w:themeTint="E6"/>
                          <w:sz w:val="16"/>
                        </w:rPr>
                      </w:pPr>
                      <w:r w:rsidRPr="00082215">
                        <w:rPr>
                          <w:b/>
                          <w:color w:val="005D89" w:themeColor="accent2" w:themeTint="E6"/>
                          <w:sz w:val="16"/>
                        </w:rPr>
                        <w:t xml:space="preserve">How: </w:t>
                      </w:r>
                    </w:p>
                    <w:p w14:paraId="5EC43516" w14:textId="77777777" w:rsidR="00730ACC" w:rsidRPr="00192D55" w:rsidRDefault="00730ACC" w:rsidP="00192D55">
                      <w:pPr>
                        <w:spacing w:after="120" w:line="180" w:lineRule="auto"/>
                        <w:rPr>
                          <w:sz w:val="14"/>
                        </w:rPr>
                      </w:pPr>
                      <w:r w:rsidRPr="00192D55">
                        <w:rPr>
                          <w:sz w:val="14"/>
                        </w:rPr>
                        <w:t>Prosecution</w:t>
                      </w:r>
                    </w:p>
                    <w:p w14:paraId="28357F69" w14:textId="77777777" w:rsidR="00730ACC" w:rsidRPr="00192D55" w:rsidRDefault="00730ACC" w:rsidP="00192D55">
                      <w:pPr>
                        <w:spacing w:after="120" w:line="180" w:lineRule="auto"/>
                        <w:rPr>
                          <w:sz w:val="14"/>
                        </w:rPr>
                      </w:pPr>
                      <w:r w:rsidRPr="00192D55">
                        <w:rPr>
                          <w:sz w:val="14"/>
                        </w:rPr>
                        <w:t>Cancel security program</w:t>
                      </w:r>
                    </w:p>
                    <w:p w14:paraId="2765A0A2" w14:textId="77777777" w:rsidR="00730ACC" w:rsidRPr="00192D55" w:rsidRDefault="00730ACC" w:rsidP="00192D55">
                      <w:pPr>
                        <w:spacing w:after="120" w:line="180" w:lineRule="auto"/>
                        <w:rPr>
                          <w:sz w:val="4"/>
                        </w:rPr>
                      </w:pPr>
                    </w:p>
                    <w:p w14:paraId="00D03741" w14:textId="77777777" w:rsidR="00730ACC" w:rsidRPr="00192D55" w:rsidRDefault="00730ACC" w:rsidP="00192D55">
                      <w:pPr>
                        <w:spacing w:after="120" w:line="180" w:lineRule="auto"/>
                        <w:rPr>
                          <w:sz w:val="14"/>
                        </w:rPr>
                      </w:pPr>
                      <w:r w:rsidRPr="00192D55">
                        <w:rPr>
                          <w:sz w:val="14"/>
                        </w:rPr>
                        <w:t>Infringement notice</w:t>
                      </w:r>
                    </w:p>
                    <w:p w14:paraId="4EE46844" w14:textId="77777777" w:rsidR="00730ACC" w:rsidRPr="00192D55" w:rsidRDefault="00730ACC" w:rsidP="00192D55">
                      <w:pPr>
                        <w:spacing w:after="120" w:line="180" w:lineRule="auto"/>
                        <w:rPr>
                          <w:sz w:val="14"/>
                        </w:rPr>
                      </w:pPr>
                      <w:r w:rsidRPr="00192D55">
                        <w:rPr>
                          <w:sz w:val="14"/>
                        </w:rPr>
                        <w:t>Compliance control direction</w:t>
                      </w:r>
                    </w:p>
                    <w:p w14:paraId="2B80E6A0" w14:textId="77777777" w:rsidR="00730ACC" w:rsidRDefault="00730ACC" w:rsidP="00192D55">
                      <w:pPr>
                        <w:spacing w:after="120" w:line="180" w:lineRule="auto"/>
                        <w:rPr>
                          <w:sz w:val="14"/>
                        </w:rPr>
                      </w:pPr>
                      <w:r w:rsidRPr="00192D55">
                        <w:rPr>
                          <w:sz w:val="14"/>
                        </w:rPr>
                        <w:t>Vary/revise security program</w:t>
                      </w:r>
                    </w:p>
                    <w:p w14:paraId="0B1C58FA" w14:textId="77777777" w:rsidR="00730ACC" w:rsidRPr="00192D55" w:rsidRDefault="00730ACC" w:rsidP="00192D55">
                      <w:pPr>
                        <w:spacing w:after="120" w:line="180" w:lineRule="auto"/>
                        <w:rPr>
                          <w:sz w:val="2"/>
                        </w:rPr>
                      </w:pPr>
                    </w:p>
                    <w:p w14:paraId="598E21EC" w14:textId="77777777" w:rsidR="00730ACC" w:rsidRDefault="00730ACC" w:rsidP="00192D55">
                      <w:pPr>
                        <w:spacing w:after="120" w:line="180" w:lineRule="auto"/>
                        <w:rPr>
                          <w:sz w:val="14"/>
                        </w:rPr>
                      </w:pPr>
                      <w:r>
                        <w:rPr>
                          <w:sz w:val="14"/>
                        </w:rPr>
                        <w:t>Non-compliance notice</w:t>
                      </w:r>
                    </w:p>
                    <w:p w14:paraId="3CB82FEE" w14:textId="77777777" w:rsidR="00730ACC" w:rsidRDefault="00730ACC" w:rsidP="00192D55">
                      <w:pPr>
                        <w:spacing w:after="120" w:line="180" w:lineRule="auto"/>
                        <w:rPr>
                          <w:sz w:val="14"/>
                        </w:rPr>
                      </w:pPr>
                      <w:r>
                        <w:rPr>
                          <w:sz w:val="14"/>
                        </w:rPr>
                        <w:t>Observations</w:t>
                      </w:r>
                    </w:p>
                    <w:p w14:paraId="01138519" w14:textId="77777777" w:rsidR="00730ACC" w:rsidRDefault="00730ACC" w:rsidP="00192D55">
                      <w:pPr>
                        <w:spacing w:after="120" w:line="180" w:lineRule="auto"/>
                        <w:rPr>
                          <w:sz w:val="14"/>
                        </w:rPr>
                      </w:pPr>
                      <w:r>
                        <w:rPr>
                          <w:sz w:val="14"/>
                        </w:rPr>
                        <w:t>Corrective action plans</w:t>
                      </w:r>
                    </w:p>
                    <w:p w14:paraId="64E5B612" w14:textId="77777777" w:rsidR="00730ACC" w:rsidRDefault="00730ACC" w:rsidP="00192D55">
                      <w:pPr>
                        <w:spacing w:after="120" w:line="180" w:lineRule="auto"/>
                        <w:rPr>
                          <w:sz w:val="2"/>
                        </w:rPr>
                      </w:pPr>
                    </w:p>
                    <w:p w14:paraId="5B86ADE6" w14:textId="77777777" w:rsidR="00730ACC" w:rsidRDefault="00730ACC" w:rsidP="00192D55">
                      <w:pPr>
                        <w:spacing w:after="120" w:line="180" w:lineRule="auto"/>
                        <w:rPr>
                          <w:sz w:val="14"/>
                        </w:rPr>
                      </w:pPr>
                      <w:r>
                        <w:rPr>
                          <w:sz w:val="14"/>
                        </w:rPr>
                        <w:t>Practical policy</w:t>
                      </w:r>
                    </w:p>
                    <w:p w14:paraId="58CA424B" w14:textId="77777777" w:rsidR="00730ACC" w:rsidRDefault="00730ACC" w:rsidP="00192D55">
                      <w:pPr>
                        <w:spacing w:after="120" w:line="180" w:lineRule="auto"/>
                        <w:rPr>
                          <w:sz w:val="14"/>
                        </w:rPr>
                      </w:pPr>
                      <w:r>
                        <w:rPr>
                          <w:sz w:val="14"/>
                        </w:rPr>
                        <w:t>Industry guidance and education</w:t>
                      </w:r>
                    </w:p>
                    <w:p w14:paraId="625E2D1B" w14:textId="77777777" w:rsidR="00730ACC" w:rsidRDefault="00730ACC" w:rsidP="00192D55">
                      <w:pPr>
                        <w:spacing w:after="120" w:line="180" w:lineRule="auto"/>
                        <w:rPr>
                          <w:sz w:val="14"/>
                        </w:rPr>
                      </w:pPr>
                      <w:r>
                        <w:rPr>
                          <w:sz w:val="14"/>
                        </w:rPr>
                        <w:t>Just culture and use of judgement</w:t>
                      </w:r>
                    </w:p>
                    <w:p w14:paraId="51F55A4C" w14:textId="77777777" w:rsidR="00730ACC" w:rsidRPr="00192D55" w:rsidRDefault="00730ACC" w:rsidP="00192D55">
                      <w:pPr>
                        <w:spacing w:after="120" w:line="180" w:lineRule="auto"/>
                        <w:rPr>
                          <w:sz w:val="14"/>
                        </w:rPr>
                      </w:pPr>
                      <w:r>
                        <w:rPr>
                          <w:sz w:val="14"/>
                        </w:rPr>
                        <w:t>Information to industry on National Compliance Plan</w:t>
                      </w:r>
                    </w:p>
                  </w:txbxContent>
                </v:textbox>
                <w10:anchorlock/>
              </v:shape>
            </w:pict>
          </mc:Fallback>
        </mc:AlternateContent>
      </w:r>
    </w:p>
    <w:p w14:paraId="22D8126D" w14:textId="712CDBBC" w:rsidR="00192D55" w:rsidRPr="00B16E6B" w:rsidRDefault="00192D55" w:rsidP="009613E1">
      <w:pPr>
        <w:spacing w:line="271" w:lineRule="auto"/>
        <w:rPr>
          <w:rFonts w:eastAsia="Times New Roman"/>
          <w:lang w:eastAsia="en-AU"/>
        </w:rPr>
      </w:pPr>
    </w:p>
    <w:p w14:paraId="5647A522" w14:textId="77777777" w:rsidR="00C32B22" w:rsidRPr="00B16E6B" w:rsidRDefault="00C32B22" w:rsidP="009613E1">
      <w:pPr>
        <w:spacing w:line="271" w:lineRule="auto"/>
        <w:rPr>
          <w:rFonts w:eastAsia="Times New Roman"/>
          <w:lang w:eastAsia="en-AU"/>
        </w:rPr>
      </w:pPr>
      <w:r w:rsidRPr="00B16E6B">
        <w:rPr>
          <w:rFonts w:eastAsia="Times New Roman"/>
          <w:lang w:eastAsia="en-AU"/>
        </w:rPr>
        <w:t xml:space="preserve">When assessing non-compliance and determining an appropriate response, the department will consider the following </w:t>
      </w:r>
      <w:r w:rsidR="00083367" w:rsidRPr="00B16E6B">
        <w:rPr>
          <w:rFonts w:eastAsia="Times New Roman"/>
          <w:lang w:eastAsia="en-AU"/>
        </w:rPr>
        <w:t xml:space="preserve">3 </w:t>
      </w:r>
      <w:r w:rsidRPr="00B16E6B">
        <w:rPr>
          <w:rFonts w:eastAsia="Times New Roman"/>
          <w:lang w:eastAsia="en-AU"/>
        </w:rPr>
        <w:t xml:space="preserve">factors: </w:t>
      </w:r>
    </w:p>
    <w:p w14:paraId="1596E96A" w14:textId="77777777" w:rsidR="00C32B22" w:rsidRPr="00B16E6B" w:rsidRDefault="00C32B22" w:rsidP="00A11AF5">
      <w:pPr>
        <w:pStyle w:val="BulletedList-Level1"/>
        <w:numPr>
          <w:ilvl w:val="0"/>
          <w:numId w:val="58"/>
        </w:numPr>
        <w:spacing w:after="120" w:line="271" w:lineRule="auto"/>
        <w:contextualSpacing w:val="0"/>
        <w:rPr>
          <w:rFonts w:eastAsia="Times New Roman"/>
          <w:lang w:eastAsia="en-AU"/>
        </w:rPr>
      </w:pPr>
      <w:r w:rsidRPr="00B16E6B">
        <w:rPr>
          <w:rFonts w:eastAsia="Times New Roman"/>
          <w:b/>
          <w:lang w:eastAsia="en-AU"/>
        </w:rPr>
        <w:t>Risk</w:t>
      </w:r>
      <w:r w:rsidRPr="00B16E6B">
        <w:rPr>
          <w:rFonts w:eastAsia="Times New Roman"/>
          <w:lang w:eastAsia="en-AU"/>
        </w:rPr>
        <w:t xml:space="preserve"> - What is the impact of non-compliance on Australia’s national security? What is the nature of the risk? What solutions are available and how effective are they? </w:t>
      </w:r>
    </w:p>
    <w:p w14:paraId="598535BD" w14:textId="77777777" w:rsidR="00C32B22" w:rsidRPr="00B16E6B" w:rsidRDefault="00C32B22" w:rsidP="00A11AF5">
      <w:pPr>
        <w:pStyle w:val="BulletedList-Level1"/>
        <w:numPr>
          <w:ilvl w:val="0"/>
          <w:numId w:val="58"/>
        </w:numPr>
        <w:spacing w:after="120" w:line="271" w:lineRule="auto"/>
        <w:contextualSpacing w:val="0"/>
        <w:rPr>
          <w:rFonts w:eastAsia="Times New Roman"/>
          <w:lang w:eastAsia="en-AU"/>
        </w:rPr>
      </w:pPr>
      <w:r w:rsidRPr="00B16E6B">
        <w:rPr>
          <w:rFonts w:eastAsia="Times New Roman"/>
          <w:b/>
          <w:lang w:eastAsia="en-AU"/>
        </w:rPr>
        <w:t>Proportionality</w:t>
      </w:r>
      <w:r w:rsidRPr="00B16E6B">
        <w:rPr>
          <w:rFonts w:eastAsia="Times New Roman"/>
          <w:lang w:eastAsia="en-AU"/>
        </w:rPr>
        <w:t xml:space="preserve"> - How serious is the risk? Are there any aggravating circumstances? </w:t>
      </w:r>
    </w:p>
    <w:p w14:paraId="666B7045" w14:textId="77777777" w:rsidR="00C32B22" w:rsidRPr="00B16E6B" w:rsidRDefault="00C32B22" w:rsidP="00A11AF5">
      <w:pPr>
        <w:pStyle w:val="BulletedList-Level1"/>
        <w:numPr>
          <w:ilvl w:val="0"/>
          <w:numId w:val="58"/>
        </w:numPr>
        <w:spacing w:after="120" w:line="271" w:lineRule="auto"/>
        <w:contextualSpacing w:val="0"/>
        <w:rPr>
          <w:rFonts w:eastAsia="Times New Roman"/>
          <w:lang w:eastAsia="en-AU"/>
        </w:rPr>
      </w:pPr>
      <w:r w:rsidRPr="00B16E6B">
        <w:rPr>
          <w:rFonts w:eastAsia="Times New Roman"/>
          <w:b/>
          <w:lang w:eastAsia="en-AU"/>
        </w:rPr>
        <w:t xml:space="preserve">Entity’s </w:t>
      </w:r>
      <w:r w:rsidR="00A649CD" w:rsidRPr="00B16E6B">
        <w:rPr>
          <w:rFonts w:eastAsia="Times New Roman"/>
          <w:b/>
          <w:lang w:eastAsia="en-AU"/>
        </w:rPr>
        <w:t>e</w:t>
      </w:r>
      <w:r w:rsidRPr="00B16E6B">
        <w:rPr>
          <w:rFonts w:eastAsia="Times New Roman"/>
          <w:b/>
          <w:lang w:eastAsia="en-AU"/>
        </w:rPr>
        <w:t>ngagement</w:t>
      </w:r>
      <w:r w:rsidRPr="00B16E6B">
        <w:rPr>
          <w:rFonts w:eastAsia="Times New Roman"/>
          <w:lang w:eastAsia="en-AU"/>
        </w:rPr>
        <w:t xml:space="preserve"> - What is the entity’s attitude towards compliance? How cooperative is the entity, based on engagement with the Department and their compliance history? </w:t>
      </w:r>
    </w:p>
    <w:p w14:paraId="6FC62E58" w14:textId="77777777" w:rsidR="00094E1A" w:rsidRPr="00B16E6B" w:rsidRDefault="00C32B22" w:rsidP="009613E1">
      <w:pPr>
        <w:pStyle w:val="NormalWeb"/>
        <w:shd w:val="clear" w:color="auto" w:fill="FFFFFF" w:themeFill="background1"/>
        <w:spacing w:before="240" w:beforeAutospacing="0" w:after="160" w:afterAutospacing="0" w:line="271" w:lineRule="auto"/>
        <w:rPr>
          <w:rFonts w:asciiTheme="minorHAnsi" w:eastAsia="Times New Roman" w:hAnsiTheme="minorHAnsi"/>
        </w:rPr>
      </w:pPr>
      <w:r w:rsidRPr="00B16E6B">
        <w:rPr>
          <w:rFonts w:asciiTheme="minorHAnsi" w:eastAsia="Times New Roman" w:hAnsiTheme="minorHAnsi"/>
          <w:sz w:val="24"/>
        </w:rPr>
        <w:t xml:space="preserve">This approach will not impact on the transition period proposed by the department for expanded </w:t>
      </w:r>
      <w:r w:rsidRPr="00B16E6B">
        <w:rPr>
          <w:rFonts w:asciiTheme="minorHAnsi" w:eastAsia="Times New Roman" w:hAnsiTheme="minorHAnsi"/>
        </w:rPr>
        <w:t>obligations which arise from the regulatory proposals contemplated in this IA.</w:t>
      </w:r>
    </w:p>
    <w:p w14:paraId="32B25454" w14:textId="66BD71C7" w:rsidR="009E6A26" w:rsidRPr="00B16E6B" w:rsidRDefault="009E6A26" w:rsidP="009613E1">
      <w:pPr>
        <w:pStyle w:val="Heading3"/>
        <w:spacing w:line="271" w:lineRule="auto"/>
        <w:rPr>
          <w:rFonts w:eastAsia="Times New Roman" w:cstheme="majorBidi"/>
          <w:sz w:val="36"/>
          <w:szCs w:val="28"/>
          <w:lang w:eastAsia="en-AU"/>
        </w:rPr>
      </w:pPr>
      <w:r w:rsidRPr="00B16E6B">
        <w:t>6.1.</w:t>
      </w:r>
      <w:r w:rsidR="00DE3EF7" w:rsidRPr="00B16E6B">
        <w:t>3</w:t>
      </w:r>
      <w:r w:rsidRPr="00B16E6B">
        <w:t xml:space="preserve"> Challenges and risks to implementation</w:t>
      </w:r>
    </w:p>
    <w:p w14:paraId="7E59F699" w14:textId="7B252B1A" w:rsidR="009E6A26" w:rsidRPr="00B16E6B" w:rsidRDefault="009E6A26" w:rsidP="009613E1">
      <w:pPr>
        <w:spacing w:line="271" w:lineRule="auto"/>
        <w:rPr>
          <w:rFonts w:eastAsia="Times New Roman"/>
          <w:lang w:eastAsia="en-AU"/>
        </w:rPr>
      </w:pPr>
      <w:r w:rsidRPr="00B16E6B">
        <w:rPr>
          <w:rFonts w:eastAsia="Times New Roman"/>
          <w:lang w:eastAsia="en-AU"/>
        </w:rPr>
        <w:t>There are several challenges an</w:t>
      </w:r>
      <w:r w:rsidR="00997388" w:rsidRPr="00B16E6B">
        <w:rPr>
          <w:rFonts w:eastAsia="Times New Roman"/>
          <w:lang w:eastAsia="en-AU"/>
        </w:rPr>
        <w:t>d risks which could impede the d</w:t>
      </w:r>
      <w:r w:rsidRPr="00B16E6B">
        <w:rPr>
          <w:rFonts w:eastAsia="Times New Roman"/>
          <w:lang w:eastAsia="en-AU"/>
        </w:rPr>
        <w:t>epartment’</w:t>
      </w:r>
      <w:r w:rsidR="00406043" w:rsidRPr="00B16E6B">
        <w:rPr>
          <w:rFonts w:eastAsia="Times New Roman"/>
          <w:lang w:eastAsia="en-AU"/>
        </w:rPr>
        <w:t>s successful implementation of o</w:t>
      </w:r>
      <w:r w:rsidRPr="00B16E6B">
        <w:rPr>
          <w:rFonts w:eastAsia="Times New Roman"/>
          <w:lang w:eastAsia="en-AU"/>
        </w:rPr>
        <w:t>ption 4. These challen</w:t>
      </w:r>
      <w:r w:rsidR="00AE00AF" w:rsidRPr="00B16E6B">
        <w:rPr>
          <w:rFonts w:eastAsia="Times New Roman"/>
          <w:lang w:eastAsia="en-AU"/>
        </w:rPr>
        <w:t xml:space="preserve">ges and risks are identified in </w:t>
      </w:r>
      <w:r w:rsidR="00E2411D" w:rsidRPr="00B16E6B">
        <w:rPr>
          <w:rFonts w:eastAsia="Times New Roman"/>
          <w:lang w:eastAsia="en-AU"/>
        </w:rPr>
        <w:t>table</w:t>
      </w:r>
      <w:r w:rsidR="00AE00AF" w:rsidRPr="00B16E6B">
        <w:rPr>
          <w:rFonts w:eastAsia="Times New Roman"/>
          <w:lang w:eastAsia="en-AU"/>
        </w:rPr>
        <w:t xml:space="preserve"> </w:t>
      </w:r>
      <w:r w:rsidR="00FD673D" w:rsidRPr="00B16E6B">
        <w:rPr>
          <w:rFonts w:eastAsia="Times New Roman"/>
          <w:lang w:eastAsia="en-AU"/>
        </w:rPr>
        <w:t>2</w:t>
      </w:r>
      <w:r w:rsidR="00A027FB" w:rsidRPr="00B16E6B">
        <w:rPr>
          <w:rFonts w:eastAsia="Times New Roman"/>
          <w:lang w:eastAsia="en-AU"/>
        </w:rPr>
        <w:t>7</w:t>
      </w:r>
      <w:r w:rsidR="00FD673D" w:rsidRPr="00B16E6B">
        <w:rPr>
          <w:rFonts w:eastAsia="Times New Roman"/>
          <w:lang w:eastAsia="en-AU"/>
        </w:rPr>
        <w:t xml:space="preserve"> </w:t>
      </w:r>
      <w:r w:rsidRPr="00B16E6B">
        <w:rPr>
          <w:rFonts w:eastAsia="Times New Roman"/>
          <w:lang w:eastAsia="en-AU"/>
        </w:rPr>
        <w:t>below, and rated in terms of their likelihood and</w:t>
      </w:r>
      <w:r w:rsidR="00AE00AF" w:rsidRPr="00B16E6B">
        <w:rPr>
          <w:rFonts w:eastAsia="Times New Roman"/>
          <w:lang w:eastAsia="en-AU"/>
        </w:rPr>
        <w:t xml:space="preserve"> consequence, in accordance with </w:t>
      </w:r>
      <w:r w:rsidR="00E2411D" w:rsidRPr="00B16E6B">
        <w:rPr>
          <w:rFonts w:eastAsia="Times New Roman"/>
          <w:lang w:eastAsia="en-AU"/>
        </w:rPr>
        <w:t>table</w:t>
      </w:r>
      <w:r w:rsidR="00AE00AF" w:rsidRPr="00B16E6B">
        <w:rPr>
          <w:rFonts w:eastAsia="Times New Roman"/>
          <w:lang w:eastAsia="en-AU"/>
        </w:rPr>
        <w:t xml:space="preserve"> 2</w:t>
      </w:r>
      <w:r w:rsidR="00A027FB" w:rsidRPr="00B16E6B">
        <w:rPr>
          <w:rFonts w:eastAsia="Times New Roman"/>
          <w:lang w:eastAsia="en-AU"/>
        </w:rPr>
        <w:t>6</w:t>
      </w:r>
      <w:r w:rsidRPr="00B16E6B">
        <w:rPr>
          <w:rFonts w:eastAsia="Times New Roman"/>
          <w:lang w:eastAsia="en-AU"/>
        </w:rPr>
        <w:t xml:space="preserve">. </w:t>
      </w:r>
    </w:p>
    <w:p w14:paraId="5C5654D9" w14:textId="77777777" w:rsidR="00F43075" w:rsidRPr="00B16E6B" w:rsidRDefault="00F43075" w:rsidP="009613E1">
      <w:pPr>
        <w:spacing w:after="200" w:line="271" w:lineRule="auto"/>
        <w:rPr>
          <w:rFonts w:ascii="Arial" w:eastAsia="Times New Roman" w:hAnsi="Arial" w:cs="Arial"/>
          <w:b/>
          <w:bCs/>
          <w:i/>
          <w:iCs/>
          <w:color w:val="44546A"/>
          <w:sz w:val="18"/>
          <w:szCs w:val="18"/>
          <w:lang w:eastAsia="en-AU"/>
        </w:rPr>
      </w:pPr>
      <w:bookmarkStart w:id="35" w:name="_Ref163737272"/>
      <w:r w:rsidRPr="00B16E6B">
        <w:rPr>
          <w:rFonts w:ascii="Arial" w:eastAsia="Times New Roman" w:hAnsi="Arial" w:cs="Arial"/>
          <w:i/>
          <w:iCs/>
          <w:smallCaps/>
          <w:color w:val="44546A"/>
          <w:sz w:val="18"/>
          <w:szCs w:val="18"/>
          <w:lang w:eastAsia="en-AU"/>
        </w:rPr>
        <w:br w:type="page"/>
      </w:r>
    </w:p>
    <w:p w14:paraId="7702000A" w14:textId="417124DC" w:rsidR="009E6A26" w:rsidRPr="00B16E6B" w:rsidRDefault="009E6A26" w:rsidP="009613E1">
      <w:pPr>
        <w:pStyle w:val="Caption"/>
        <w:spacing w:after="60" w:line="271" w:lineRule="auto"/>
        <w:rPr>
          <w:rFonts w:ascii="Arial" w:eastAsia="Times New Roman" w:hAnsi="Arial" w:cs="Arial"/>
          <w:b w:val="0"/>
          <w:i/>
          <w:iCs/>
          <w:smallCaps w:val="0"/>
          <w:color w:val="44546A"/>
          <w:sz w:val="18"/>
          <w:szCs w:val="18"/>
          <w:lang w:eastAsia="en-AU"/>
        </w:rPr>
      </w:pPr>
      <w:r w:rsidRPr="00B16E6B">
        <w:rPr>
          <w:rFonts w:ascii="Arial" w:eastAsia="Times New Roman" w:hAnsi="Arial" w:cs="Arial"/>
          <w:i/>
          <w:iCs/>
          <w:smallCaps w:val="0"/>
          <w:color w:val="44546A"/>
          <w:sz w:val="18"/>
          <w:szCs w:val="18"/>
          <w:lang w:eastAsia="en-AU"/>
        </w:rPr>
        <w:lastRenderedPageBreak/>
        <w:t xml:space="preserve">Table </w:t>
      </w:r>
      <w:bookmarkEnd w:id="35"/>
      <w:r w:rsidR="00A027FB" w:rsidRPr="00B16E6B">
        <w:rPr>
          <w:rFonts w:ascii="Arial" w:eastAsia="Times New Roman" w:hAnsi="Arial" w:cs="Arial"/>
          <w:i/>
          <w:iCs/>
          <w:smallCaps w:val="0"/>
          <w:color w:val="44546A"/>
          <w:sz w:val="18"/>
          <w:szCs w:val="18"/>
          <w:lang w:eastAsia="en-AU"/>
        </w:rPr>
        <w:t>26</w:t>
      </w:r>
      <w:r w:rsidR="00FD673D" w:rsidRPr="00B16E6B">
        <w:rPr>
          <w:rFonts w:ascii="Arial" w:eastAsia="Times New Roman" w:hAnsi="Arial" w:cs="Arial"/>
          <w:i/>
          <w:iCs/>
          <w:smallCaps w:val="0"/>
          <w:color w:val="44546A"/>
          <w:sz w:val="18"/>
          <w:szCs w:val="18"/>
          <w:lang w:eastAsia="en-AU"/>
        </w:rPr>
        <w:t>:</w:t>
      </w:r>
      <w:r w:rsidRPr="00B16E6B">
        <w:rPr>
          <w:rFonts w:ascii="Arial" w:eastAsia="Times New Roman" w:hAnsi="Arial" w:cs="Arial"/>
          <w:b w:val="0"/>
          <w:i/>
          <w:iCs/>
          <w:smallCaps w:val="0"/>
          <w:color w:val="44546A"/>
          <w:sz w:val="18"/>
          <w:szCs w:val="18"/>
          <w:lang w:eastAsia="en-AU"/>
        </w:rPr>
        <w:t xml:space="preserve"> Likelihood and consequence ratings</w:t>
      </w:r>
    </w:p>
    <w:tbl>
      <w:tblPr>
        <w:tblStyle w:val="TableGridLight"/>
        <w:tblW w:w="9214"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6"/>
        <w:gridCol w:w="3060"/>
        <w:gridCol w:w="1618"/>
        <w:gridCol w:w="3260"/>
      </w:tblGrid>
      <w:tr w:rsidR="00CD4306" w:rsidRPr="00B16E6B" w14:paraId="12F19830" w14:textId="77777777" w:rsidTr="00CD4306">
        <w:trPr>
          <w:trHeight w:val="300"/>
        </w:trPr>
        <w:tc>
          <w:tcPr>
            <w:tcW w:w="1276" w:type="dxa"/>
            <w:tcBorders>
              <w:top w:val="nil"/>
              <w:left w:val="nil"/>
              <w:bottom w:val="single" w:sz="4" w:space="0" w:color="BFBFBF" w:themeColor="background1" w:themeShade="BF"/>
              <w:right w:val="single" w:sz="4" w:space="0" w:color="BFBFBF" w:themeColor="background1" w:themeShade="BF"/>
            </w:tcBorders>
            <w:shd w:val="clear" w:color="auto" w:fill="1C2B39" w:themeFill="accent1"/>
            <w:vAlign w:val="center"/>
            <w:hideMark/>
          </w:tcPr>
          <w:p w14:paraId="5EBE2404" w14:textId="77777777" w:rsidR="00CD4306" w:rsidRPr="00B16E6B" w:rsidRDefault="00CD4306" w:rsidP="009613E1">
            <w:pPr>
              <w:spacing w:before="120" w:after="120" w:line="271" w:lineRule="auto"/>
              <w:rPr>
                <w:rFonts w:cs="Arial"/>
                <w:b/>
                <w:bCs/>
                <w:szCs w:val="20"/>
              </w:rPr>
            </w:pPr>
            <w:r w:rsidRPr="00B16E6B">
              <w:rPr>
                <w:rFonts w:cs="Arial"/>
                <w:b/>
                <w:bCs/>
                <w:szCs w:val="20"/>
              </w:rPr>
              <w:t>Likelihood</w:t>
            </w:r>
          </w:p>
        </w:tc>
        <w:tc>
          <w:tcPr>
            <w:tcW w:w="3060" w:type="dxa"/>
            <w:tcBorders>
              <w:top w:val="nil"/>
              <w:left w:val="nil"/>
              <w:bottom w:val="single" w:sz="4" w:space="0" w:color="BFBFBF" w:themeColor="background1" w:themeShade="BF"/>
              <w:right w:val="single" w:sz="4" w:space="0" w:color="BFBFBF" w:themeColor="background1" w:themeShade="BF"/>
            </w:tcBorders>
            <w:shd w:val="clear" w:color="auto" w:fill="1C2B39" w:themeFill="accent1"/>
            <w:vAlign w:val="center"/>
          </w:tcPr>
          <w:p w14:paraId="22C87F76" w14:textId="1AD70D0A" w:rsidR="00CD4306" w:rsidRPr="00B16E6B" w:rsidRDefault="00CD4306" w:rsidP="009613E1">
            <w:pPr>
              <w:spacing w:before="120" w:after="120" w:line="271" w:lineRule="auto"/>
              <w:rPr>
                <w:rFonts w:cs="Arial"/>
                <w:b/>
                <w:bCs/>
                <w:szCs w:val="20"/>
              </w:rPr>
            </w:pPr>
          </w:p>
        </w:tc>
        <w:tc>
          <w:tcPr>
            <w:tcW w:w="1618" w:type="dxa"/>
            <w:tcBorders>
              <w:top w:val="nil"/>
              <w:left w:val="single" w:sz="4" w:space="0" w:color="BFBFBF" w:themeColor="background1" w:themeShade="BF"/>
              <w:bottom w:val="single" w:sz="4" w:space="0" w:color="BFBFBF" w:themeColor="background1" w:themeShade="BF"/>
              <w:right w:val="nil"/>
            </w:tcBorders>
            <w:shd w:val="clear" w:color="auto" w:fill="1C2B39" w:themeFill="accent1"/>
            <w:hideMark/>
          </w:tcPr>
          <w:p w14:paraId="0255F088" w14:textId="77777777" w:rsidR="00CD4306" w:rsidRPr="00B16E6B" w:rsidRDefault="00CD4306" w:rsidP="009613E1">
            <w:pPr>
              <w:spacing w:before="120" w:after="120" w:line="271" w:lineRule="auto"/>
              <w:rPr>
                <w:rFonts w:cs="Arial"/>
                <w:b/>
                <w:bCs/>
                <w:szCs w:val="20"/>
              </w:rPr>
            </w:pPr>
            <w:r w:rsidRPr="00B16E6B">
              <w:rPr>
                <w:rFonts w:cs="Arial"/>
                <w:b/>
                <w:bCs/>
                <w:szCs w:val="20"/>
              </w:rPr>
              <w:t>Consequence</w:t>
            </w:r>
          </w:p>
        </w:tc>
        <w:tc>
          <w:tcPr>
            <w:tcW w:w="3260" w:type="dxa"/>
            <w:tcBorders>
              <w:top w:val="nil"/>
              <w:left w:val="single" w:sz="4" w:space="0" w:color="BFBFBF" w:themeColor="background1" w:themeShade="BF"/>
              <w:bottom w:val="single" w:sz="4" w:space="0" w:color="BFBFBF" w:themeColor="background1" w:themeShade="BF"/>
              <w:right w:val="nil"/>
            </w:tcBorders>
            <w:shd w:val="clear" w:color="auto" w:fill="1C2B39" w:themeFill="accent1"/>
          </w:tcPr>
          <w:p w14:paraId="00CEA737" w14:textId="14D64481" w:rsidR="00CD4306" w:rsidRPr="00B16E6B" w:rsidRDefault="00CD4306" w:rsidP="009613E1">
            <w:pPr>
              <w:spacing w:before="120" w:after="120" w:line="271" w:lineRule="auto"/>
              <w:rPr>
                <w:rFonts w:cs="Arial"/>
                <w:b/>
                <w:bCs/>
                <w:szCs w:val="20"/>
              </w:rPr>
            </w:pPr>
          </w:p>
        </w:tc>
      </w:tr>
      <w:tr w:rsidR="009E6A26" w:rsidRPr="00B16E6B" w14:paraId="46CFB5D5" w14:textId="77777777" w:rsidTr="00CD4306">
        <w:trPr>
          <w:trHeight w:val="300"/>
        </w:trPr>
        <w:tc>
          <w:tcPr>
            <w:tcW w:w="127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9682D8C" w14:textId="77777777" w:rsidR="009E6A26" w:rsidRPr="00B16E6B" w:rsidRDefault="009E6A26" w:rsidP="009613E1">
            <w:pPr>
              <w:spacing w:before="60" w:after="60" w:line="271" w:lineRule="auto"/>
              <w:contextualSpacing/>
              <w:rPr>
                <w:rFonts w:cs="Arial"/>
                <w:b/>
                <w:bCs/>
                <w:szCs w:val="20"/>
              </w:rPr>
            </w:pPr>
            <w:r w:rsidRPr="00B16E6B">
              <w:rPr>
                <w:rFonts w:cs="Arial"/>
                <w:b/>
                <w:bCs/>
                <w:szCs w:val="20"/>
              </w:rPr>
              <w:t>Low</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A83D79" w14:textId="77777777" w:rsidR="009E6A26" w:rsidRPr="00B16E6B" w:rsidRDefault="009E6A26" w:rsidP="009613E1">
            <w:pPr>
              <w:spacing w:before="60" w:after="60" w:line="271" w:lineRule="auto"/>
              <w:contextualSpacing/>
              <w:rPr>
                <w:rFonts w:cs="Arial"/>
                <w:szCs w:val="20"/>
              </w:rPr>
            </w:pPr>
            <w:r w:rsidRPr="00B16E6B">
              <w:rPr>
                <w:rFonts w:cs="Arial"/>
                <w:szCs w:val="20"/>
              </w:rPr>
              <w:t>The identified risk or challenge is unlikely to eventuate</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4E3" w:themeFill="accent1" w:themeFillTint="33"/>
            <w:vAlign w:val="center"/>
            <w:hideMark/>
          </w:tcPr>
          <w:p w14:paraId="2D4B1271" w14:textId="77777777" w:rsidR="009E6A26" w:rsidRPr="00B16E6B" w:rsidRDefault="009E6A26" w:rsidP="009613E1">
            <w:pPr>
              <w:spacing w:before="60" w:after="60" w:line="271" w:lineRule="auto"/>
              <w:rPr>
                <w:rFonts w:cs="Arial"/>
                <w:b/>
                <w:bCs/>
                <w:szCs w:val="20"/>
              </w:rPr>
            </w:pPr>
            <w:r w:rsidRPr="00B16E6B">
              <w:rPr>
                <w:rFonts w:cs="Arial"/>
                <w:b/>
                <w:bCs/>
                <w:szCs w:val="20"/>
              </w:rPr>
              <w:t>Minimal</w:t>
            </w:r>
          </w:p>
        </w:tc>
        <w:tc>
          <w:tcPr>
            <w:tcW w:w="32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340F3778" w14:textId="77777777" w:rsidR="009E6A26" w:rsidRPr="00B16E6B" w:rsidRDefault="009E6A26" w:rsidP="009613E1">
            <w:pPr>
              <w:spacing w:before="60" w:after="60" w:line="271" w:lineRule="auto"/>
              <w:rPr>
                <w:rFonts w:cs="Arial"/>
                <w:szCs w:val="20"/>
              </w:rPr>
            </w:pPr>
            <w:r w:rsidRPr="00B16E6B">
              <w:rPr>
                <w:rFonts w:cs="Arial"/>
                <w:szCs w:val="20"/>
              </w:rPr>
              <w:t>If the identified risk or challenge does eventuate, it woul</w:t>
            </w:r>
            <w:r w:rsidR="000D181B" w:rsidRPr="00B16E6B">
              <w:rPr>
                <w:rFonts w:cs="Arial"/>
                <w:szCs w:val="20"/>
              </w:rPr>
              <w:t>d have a limited effect on the d</w:t>
            </w:r>
            <w:r w:rsidRPr="00B16E6B">
              <w:rPr>
                <w:rFonts w:cs="Arial"/>
                <w:szCs w:val="20"/>
              </w:rPr>
              <w:t xml:space="preserve">epartment’s ability to implement the proposed measures  </w:t>
            </w:r>
          </w:p>
        </w:tc>
      </w:tr>
      <w:tr w:rsidR="009E6A26" w:rsidRPr="00B16E6B" w14:paraId="7D74A7FA" w14:textId="77777777" w:rsidTr="00CD4306">
        <w:trPr>
          <w:trHeight w:val="300"/>
        </w:trPr>
        <w:tc>
          <w:tcPr>
            <w:tcW w:w="127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E6E6E6" w:themeFill="background2" w:themeFillShade="E6"/>
            <w:vAlign w:val="center"/>
            <w:hideMark/>
          </w:tcPr>
          <w:p w14:paraId="297F91E9" w14:textId="77777777" w:rsidR="009E6A26" w:rsidRPr="00B16E6B" w:rsidRDefault="009E6A26" w:rsidP="009613E1">
            <w:pPr>
              <w:spacing w:before="60" w:after="60" w:line="271" w:lineRule="auto"/>
              <w:contextualSpacing/>
              <w:rPr>
                <w:rFonts w:cs="Arial"/>
                <w:b/>
                <w:bCs/>
                <w:szCs w:val="20"/>
              </w:rPr>
            </w:pPr>
            <w:r w:rsidRPr="00B16E6B">
              <w:rPr>
                <w:rFonts w:cs="Arial"/>
                <w:b/>
                <w:bCs/>
                <w:szCs w:val="20"/>
              </w:rPr>
              <w:t>Medium</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0D4FD8" w14:textId="77777777" w:rsidR="009E6A26" w:rsidRPr="00B16E6B" w:rsidRDefault="009E6A26" w:rsidP="009613E1">
            <w:pPr>
              <w:spacing w:before="60" w:after="60" w:line="271" w:lineRule="auto"/>
              <w:contextualSpacing/>
              <w:rPr>
                <w:rFonts w:cs="Arial"/>
                <w:szCs w:val="20"/>
              </w:rPr>
            </w:pPr>
            <w:r w:rsidRPr="00B16E6B">
              <w:rPr>
                <w:rFonts w:cs="Arial"/>
                <w:szCs w:val="20"/>
              </w:rPr>
              <w:t>It is reasonably possible that the identified risk or challenge will eventuate</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DAAC7" w:themeFill="accent1" w:themeFillTint="66"/>
            <w:vAlign w:val="center"/>
            <w:hideMark/>
          </w:tcPr>
          <w:p w14:paraId="7FBCCDC8" w14:textId="77777777" w:rsidR="009E6A26" w:rsidRPr="00B16E6B" w:rsidRDefault="009E6A26" w:rsidP="009613E1">
            <w:pPr>
              <w:spacing w:before="60" w:after="60" w:line="271" w:lineRule="auto"/>
              <w:rPr>
                <w:rFonts w:cs="Arial"/>
                <w:b/>
                <w:bCs/>
                <w:szCs w:val="20"/>
              </w:rPr>
            </w:pPr>
            <w:r w:rsidRPr="00B16E6B">
              <w:rPr>
                <w:rFonts w:cs="Arial"/>
                <w:b/>
                <w:bCs/>
                <w:szCs w:val="20"/>
              </w:rPr>
              <w:t>Moderate</w:t>
            </w:r>
          </w:p>
        </w:tc>
        <w:tc>
          <w:tcPr>
            <w:tcW w:w="32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14:paraId="092F7A54" w14:textId="77777777" w:rsidR="009E6A26" w:rsidRPr="00B16E6B" w:rsidRDefault="009E6A26" w:rsidP="009613E1">
            <w:pPr>
              <w:spacing w:before="60" w:after="60" w:line="271" w:lineRule="auto"/>
              <w:rPr>
                <w:rFonts w:cs="Arial"/>
                <w:szCs w:val="20"/>
              </w:rPr>
            </w:pPr>
            <w:r w:rsidRPr="00B16E6B">
              <w:rPr>
                <w:rFonts w:cs="Arial"/>
                <w:szCs w:val="20"/>
              </w:rPr>
              <w:t>If the identified risk or challenge does eventuate, it would ha</w:t>
            </w:r>
            <w:r w:rsidR="000D181B" w:rsidRPr="00B16E6B">
              <w:rPr>
                <w:rFonts w:cs="Arial"/>
                <w:szCs w:val="20"/>
              </w:rPr>
              <w:t>ve a substantial effect on the d</w:t>
            </w:r>
            <w:r w:rsidRPr="00B16E6B">
              <w:rPr>
                <w:rFonts w:cs="Arial"/>
                <w:szCs w:val="20"/>
              </w:rPr>
              <w:t>epartment’s ability to implement the proposed measures</w:t>
            </w:r>
          </w:p>
        </w:tc>
      </w:tr>
      <w:tr w:rsidR="009E6A26" w:rsidRPr="00B16E6B" w14:paraId="5E4BC2A1" w14:textId="77777777" w:rsidTr="00CD4306">
        <w:trPr>
          <w:trHeight w:val="300"/>
        </w:trPr>
        <w:tc>
          <w:tcPr>
            <w:tcW w:w="1276" w:type="dxa"/>
            <w:tcBorders>
              <w:top w:val="single" w:sz="4" w:space="0" w:color="BFBFBF" w:themeColor="background1" w:themeShade="BF"/>
              <w:left w:val="nil"/>
              <w:bottom w:val="nil"/>
              <w:right w:val="single" w:sz="4" w:space="0" w:color="BFBFBF" w:themeColor="background1" w:themeShade="BF"/>
            </w:tcBorders>
            <w:shd w:val="clear" w:color="auto" w:fill="A6A6A6" w:themeFill="background1" w:themeFillShade="A6"/>
            <w:vAlign w:val="center"/>
            <w:hideMark/>
          </w:tcPr>
          <w:p w14:paraId="7F5D1C40" w14:textId="77777777" w:rsidR="009E6A26" w:rsidRPr="00B16E6B" w:rsidRDefault="009E6A26" w:rsidP="009613E1">
            <w:pPr>
              <w:spacing w:before="60" w:after="60" w:line="271" w:lineRule="auto"/>
              <w:contextualSpacing/>
              <w:rPr>
                <w:rFonts w:cs="Arial"/>
                <w:b/>
                <w:bCs/>
                <w:szCs w:val="20"/>
              </w:rPr>
            </w:pPr>
            <w:r w:rsidRPr="00B16E6B">
              <w:rPr>
                <w:rFonts w:cs="Arial"/>
                <w:b/>
                <w:bCs/>
                <w:szCs w:val="20"/>
              </w:rPr>
              <w:t>High</w:t>
            </w:r>
          </w:p>
        </w:tc>
        <w:tc>
          <w:tcPr>
            <w:tcW w:w="306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hideMark/>
          </w:tcPr>
          <w:p w14:paraId="3211BBF6" w14:textId="77777777" w:rsidR="009E6A26" w:rsidRPr="00B16E6B" w:rsidRDefault="009E6A26" w:rsidP="009613E1">
            <w:pPr>
              <w:spacing w:before="60" w:after="60" w:line="271" w:lineRule="auto"/>
              <w:contextualSpacing/>
              <w:rPr>
                <w:rFonts w:cs="Arial"/>
                <w:szCs w:val="20"/>
              </w:rPr>
            </w:pPr>
            <w:r w:rsidRPr="00B16E6B">
              <w:rPr>
                <w:rFonts w:cs="Arial"/>
                <w:szCs w:val="20"/>
              </w:rPr>
              <w:t>It is likely that the identified risk or challenge will eventuate</w:t>
            </w:r>
          </w:p>
        </w:tc>
        <w:tc>
          <w:tcPr>
            <w:tcW w:w="161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5480AB" w:themeFill="accent1" w:themeFillTint="99"/>
            <w:vAlign w:val="center"/>
            <w:hideMark/>
          </w:tcPr>
          <w:p w14:paraId="6D6497D1" w14:textId="77777777" w:rsidR="009E6A26" w:rsidRPr="00B16E6B" w:rsidRDefault="009E6A26" w:rsidP="009613E1">
            <w:pPr>
              <w:spacing w:before="60" w:after="60" w:line="271" w:lineRule="auto"/>
              <w:rPr>
                <w:rFonts w:cs="Arial"/>
                <w:b/>
                <w:bCs/>
                <w:szCs w:val="20"/>
              </w:rPr>
            </w:pPr>
            <w:r w:rsidRPr="00B16E6B">
              <w:rPr>
                <w:rFonts w:cs="Arial"/>
                <w:b/>
                <w:bCs/>
                <w:szCs w:val="20"/>
              </w:rPr>
              <w:t>Severe</w:t>
            </w:r>
          </w:p>
        </w:tc>
        <w:tc>
          <w:tcPr>
            <w:tcW w:w="3260" w:type="dxa"/>
            <w:tcBorders>
              <w:top w:val="single" w:sz="4" w:space="0" w:color="BFBFBF" w:themeColor="background1" w:themeShade="BF"/>
              <w:left w:val="single" w:sz="4" w:space="0" w:color="BFBFBF" w:themeColor="background1" w:themeShade="BF"/>
              <w:bottom w:val="nil"/>
              <w:right w:val="nil"/>
            </w:tcBorders>
            <w:vAlign w:val="center"/>
            <w:hideMark/>
          </w:tcPr>
          <w:p w14:paraId="472129C2" w14:textId="77777777" w:rsidR="009E6A26" w:rsidRPr="00B16E6B" w:rsidRDefault="009E6A26" w:rsidP="009613E1">
            <w:pPr>
              <w:spacing w:before="60" w:after="60" w:line="271" w:lineRule="auto"/>
              <w:rPr>
                <w:rFonts w:cs="Arial"/>
                <w:szCs w:val="20"/>
              </w:rPr>
            </w:pPr>
            <w:r w:rsidRPr="00B16E6B">
              <w:rPr>
                <w:rFonts w:cs="Arial"/>
                <w:szCs w:val="20"/>
              </w:rPr>
              <w:t>If the identified risk or challenge does eventuate, it would ha</w:t>
            </w:r>
            <w:r w:rsidR="000D181B" w:rsidRPr="00B16E6B">
              <w:rPr>
                <w:rFonts w:cs="Arial"/>
                <w:szCs w:val="20"/>
              </w:rPr>
              <w:t>ve a significant effect on the d</w:t>
            </w:r>
            <w:r w:rsidRPr="00B16E6B">
              <w:rPr>
                <w:rFonts w:cs="Arial"/>
                <w:szCs w:val="20"/>
              </w:rPr>
              <w:t>epartment’s ability to implement the proposed measures</w:t>
            </w:r>
          </w:p>
        </w:tc>
      </w:tr>
    </w:tbl>
    <w:p w14:paraId="1B767B73" w14:textId="77777777" w:rsidR="009E6A26" w:rsidRPr="00B16E6B" w:rsidRDefault="009E6A26" w:rsidP="009613E1">
      <w:pPr>
        <w:pStyle w:val="Caption"/>
        <w:keepNext/>
        <w:spacing w:after="0" w:line="271" w:lineRule="auto"/>
        <w:rPr>
          <w:rFonts w:ascii="Arial" w:eastAsia="Times New Roman" w:hAnsi="Arial" w:cs="Arial"/>
          <w:b w:val="0"/>
          <w:i/>
          <w:iCs/>
          <w:smallCaps w:val="0"/>
          <w:color w:val="44546A"/>
          <w:sz w:val="18"/>
          <w:szCs w:val="18"/>
          <w:lang w:eastAsia="en-AU"/>
        </w:rPr>
      </w:pPr>
    </w:p>
    <w:p w14:paraId="2B6A9FE7" w14:textId="77777777" w:rsidR="00F43075" w:rsidRPr="00B16E6B" w:rsidRDefault="00F43075" w:rsidP="009613E1">
      <w:pPr>
        <w:spacing w:after="200" w:line="271" w:lineRule="auto"/>
        <w:rPr>
          <w:rFonts w:ascii="Arial" w:eastAsia="Times New Roman" w:hAnsi="Arial" w:cs="Arial"/>
          <w:b/>
          <w:bCs/>
          <w:i/>
          <w:iCs/>
          <w:color w:val="44546A"/>
          <w:sz w:val="18"/>
          <w:szCs w:val="18"/>
          <w:lang w:eastAsia="en-AU"/>
        </w:rPr>
      </w:pPr>
      <w:bookmarkStart w:id="36" w:name="_Ref163752070"/>
      <w:r w:rsidRPr="00B16E6B">
        <w:rPr>
          <w:rFonts w:ascii="Arial" w:eastAsia="Times New Roman" w:hAnsi="Arial" w:cs="Arial"/>
          <w:i/>
          <w:iCs/>
          <w:smallCaps/>
          <w:color w:val="44546A"/>
          <w:sz w:val="18"/>
          <w:szCs w:val="18"/>
          <w:lang w:eastAsia="en-AU"/>
        </w:rPr>
        <w:br w:type="page"/>
      </w:r>
    </w:p>
    <w:p w14:paraId="34853271" w14:textId="5E599BE6" w:rsidR="009E6A26" w:rsidRPr="00B16E6B" w:rsidRDefault="009E6A26" w:rsidP="009613E1">
      <w:pPr>
        <w:pStyle w:val="Caption"/>
        <w:spacing w:after="60" w:line="271" w:lineRule="auto"/>
        <w:rPr>
          <w:rFonts w:ascii="Arial" w:eastAsia="Times New Roman" w:hAnsi="Arial" w:cs="Arial"/>
          <w:b w:val="0"/>
          <w:i/>
          <w:iCs/>
          <w:smallCaps w:val="0"/>
          <w:color w:val="44546A"/>
          <w:sz w:val="18"/>
          <w:szCs w:val="18"/>
          <w:lang w:eastAsia="en-AU"/>
        </w:rPr>
      </w:pPr>
      <w:r w:rsidRPr="00B16E6B">
        <w:rPr>
          <w:rFonts w:ascii="Arial" w:eastAsia="Times New Roman" w:hAnsi="Arial" w:cs="Arial"/>
          <w:i/>
          <w:iCs/>
          <w:smallCaps w:val="0"/>
          <w:color w:val="44546A"/>
          <w:sz w:val="18"/>
          <w:szCs w:val="18"/>
          <w:lang w:eastAsia="en-AU"/>
        </w:rPr>
        <w:lastRenderedPageBreak/>
        <w:t xml:space="preserve">Table </w:t>
      </w:r>
      <w:bookmarkEnd w:id="36"/>
      <w:r w:rsidR="00AE00AF" w:rsidRPr="00B16E6B">
        <w:rPr>
          <w:rFonts w:ascii="Arial" w:eastAsia="Times New Roman" w:hAnsi="Arial" w:cs="Arial"/>
          <w:i/>
          <w:iCs/>
          <w:smallCaps w:val="0"/>
          <w:color w:val="44546A"/>
          <w:sz w:val="18"/>
          <w:szCs w:val="18"/>
          <w:lang w:eastAsia="en-AU"/>
        </w:rPr>
        <w:t>2</w:t>
      </w:r>
      <w:r w:rsidR="00A027FB" w:rsidRPr="00B16E6B">
        <w:rPr>
          <w:rFonts w:ascii="Arial" w:eastAsia="Times New Roman" w:hAnsi="Arial" w:cs="Arial"/>
          <w:i/>
          <w:iCs/>
          <w:smallCaps w:val="0"/>
          <w:color w:val="44546A"/>
          <w:sz w:val="18"/>
          <w:szCs w:val="18"/>
          <w:lang w:eastAsia="en-AU"/>
        </w:rPr>
        <w:t>7</w:t>
      </w:r>
      <w:r w:rsidR="00FD673D" w:rsidRPr="00B16E6B">
        <w:rPr>
          <w:rFonts w:ascii="Arial" w:eastAsia="Times New Roman" w:hAnsi="Arial" w:cs="Arial"/>
          <w:i/>
          <w:iCs/>
          <w:smallCaps w:val="0"/>
          <w:color w:val="44546A"/>
          <w:sz w:val="18"/>
          <w:szCs w:val="18"/>
          <w:lang w:eastAsia="en-AU"/>
        </w:rPr>
        <w:t>:</w:t>
      </w:r>
      <w:r w:rsidRPr="00B16E6B">
        <w:rPr>
          <w:rFonts w:ascii="Arial" w:eastAsia="Times New Roman" w:hAnsi="Arial" w:cs="Arial"/>
          <w:b w:val="0"/>
          <w:i/>
          <w:iCs/>
          <w:smallCaps w:val="0"/>
          <w:color w:val="44546A"/>
          <w:sz w:val="18"/>
          <w:szCs w:val="18"/>
          <w:lang w:eastAsia="en-AU"/>
        </w:rPr>
        <w:t xml:space="preserve"> Challenges and risks to implementation</w:t>
      </w:r>
    </w:p>
    <w:tbl>
      <w:tblPr>
        <w:tblStyle w:val="TableGrid1"/>
        <w:tblW w:w="0" w:type="auto"/>
        <w:tblBorders>
          <w:top w:val="none" w:sz="0" w:space="0" w:color="auto"/>
          <w:left w:val="none" w:sz="0" w:space="0" w:color="auto"/>
          <w:bottom w:val="none" w:sz="0" w:space="0" w:color="auto"/>
          <w:right w:val="none" w:sz="0" w:space="0" w:color="auto"/>
          <w:insideH w:val="single" w:sz="4" w:space="0" w:color="D9D9D9"/>
          <w:insideV w:val="single" w:sz="4" w:space="0" w:color="D9D9D9"/>
        </w:tblBorders>
        <w:tblLook w:val="04A0" w:firstRow="1" w:lastRow="0" w:firstColumn="1" w:lastColumn="0" w:noHBand="0" w:noVBand="1"/>
      </w:tblPr>
      <w:tblGrid>
        <w:gridCol w:w="2239"/>
        <w:gridCol w:w="1217"/>
        <w:gridCol w:w="1526"/>
        <w:gridCol w:w="2782"/>
        <w:gridCol w:w="2442"/>
      </w:tblGrid>
      <w:tr w:rsidR="00626D53" w:rsidRPr="00B16E6B" w14:paraId="53F6B473" w14:textId="77777777" w:rsidTr="00636E0E">
        <w:trPr>
          <w:tblHeader/>
        </w:trPr>
        <w:tc>
          <w:tcPr>
            <w:tcW w:w="0" w:type="auto"/>
            <w:tcBorders>
              <w:top w:val="nil"/>
              <w:left w:val="nil"/>
              <w:bottom w:val="single" w:sz="4" w:space="0" w:color="D9D9D9"/>
              <w:right w:val="single" w:sz="4" w:space="0" w:color="D9D9D9"/>
            </w:tcBorders>
            <w:shd w:val="clear" w:color="auto" w:fill="1C2B39" w:themeFill="accent1"/>
            <w:vAlign w:val="center"/>
            <w:hideMark/>
          </w:tcPr>
          <w:p w14:paraId="74ECE480" w14:textId="77777777" w:rsidR="009E5FEE" w:rsidRPr="00B16E6B" w:rsidRDefault="009E5FEE" w:rsidP="009613E1">
            <w:pPr>
              <w:spacing w:before="120" w:after="120" w:line="271" w:lineRule="auto"/>
              <w:jc w:val="center"/>
              <w:rPr>
                <w:rFonts w:ascii="Segoe UI Symbol" w:hAnsi="Segoe UI Symbol" w:cs="Arial"/>
                <w:b/>
                <w:bCs/>
                <w:szCs w:val="20"/>
              </w:rPr>
            </w:pPr>
            <w:r w:rsidRPr="00B16E6B">
              <w:rPr>
                <w:rFonts w:ascii="Segoe UI Symbol" w:hAnsi="Segoe UI Symbol" w:cs="Arial"/>
                <w:b/>
                <w:bCs/>
                <w:szCs w:val="20"/>
              </w:rPr>
              <w:t>Identified risk</w:t>
            </w:r>
          </w:p>
        </w:tc>
        <w:tc>
          <w:tcPr>
            <w:tcW w:w="0" w:type="auto"/>
            <w:tcBorders>
              <w:top w:val="nil"/>
              <w:left w:val="single" w:sz="4" w:space="0" w:color="D9D9D9"/>
              <w:bottom w:val="single" w:sz="4" w:space="0" w:color="D9D9D9"/>
              <w:right w:val="single" w:sz="4" w:space="0" w:color="D9D9D9"/>
            </w:tcBorders>
            <w:shd w:val="clear" w:color="auto" w:fill="1C2B39" w:themeFill="accent1"/>
            <w:vAlign w:val="center"/>
            <w:hideMark/>
          </w:tcPr>
          <w:p w14:paraId="3F06FF55" w14:textId="77777777" w:rsidR="009E5FEE" w:rsidRPr="00B16E6B" w:rsidRDefault="009E5FEE" w:rsidP="009613E1">
            <w:pPr>
              <w:spacing w:before="120" w:after="120" w:line="271" w:lineRule="auto"/>
              <w:jc w:val="center"/>
              <w:rPr>
                <w:rFonts w:ascii="Segoe UI Symbol" w:hAnsi="Segoe UI Symbol" w:cs="Arial"/>
                <w:b/>
                <w:bCs/>
                <w:szCs w:val="20"/>
              </w:rPr>
            </w:pPr>
            <w:r w:rsidRPr="00B16E6B">
              <w:rPr>
                <w:rFonts w:ascii="Segoe UI Symbol" w:hAnsi="Segoe UI Symbol" w:cs="Arial"/>
                <w:b/>
                <w:bCs/>
                <w:szCs w:val="20"/>
              </w:rPr>
              <w:t>Likelihood</w:t>
            </w:r>
          </w:p>
        </w:tc>
        <w:tc>
          <w:tcPr>
            <w:tcW w:w="0" w:type="auto"/>
            <w:tcBorders>
              <w:top w:val="nil"/>
              <w:left w:val="single" w:sz="4" w:space="0" w:color="D9D9D9"/>
              <w:bottom w:val="single" w:sz="4" w:space="0" w:color="D9D9D9"/>
              <w:right w:val="single" w:sz="4" w:space="0" w:color="D9D9D9"/>
            </w:tcBorders>
            <w:shd w:val="clear" w:color="auto" w:fill="1C2B39" w:themeFill="accent1"/>
            <w:vAlign w:val="center"/>
            <w:hideMark/>
          </w:tcPr>
          <w:p w14:paraId="0A7E2B09" w14:textId="77777777" w:rsidR="009E5FEE" w:rsidRPr="00B16E6B" w:rsidRDefault="009E5FEE" w:rsidP="009613E1">
            <w:pPr>
              <w:spacing w:before="120" w:after="120" w:line="271" w:lineRule="auto"/>
              <w:jc w:val="center"/>
              <w:rPr>
                <w:rFonts w:ascii="Segoe UI Symbol" w:hAnsi="Segoe UI Symbol" w:cs="Arial"/>
                <w:b/>
                <w:bCs/>
                <w:szCs w:val="20"/>
              </w:rPr>
            </w:pPr>
            <w:r w:rsidRPr="00B16E6B">
              <w:rPr>
                <w:rFonts w:ascii="Segoe UI Symbol" w:hAnsi="Segoe UI Symbol" w:cs="Arial"/>
                <w:b/>
                <w:bCs/>
                <w:szCs w:val="20"/>
              </w:rPr>
              <w:t>Consequence</w:t>
            </w:r>
          </w:p>
        </w:tc>
        <w:tc>
          <w:tcPr>
            <w:tcW w:w="0" w:type="auto"/>
            <w:tcBorders>
              <w:top w:val="nil"/>
              <w:left w:val="single" w:sz="4" w:space="0" w:color="D9D9D9"/>
              <w:bottom w:val="single" w:sz="4" w:space="0" w:color="D9D9D9"/>
              <w:right w:val="nil"/>
            </w:tcBorders>
            <w:shd w:val="clear" w:color="auto" w:fill="1C2B39" w:themeFill="accent1"/>
            <w:vAlign w:val="center"/>
            <w:hideMark/>
          </w:tcPr>
          <w:p w14:paraId="2545B2DE" w14:textId="77777777" w:rsidR="009E5FEE" w:rsidRPr="00B16E6B" w:rsidRDefault="009E5FEE" w:rsidP="009613E1">
            <w:pPr>
              <w:spacing w:before="120" w:after="120" w:line="271" w:lineRule="auto"/>
              <w:jc w:val="center"/>
              <w:rPr>
                <w:rFonts w:ascii="Segoe UI Symbol" w:hAnsi="Segoe UI Symbol" w:cs="Arial"/>
                <w:b/>
                <w:bCs/>
                <w:szCs w:val="20"/>
              </w:rPr>
            </w:pPr>
            <w:r w:rsidRPr="00B16E6B">
              <w:rPr>
                <w:rFonts w:ascii="Segoe UI Symbol" w:hAnsi="Segoe UI Symbol" w:cs="Arial"/>
                <w:b/>
                <w:bCs/>
                <w:szCs w:val="20"/>
              </w:rPr>
              <w:t>Management</w:t>
            </w:r>
          </w:p>
        </w:tc>
        <w:tc>
          <w:tcPr>
            <w:tcW w:w="0" w:type="auto"/>
            <w:tcBorders>
              <w:top w:val="nil"/>
              <w:left w:val="single" w:sz="4" w:space="0" w:color="D9D9D9"/>
              <w:bottom w:val="single" w:sz="4" w:space="0" w:color="D9D9D9"/>
              <w:right w:val="nil"/>
            </w:tcBorders>
            <w:shd w:val="clear" w:color="auto" w:fill="1C2B39" w:themeFill="accent1"/>
            <w:vAlign w:val="center"/>
          </w:tcPr>
          <w:p w14:paraId="7DEBA3C5" w14:textId="77777777" w:rsidR="009E5FEE" w:rsidRPr="00B16E6B" w:rsidRDefault="009E5FEE" w:rsidP="009613E1">
            <w:pPr>
              <w:spacing w:before="120" w:after="120" w:line="271" w:lineRule="auto"/>
              <w:jc w:val="center"/>
              <w:rPr>
                <w:rFonts w:ascii="Segoe UI Symbol" w:hAnsi="Segoe UI Symbol" w:cs="Arial"/>
                <w:b/>
                <w:bCs/>
                <w:szCs w:val="20"/>
              </w:rPr>
            </w:pPr>
            <w:r w:rsidRPr="00B16E6B">
              <w:rPr>
                <w:rFonts w:ascii="Segoe UI Symbol" w:hAnsi="Segoe UI Symbol" w:cs="Arial"/>
                <w:b/>
                <w:bCs/>
                <w:szCs w:val="20"/>
              </w:rPr>
              <w:t>Residual risk</w:t>
            </w:r>
          </w:p>
        </w:tc>
      </w:tr>
      <w:tr w:rsidR="00626D53" w:rsidRPr="00B16E6B" w14:paraId="08A53658" w14:textId="77777777" w:rsidTr="00F93315">
        <w:tc>
          <w:tcPr>
            <w:tcW w:w="0" w:type="auto"/>
            <w:tcBorders>
              <w:top w:val="single" w:sz="4" w:space="0" w:color="D9D9D9"/>
              <w:left w:val="nil"/>
              <w:bottom w:val="single" w:sz="4" w:space="0" w:color="D9D9D9"/>
              <w:right w:val="single" w:sz="4" w:space="0" w:color="D9D9D9"/>
            </w:tcBorders>
            <w:vAlign w:val="center"/>
            <w:hideMark/>
          </w:tcPr>
          <w:p w14:paraId="3A759198" w14:textId="77777777" w:rsidR="009E5FEE" w:rsidRPr="00B16E6B" w:rsidRDefault="009E5FEE" w:rsidP="009613E1">
            <w:pPr>
              <w:spacing w:after="0" w:line="271" w:lineRule="auto"/>
              <w:rPr>
                <w:rFonts w:ascii="Segoe UI Symbol" w:hAnsi="Segoe UI Symbol" w:cs="Arial"/>
                <w:szCs w:val="20"/>
              </w:rPr>
            </w:pPr>
            <w:r w:rsidRPr="00B16E6B">
              <w:rPr>
                <w:rFonts w:ascii="Segoe UI Symbol" w:hAnsi="Segoe UI Symbol" w:cs="Arial"/>
                <w:b/>
                <w:bCs/>
                <w:szCs w:val="20"/>
              </w:rPr>
              <w:t>Lack of industry awareness of amendments:</w:t>
            </w:r>
            <w:r w:rsidRPr="00B16E6B">
              <w:rPr>
                <w:rFonts w:ascii="Segoe UI Symbol" w:hAnsi="Segoe UI Symbol" w:cs="Arial"/>
                <w:szCs w:val="20"/>
              </w:rPr>
              <w:t xml:space="preserve"> Some industry stakeholders may be unaware of the amendments, or the extent of their </w:t>
            </w:r>
            <w:r w:rsidR="0016512F" w:rsidRPr="00B16E6B">
              <w:rPr>
                <w:rFonts w:ascii="Segoe UI Symbol" w:hAnsi="Segoe UI Symbol" w:cs="Arial"/>
                <w:szCs w:val="20"/>
              </w:rPr>
              <w:t xml:space="preserve">new </w:t>
            </w:r>
            <w:r w:rsidRPr="00B16E6B">
              <w:rPr>
                <w:rFonts w:ascii="Segoe UI Symbol" w:hAnsi="Segoe UI Symbol" w:cs="Arial"/>
                <w:szCs w:val="20"/>
              </w:rPr>
              <w:t>obligations under ATSA and MTOFSA</w:t>
            </w:r>
          </w:p>
        </w:tc>
        <w:tc>
          <w:tcPr>
            <w:tcW w:w="0" w:type="auto"/>
            <w:tcBorders>
              <w:top w:val="single" w:sz="4" w:space="0" w:color="D9D9D9"/>
              <w:left w:val="single" w:sz="4" w:space="0" w:color="D9D9D9"/>
              <w:bottom w:val="single" w:sz="4" w:space="0" w:color="D9D9D9"/>
              <w:right w:val="single" w:sz="4" w:space="0" w:color="D9D9D9"/>
            </w:tcBorders>
            <w:shd w:val="clear" w:color="auto" w:fill="F2F2F2"/>
            <w:vAlign w:val="center"/>
            <w:hideMark/>
          </w:tcPr>
          <w:p w14:paraId="4B5F4AB0" w14:textId="77777777" w:rsidR="009E5FEE" w:rsidRPr="00B16E6B" w:rsidRDefault="009E5FEE" w:rsidP="009613E1">
            <w:pPr>
              <w:spacing w:after="0" w:line="271" w:lineRule="auto"/>
              <w:jc w:val="center"/>
              <w:rPr>
                <w:rFonts w:ascii="Segoe UI Symbol" w:hAnsi="Segoe UI Symbol" w:cs="Arial"/>
                <w:b/>
                <w:bCs/>
                <w:szCs w:val="20"/>
              </w:rPr>
            </w:pPr>
            <w:r w:rsidRPr="00B16E6B">
              <w:rPr>
                <w:rFonts w:ascii="Segoe UI Symbol" w:hAnsi="Segoe UI Symbol" w:cs="Arial"/>
                <w:b/>
                <w:bCs/>
                <w:szCs w:val="20"/>
              </w:rPr>
              <w:t>Low</w:t>
            </w:r>
          </w:p>
        </w:tc>
        <w:tc>
          <w:tcPr>
            <w:tcW w:w="0" w:type="auto"/>
            <w:tcBorders>
              <w:top w:val="single" w:sz="4" w:space="0" w:color="D9D9D9"/>
              <w:left w:val="single" w:sz="4" w:space="0" w:color="D9D9D9"/>
              <w:bottom w:val="single" w:sz="4" w:space="0" w:color="D9D9D9"/>
              <w:right w:val="single" w:sz="4" w:space="0" w:color="D9D9D9"/>
            </w:tcBorders>
            <w:shd w:val="clear" w:color="auto" w:fill="5480AB"/>
            <w:vAlign w:val="center"/>
            <w:hideMark/>
          </w:tcPr>
          <w:p w14:paraId="21C10CF1" w14:textId="77777777" w:rsidR="009E5FEE" w:rsidRPr="00B16E6B" w:rsidRDefault="009E5FEE" w:rsidP="009613E1">
            <w:pPr>
              <w:spacing w:after="0" w:line="271" w:lineRule="auto"/>
              <w:jc w:val="center"/>
              <w:rPr>
                <w:rFonts w:ascii="Segoe UI Symbol" w:hAnsi="Segoe UI Symbol" w:cs="Arial"/>
                <w:szCs w:val="20"/>
              </w:rPr>
            </w:pPr>
            <w:r w:rsidRPr="00B16E6B">
              <w:rPr>
                <w:rFonts w:ascii="Segoe UI Symbol" w:hAnsi="Segoe UI Symbol" w:cs="Arial"/>
                <w:b/>
                <w:bCs/>
                <w:szCs w:val="20"/>
              </w:rPr>
              <w:t>Severe</w:t>
            </w:r>
          </w:p>
        </w:tc>
        <w:tc>
          <w:tcPr>
            <w:tcW w:w="0" w:type="auto"/>
            <w:tcBorders>
              <w:top w:val="single" w:sz="4" w:space="0" w:color="D9D9D9"/>
              <w:left w:val="single" w:sz="4" w:space="0" w:color="D9D9D9"/>
              <w:bottom w:val="single" w:sz="4" w:space="0" w:color="D9D9D9"/>
              <w:right w:val="nil"/>
            </w:tcBorders>
            <w:vAlign w:val="center"/>
            <w:hideMark/>
          </w:tcPr>
          <w:p w14:paraId="061A4C93" w14:textId="77777777" w:rsidR="009E5FEE" w:rsidRPr="00B16E6B" w:rsidRDefault="009E5FEE" w:rsidP="009613E1">
            <w:pPr>
              <w:spacing w:line="271" w:lineRule="auto"/>
              <w:rPr>
                <w:rFonts w:ascii="Segoe UI Symbol" w:hAnsi="Segoe UI Symbol" w:cs="Arial"/>
                <w:sz w:val="21"/>
                <w:szCs w:val="20"/>
              </w:rPr>
            </w:pPr>
            <w:r w:rsidRPr="00B16E6B">
              <w:rPr>
                <w:rFonts w:ascii="Segoe UI Symbol" w:hAnsi="Segoe UI Symbol" w:cs="Arial"/>
                <w:szCs w:val="20"/>
              </w:rPr>
              <w:t>The department has prioritised engagement with industry to mitigate the existence of this risk. Engagement has included extensive consultation with industry (including town halls, round table</w:t>
            </w:r>
            <w:r w:rsidR="0016512F" w:rsidRPr="00B16E6B">
              <w:rPr>
                <w:rFonts w:ascii="Segoe UI Symbol" w:hAnsi="Segoe UI Symbol" w:cs="Arial"/>
                <w:szCs w:val="20"/>
              </w:rPr>
              <w:t>s</w:t>
            </w:r>
            <w:r w:rsidRPr="00B16E6B">
              <w:rPr>
                <w:rFonts w:ascii="Segoe UI Symbol" w:hAnsi="Segoe UI Symbol" w:cs="Arial"/>
                <w:szCs w:val="20"/>
              </w:rPr>
              <w:t xml:space="preserve"> and open feedback forums) to provide context on the proposed reforms and eliciting feedback. There will also be ongoing communication with industry about the implementation of the reforms and resources available to support their transition (including on the department’s website).</w:t>
            </w:r>
          </w:p>
        </w:tc>
        <w:tc>
          <w:tcPr>
            <w:tcW w:w="0" w:type="auto"/>
            <w:tcBorders>
              <w:top w:val="single" w:sz="4" w:space="0" w:color="D9D9D9"/>
              <w:left w:val="single" w:sz="4" w:space="0" w:color="D9D9D9"/>
              <w:bottom w:val="single" w:sz="4" w:space="0" w:color="D9D9D9"/>
              <w:right w:val="nil"/>
            </w:tcBorders>
            <w:shd w:val="clear" w:color="auto" w:fill="F2F2F2" w:themeFill="background1" w:themeFillShade="F2"/>
            <w:vAlign w:val="center"/>
          </w:tcPr>
          <w:p w14:paraId="39F860C5" w14:textId="77777777" w:rsidR="009E5FEE" w:rsidRPr="00B16E6B" w:rsidRDefault="009E5FEE" w:rsidP="009613E1">
            <w:pPr>
              <w:spacing w:line="271" w:lineRule="auto"/>
              <w:rPr>
                <w:rFonts w:ascii="Segoe UI Symbol" w:hAnsi="Segoe UI Symbol" w:cs="Arial"/>
                <w:szCs w:val="20"/>
              </w:rPr>
            </w:pPr>
            <w:r w:rsidRPr="00B16E6B">
              <w:rPr>
                <w:rFonts w:ascii="Segoe UI Symbol" w:hAnsi="Segoe UI Symbol" w:cs="Arial"/>
                <w:b/>
                <w:szCs w:val="20"/>
              </w:rPr>
              <w:t>Low</w:t>
            </w:r>
            <w:r w:rsidRPr="00B16E6B">
              <w:rPr>
                <w:rFonts w:ascii="Segoe UI Symbol" w:hAnsi="Segoe UI Symbol" w:cs="Arial"/>
                <w:b/>
                <w:szCs w:val="22"/>
              </w:rPr>
              <w:t>:</w:t>
            </w:r>
            <w:r w:rsidRPr="00B16E6B">
              <w:rPr>
                <w:rFonts w:ascii="Segoe UI Symbol" w:hAnsi="Segoe UI Symbol" w:cs="Arial"/>
                <w:szCs w:val="22"/>
              </w:rPr>
              <w:t xml:space="preserve"> It is unlikely that any affected entities would be unaware of the upcoming introduction of the reform measures to ATSA and MTOFSA, especially where</w:t>
            </w:r>
            <w:r w:rsidRPr="00B16E6B">
              <w:rPr>
                <w:rFonts w:ascii="Segoe UI Symbol" w:hAnsi="Segoe UI Symbol" w:cs="Arial"/>
                <w:szCs w:val="20"/>
              </w:rPr>
              <w:t xml:space="preserve"> ongoing support is provided to industry through the transition period.</w:t>
            </w:r>
          </w:p>
        </w:tc>
      </w:tr>
      <w:tr w:rsidR="00626D53" w:rsidRPr="00B16E6B" w14:paraId="6BB3E6B6" w14:textId="77777777" w:rsidTr="00F93315">
        <w:tc>
          <w:tcPr>
            <w:tcW w:w="0" w:type="auto"/>
            <w:tcBorders>
              <w:top w:val="single" w:sz="4" w:space="0" w:color="D9D9D9"/>
              <w:left w:val="nil"/>
              <w:bottom w:val="single" w:sz="4" w:space="0" w:color="D9D9D9"/>
              <w:right w:val="single" w:sz="4" w:space="0" w:color="D9D9D9"/>
            </w:tcBorders>
            <w:vAlign w:val="center"/>
            <w:hideMark/>
          </w:tcPr>
          <w:p w14:paraId="45227A1A" w14:textId="77777777" w:rsidR="009E5FEE" w:rsidRPr="00B16E6B" w:rsidRDefault="00487C6A" w:rsidP="009613E1">
            <w:pPr>
              <w:spacing w:after="0" w:line="271" w:lineRule="auto"/>
              <w:rPr>
                <w:rFonts w:ascii="Segoe UI Symbol" w:hAnsi="Segoe UI Symbol" w:cs="Arial"/>
                <w:szCs w:val="20"/>
              </w:rPr>
            </w:pPr>
            <w:r w:rsidRPr="00B16E6B">
              <w:rPr>
                <w:rFonts w:ascii="Segoe UI Symbol" w:hAnsi="Segoe UI Symbol" w:cs="Arial"/>
                <w:b/>
                <w:bCs/>
                <w:szCs w:val="20"/>
              </w:rPr>
              <w:t>Government</w:t>
            </w:r>
            <w:r w:rsidR="009E5FEE" w:rsidRPr="00B16E6B">
              <w:rPr>
                <w:rFonts w:ascii="Segoe UI Symbol" w:hAnsi="Segoe UI Symbol" w:cs="Arial"/>
                <w:b/>
                <w:bCs/>
                <w:szCs w:val="20"/>
              </w:rPr>
              <w:t xml:space="preserve"> capability</w:t>
            </w:r>
            <w:r w:rsidR="009E5FEE" w:rsidRPr="00B16E6B">
              <w:rPr>
                <w:rFonts w:ascii="Segoe UI Symbol" w:hAnsi="Segoe UI Symbol" w:cs="Arial"/>
                <w:szCs w:val="20"/>
              </w:rPr>
              <w:t>: Insufficient funding or understaffing could impact on the effectiveness of the proposed reforms, especially in relation to compliance activities</w:t>
            </w:r>
          </w:p>
        </w:tc>
        <w:tc>
          <w:tcPr>
            <w:tcW w:w="0" w:type="auto"/>
            <w:tcBorders>
              <w:top w:val="single" w:sz="4" w:space="0" w:color="D9D9D9"/>
              <w:left w:val="single" w:sz="4" w:space="0" w:color="D9D9D9"/>
              <w:bottom w:val="single" w:sz="4" w:space="0" w:color="D9D9D9"/>
              <w:right w:val="single" w:sz="4" w:space="0" w:color="D9D9D9"/>
            </w:tcBorders>
            <w:shd w:val="clear" w:color="auto" w:fill="E6E6E6"/>
            <w:vAlign w:val="center"/>
            <w:hideMark/>
          </w:tcPr>
          <w:p w14:paraId="56B310C2" w14:textId="77777777" w:rsidR="009E5FEE" w:rsidRPr="00B16E6B" w:rsidRDefault="00502C52" w:rsidP="009613E1">
            <w:pPr>
              <w:spacing w:after="0" w:line="271" w:lineRule="auto"/>
              <w:jc w:val="center"/>
              <w:rPr>
                <w:rFonts w:ascii="Segoe UI Symbol" w:hAnsi="Segoe UI Symbol" w:cs="Arial"/>
                <w:szCs w:val="20"/>
              </w:rPr>
            </w:pPr>
            <w:r w:rsidRPr="00B16E6B">
              <w:rPr>
                <w:rFonts w:ascii="Segoe UI Symbol" w:hAnsi="Segoe UI Symbol" w:cs="Arial"/>
                <w:b/>
                <w:bCs/>
                <w:szCs w:val="20"/>
              </w:rPr>
              <w:t>Low</w:t>
            </w:r>
          </w:p>
        </w:tc>
        <w:tc>
          <w:tcPr>
            <w:tcW w:w="0" w:type="auto"/>
            <w:tcBorders>
              <w:top w:val="single" w:sz="4" w:space="0" w:color="D9D9D9"/>
              <w:left w:val="single" w:sz="4" w:space="0" w:color="D9D9D9"/>
              <w:bottom w:val="single" w:sz="4" w:space="0" w:color="D9D9D9"/>
              <w:right w:val="single" w:sz="4" w:space="0" w:color="D9D9D9"/>
            </w:tcBorders>
            <w:shd w:val="clear" w:color="auto" w:fill="5480AB"/>
            <w:vAlign w:val="center"/>
            <w:hideMark/>
          </w:tcPr>
          <w:p w14:paraId="2E96D019" w14:textId="77777777" w:rsidR="009E5FEE" w:rsidRPr="00B16E6B" w:rsidRDefault="009E5FEE" w:rsidP="009613E1">
            <w:pPr>
              <w:spacing w:after="0" w:line="271" w:lineRule="auto"/>
              <w:jc w:val="center"/>
              <w:rPr>
                <w:rFonts w:ascii="Segoe UI Symbol" w:hAnsi="Segoe UI Symbol" w:cs="Arial"/>
                <w:szCs w:val="20"/>
              </w:rPr>
            </w:pPr>
            <w:r w:rsidRPr="00B16E6B">
              <w:rPr>
                <w:rFonts w:ascii="Segoe UI Symbol" w:hAnsi="Segoe UI Symbol" w:cs="Arial"/>
                <w:b/>
                <w:bCs/>
                <w:szCs w:val="20"/>
              </w:rPr>
              <w:t>Severe</w:t>
            </w:r>
          </w:p>
        </w:tc>
        <w:tc>
          <w:tcPr>
            <w:tcW w:w="0" w:type="auto"/>
            <w:tcBorders>
              <w:top w:val="single" w:sz="4" w:space="0" w:color="D9D9D9"/>
              <w:left w:val="single" w:sz="4" w:space="0" w:color="D9D9D9"/>
              <w:bottom w:val="single" w:sz="4" w:space="0" w:color="D9D9D9"/>
              <w:right w:val="nil"/>
            </w:tcBorders>
            <w:vAlign w:val="center"/>
            <w:hideMark/>
          </w:tcPr>
          <w:p w14:paraId="6ABA1EF4" w14:textId="77777777" w:rsidR="009E5FEE" w:rsidRPr="00B16E6B" w:rsidRDefault="00487C6A" w:rsidP="009613E1">
            <w:pPr>
              <w:spacing w:line="271" w:lineRule="auto"/>
              <w:rPr>
                <w:rFonts w:ascii="Segoe UI Symbol" w:hAnsi="Segoe UI Symbol" w:cs="Arial"/>
                <w:szCs w:val="20"/>
              </w:rPr>
            </w:pPr>
            <w:r w:rsidRPr="00B16E6B">
              <w:rPr>
                <w:rFonts w:ascii="Segoe UI Symbol" w:hAnsi="Segoe UI Symbol" w:cs="Arial"/>
                <w:szCs w:val="20"/>
              </w:rPr>
              <w:t>Government</w:t>
            </w:r>
            <w:r w:rsidR="009E5FEE" w:rsidRPr="00B16E6B">
              <w:rPr>
                <w:rFonts w:ascii="Segoe UI Symbol" w:hAnsi="Segoe UI Symbol" w:cs="Arial"/>
                <w:szCs w:val="20"/>
              </w:rPr>
              <w:t xml:space="preserve"> has been regularly and comprehensively briefed on the developments of the proposed reform package, including requirements for compliance activities. This has allowed for identification of potential resources required to support implementation and evaluation activities.</w:t>
            </w:r>
          </w:p>
        </w:tc>
        <w:tc>
          <w:tcPr>
            <w:tcW w:w="0" w:type="auto"/>
            <w:tcBorders>
              <w:top w:val="single" w:sz="4" w:space="0" w:color="D9D9D9"/>
              <w:left w:val="single" w:sz="4" w:space="0" w:color="D9D9D9"/>
              <w:bottom w:val="single" w:sz="4" w:space="0" w:color="D9D9D9"/>
              <w:right w:val="nil"/>
            </w:tcBorders>
            <w:shd w:val="clear" w:color="auto" w:fill="F2F2F2" w:themeFill="background1" w:themeFillShade="F2"/>
            <w:vAlign w:val="center"/>
          </w:tcPr>
          <w:p w14:paraId="0142689C" w14:textId="77777777" w:rsidR="009E5FEE" w:rsidRPr="00B16E6B" w:rsidRDefault="009E5FEE" w:rsidP="009613E1">
            <w:pPr>
              <w:spacing w:after="0" w:line="271" w:lineRule="auto"/>
              <w:rPr>
                <w:rFonts w:ascii="Segoe UI Symbol" w:hAnsi="Segoe UI Symbol" w:cs="Arial"/>
                <w:szCs w:val="20"/>
              </w:rPr>
            </w:pPr>
            <w:r w:rsidRPr="00B16E6B">
              <w:rPr>
                <w:rFonts w:ascii="Segoe UI Symbol" w:hAnsi="Segoe UI Symbol" w:cs="Arial"/>
                <w:b/>
                <w:szCs w:val="20"/>
              </w:rPr>
              <w:t>Low:</w:t>
            </w:r>
            <w:r w:rsidRPr="00B16E6B">
              <w:rPr>
                <w:rFonts w:ascii="Segoe UI Symbol" w:hAnsi="Segoe UI Symbol" w:cs="Arial"/>
                <w:szCs w:val="20"/>
              </w:rPr>
              <w:t xml:space="preserve"> Officials engaging with industry are knowledgeable, highly skilled at identifying vulnerabilities in the transport sector, and are able to support the department’s regulatory role.</w:t>
            </w:r>
          </w:p>
        </w:tc>
      </w:tr>
      <w:tr w:rsidR="00626D53" w:rsidRPr="00B16E6B" w14:paraId="06B0711A" w14:textId="77777777" w:rsidTr="00F93315">
        <w:tc>
          <w:tcPr>
            <w:tcW w:w="0" w:type="auto"/>
            <w:tcBorders>
              <w:top w:val="single" w:sz="4" w:space="0" w:color="D9D9D9"/>
              <w:left w:val="nil"/>
              <w:bottom w:val="nil"/>
              <w:right w:val="single" w:sz="4" w:space="0" w:color="D9D9D9"/>
            </w:tcBorders>
            <w:vAlign w:val="center"/>
            <w:hideMark/>
          </w:tcPr>
          <w:p w14:paraId="6FA6BD3D" w14:textId="77777777" w:rsidR="009E5FEE" w:rsidRPr="00B16E6B" w:rsidRDefault="009E5FEE" w:rsidP="009613E1">
            <w:pPr>
              <w:spacing w:after="0" w:line="271" w:lineRule="auto"/>
              <w:rPr>
                <w:rFonts w:ascii="Segoe UI Symbol" w:hAnsi="Segoe UI Symbol" w:cs="Arial"/>
                <w:szCs w:val="20"/>
              </w:rPr>
            </w:pPr>
            <w:r w:rsidRPr="00B16E6B">
              <w:rPr>
                <w:rFonts w:ascii="Segoe UI Symbol" w:hAnsi="Segoe UI Symbol" w:cs="Arial"/>
                <w:b/>
                <w:bCs/>
                <w:szCs w:val="20"/>
              </w:rPr>
              <w:t>Implementation costs:</w:t>
            </w:r>
            <w:r w:rsidRPr="00B16E6B">
              <w:rPr>
                <w:rFonts w:ascii="Segoe UI Symbol" w:hAnsi="Segoe UI Symbol" w:cs="Arial"/>
                <w:szCs w:val="20"/>
              </w:rPr>
              <w:t xml:space="preserve"> There is a risk that the expected costs of </w:t>
            </w:r>
            <w:r w:rsidRPr="00B16E6B">
              <w:rPr>
                <w:rFonts w:ascii="Segoe UI Symbol" w:hAnsi="Segoe UI Symbol" w:cs="Arial"/>
                <w:szCs w:val="20"/>
              </w:rPr>
              <w:lastRenderedPageBreak/>
              <w:t>implementation are either over or underestimated by industry and within this IA</w:t>
            </w:r>
          </w:p>
        </w:tc>
        <w:tc>
          <w:tcPr>
            <w:tcW w:w="0" w:type="auto"/>
            <w:tcBorders>
              <w:top w:val="single" w:sz="4" w:space="0" w:color="D9D9D9"/>
              <w:left w:val="single" w:sz="4" w:space="0" w:color="D9D9D9"/>
              <w:bottom w:val="nil"/>
              <w:right w:val="single" w:sz="4" w:space="0" w:color="D9D9D9"/>
            </w:tcBorders>
            <w:shd w:val="clear" w:color="auto" w:fill="E6E6E6"/>
            <w:vAlign w:val="center"/>
            <w:hideMark/>
          </w:tcPr>
          <w:p w14:paraId="6AB6D2E8" w14:textId="77777777" w:rsidR="009E5FEE" w:rsidRPr="00B16E6B" w:rsidRDefault="009E5FEE" w:rsidP="009613E1">
            <w:pPr>
              <w:spacing w:after="0" w:line="271" w:lineRule="auto"/>
              <w:jc w:val="center"/>
              <w:rPr>
                <w:rFonts w:ascii="Segoe UI Symbol" w:hAnsi="Segoe UI Symbol" w:cs="Arial"/>
                <w:szCs w:val="20"/>
              </w:rPr>
            </w:pPr>
            <w:r w:rsidRPr="00B16E6B">
              <w:rPr>
                <w:rFonts w:ascii="Segoe UI Symbol" w:hAnsi="Segoe UI Symbol" w:cs="Arial"/>
                <w:b/>
                <w:bCs/>
                <w:szCs w:val="20"/>
              </w:rPr>
              <w:lastRenderedPageBreak/>
              <w:t>Medium</w:t>
            </w:r>
          </w:p>
        </w:tc>
        <w:tc>
          <w:tcPr>
            <w:tcW w:w="0" w:type="auto"/>
            <w:tcBorders>
              <w:top w:val="single" w:sz="4" w:space="0" w:color="D9D9D9"/>
              <w:left w:val="single" w:sz="4" w:space="0" w:color="D9D9D9"/>
              <w:bottom w:val="nil"/>
              <w:right w:val="single" w:sz="4" w:space="0" w:color="D9D9D9"/>
            </w:tcBorders>
            <w:shd w:val="clear" w:color="auto" w:fill="8DAAC7"/>
            <w:vAlign w:val="center"/>
            <w:hideMark/>
          </w:tcPr>
          <w:p w14:paraId="02C5F0F7" w14:textId="77777777" w:rsidR="009E5FEE" w:rsidRPr="00B16E6B" w:rsidRDefault="009E5FEE" w:rsidP="009613E1">
            <w:pPr>
              <w:spacing w:after="0" w:line="271" w:lineRule="auto"/>
              <w:jc w:val="center"/>
              <w:rPr>
                <w:rFonts w:ascii="Segoe UI Symbol" w:hAnsi="Segoe UI Symbol" w:cs="Arial"/>
                <w:szCs w:val="20"/>
              </w:rPr>
            </w:pPr>
            <w:r w:rsidRPr="00B16E6B">
              <w:rPr>
                <w:rFonts w:ascii="Segoe UI Symbol" w:hAnsi="Segoe UI Symbol" w:cs="Arial"/>
                <w:b/>
                <w:bCs/>
                <w:szCs w:val="20"/>
              </w:rPr>
              <w:t>Moderate</w:t>
            </w:r>
          </w:p>
        </w:tc>
        <w:tc>
          <w:tcPr>
            <w:tcW w:w="0" w:type="auto"/>
            <w:tcBorders>
              <w:top w:val="single" w:sz="4" w:space="0" w:color="D9D9D9"/>
              <w:left w:val="single" w:sz="4" w:space="0" w:color="D9D9D9"/>
              <w:bottom w:val="nil"/>
              <w:right w:val="nil"/>
            </w:tcBorders>
            <w:vAlign w:val="center"/>
            <w:hideMark/>
          </w:tcPr>
          <w:p w14:paraId="7EB9EFAB" w14:textId="77777777" w:rsidR="00626D53" w:rsidRPr="00B16E6B" w:rsidRDefault="009E5FEE" w:rsidP="009613E1">
            <w:pPr>
              <w:spacing w:line="271" w:lineRule="auto"/>
              <w:rPr>
                <w:rFonts w:ascii="Segoe UI Symbol" w:hAnsi="Segoe UI Symbol" w:cs="Arial"/>
                <w:szCs w:val="20"/>
              </w:rPr>
            </w:pPr>
            <w:r w:rsidRPr="00B16E6B">
              <w:rPr>
                <w:rFonts w:ascii="Segoe UI Symbol" w:hAnsi="Segoe UI Symbol" w:cs="Arial"/>
                <w:szCs w:val="20"/>
              </w:rPr>
              <w:t xml:space="preserve">Requesting that industry include a cost range when providing costing data has supported mitigation </w:t>
            </w:r>
            <w:r w:rsidRPr="00B16E6B">
              <w:rPr>
                <w:rFonts w:ascii="Segoe UI Symbol" w:hAnsi="Segoe UI Symbol" w:cs="Arial"/>
                <w:szCs w:val="20"/>
              </w:rPr>
              <w:lastRenderedPageBreak/>
              <w:t xml:space="preserve">of the risk that costs to industry could be higher than anticipated. </w:t>
            </w:r>
          </w:p>
          <w:p w14:paraId="3E2C7F51" w14:textId="77777777" w:rsidR="009E5FEE" w:rsidRPr="00B16E6B" w:rsidRDefault="009E5FEE" w:rsidP="009613E1">
            <w:pPr>
              <w:spacing w:line="271" w:lineRule="auto"/>
              <w:rPr>
                <w:rFonts w:ascii="Segoe UI Symbol" w:hAnsi="Segoe UI Symbol" w:cs="Arial"/>
                <w:szCs w:val="20"/>
              </w:rPr>
            </w:pPr>
            <w:r w:rsidRPr="00B16E6B">
              <w:rPr>
                <w:rFonts w:ascii="Segoe UI Symbol" w:hAnsi="Segoe UI Symbol" w:cs="Arial"/>
                <w:szCs w:val="20"/>
              </w:rPr>
              <w:t xml:space="preserve">Given the low number of costing templates received, this data has been supplemented by 2022 data attached to </w:t>
            </w:r>
            <w:r w:rsidR="00D560AF" w:rsidRPr="00B16E6B">
              <w:rPr>
                <w:rFonts w:ascii="Segoe UI Symbol" w:hAnsi="Segoe UI Symbol" w:cs="Arial"/>
                <w:szCs w:val="20"/>
              </w:rPr>
              <w:t>CI</w:t>
            </w:r>
            <w:r w:rsidRPr="00B16E6B">
              <w:rPr>
                <w:rFonts w:ascii="Segoe UI Symbol" w:hAnsi="Segoe UI Symbol" w:cs="Arial"/>
                <w:szCs w:val="20"/>
              </w:rPr>
              <w:t xml:space="preserve">RMP obligations, and other data and academic resources. Together, these sources enhance the accuracy of the impact analysis contained in this document. </w:t>
            </w:r>
          </w:p>
        </w:tc>
        <w:tc>
          <w:tcPr>
            <w:tcW w:w="0" w:type="auto"/>
            <w:tcBorders>
              <w:top w:val="single" w:sz="4" w:space="0" w:color="D9D9D9"/>
              <w:left w:val="single" w:sz="4" w:space="0" w:color="D9D9D9"/>
              <w:bottom w:val="nil"/>
              <w:right w:val="nil"/>
            </w:tcBorders>
            <w:shd w:val="clear" w:color="auto" w:fill="F2F2F2" w:themeFill="background1" w:themeFillShade="F2"/>
            <w:vAlign w:val="center"/>
          </w:tcPr>
          <w:p w14:paraId="4C1D0B22" w14:textId="77777777" w:rsidR="00626D53" w:rsidRPr="00B16E6B" w:rsidRDefault="009E5FEE" w:rsidP="009613E1">
            <w:pPr>
              <w:spacing w:line="271" w:lineRule="auto"/>
              <w:rPr>
                <w:rFonts w:ascii="Segoe UI Symbol" w:hAnsi="Segoe UI Symbol" w:cs="Arial"/>
                <w:szCs w:val="20"/>
              </w:rPr>
            </w:pPr>
            <w:r w:rsidRPr="00B16E6B">
              <w:rPr>
                <w:rFonts w:ascii="Segoe UI Symbol" w:hAnsi="Segoe UI Symbol" w:cs="Arial"/>
                <w:b/>
                <w:szCs w:val="20"/>
              </w:rPr>
              <w:lastRenderedPageBreak/>
              <w:t>Low:</w:t>
            </w:r>
            <w:r w:rsidRPr="00B16E6B">
              <w:rPr>
                <w:rFonts w:ascii="Segoe UI Symbol" w:hAnsi="Segoe UI Symbol" w:cs="Arial"/>
                <w:szCs w:val="20"/>
              </w:rPr>
              <w:t xml:space="preserve"> The use of various data sources means any over or underestimation of the </w:t>
            </w:r>
            <w:r w:rsidRPr="00B16E6B">
              <w:rPr>
                <w:rFonts w:ascii="Segoe UI Symbol" w:hAnsi="Segoe UI Symbol" w:cs="Arial"/>
                <w:szCs w:val="20"/>
              </w:rPr>
              <w:lastRenderedPageBreak/>
              <w:t>expected costs will be minimal.</w:t>
            </w:r>
          </w:p>
          <w:p w14:paraId="114106D9" w14:textId="77777777" w:rsidR="009E5FEE" w:rsidRPr="00B16E6B" w:rsidRDefault="00F93315" w:rsidP="009613E1">
            <w:pPr>
              <w:spacing w:line="271" w:lineRule="auto"/>
              <w:rPr>
                <w:rFonts w:ascii="Segoe UI Symbol" w:hAnsi="Segoe UI Symbol" w:cs="Arial"/>
                <w:szCs w:val="20"/>
              </w:rPr>
            </w:pPr>
            <w:r w:rsidRPr="00B16E6B">
              <w:rPr>
                <w:rFonts w:ascii="Segoe UI Symbol" w:hAnsi="Segoe UI Symbol" w:cs="Arial"/>
                <w:szCs w:val="20"/>
              </w:rPr>
              <w:t>Further,</w:t>
            </w:r>
            <w:r w:rsidR="00626D53" w:rsidRPr="00B16E6B">
              <w:rPr>
                <w:rFonts w:ascii="Segoe UI Symbol" w:hAnsi="Segoe UI Symbol" w:cs="Arial"/>
                <w:szCs w:val="20"/>
              </w:rPr>
              <w:t xml:space="preserve"> the</w:t>
            </w:r>
            <w:r w:rsidRPr="00B16E6B">
              <w:rPr>
                <w:rFonts w:ascii="Segoe UI Symbol" w:hAnsi="Segoe UI Symbol" w:cs="Arial"/>
                <w:szCs w:val="20"/>
              </w:rPr>
              <w:t xml:space="preserve"> net benefit analysis has </w:t>
            </w:r>
            <w:r w:rsidR="00626D53" w:rsidRPr="00B16E6B">
              <w:rPr>
                <w:rFonts w:ascii="Segoe UI Symbol" w:hAnsi="Segoe UI Symbol" w:cs="Arial"/>
                <w:szCs w:val="20"/>
              </w:rPr>
              <w:t>incorporated a cost range which accounts for the uncertainty about cost impact.</w:t>
            </w:r>
          </w:p>
        </w:tc>
      </w:tr>
    </w:tbl>
    <w:p w14:paraId="39EFA3C0" w14:textId="77777777" w:rsidR="00E82498" w:rsidRPr="00B16E6B" w:rsidRDefault="00E82498" w:rsidP="009613E1">
      <w:pPr>
        <w:spacing w:line="271" w:lineRule="auto"/>
        <w:rPr>
          <w:rFonts w:ascii="Arial" w:hAnsi="Arial" w:cs="Arial"/>
        </w:rPr>
      </w:pPr>
    </w:p>
    <w:p w14:paraId="3969C428" w14:textId="77777777" w:rsidR="007550AB" w:rsidRPr="00B16E6B" w:rsidRDefault="00E82498" w:rsidP="009613E1">
      <w:pPr>
        <w:spacing w:after="200" w:line="271" w:lineRule="auto"/>
        <w:rPr>
          <w:rFonts w:ascii="Arial" w:hAnsi="Arial" w:cs="Arial"/>
        </w:rPr>
      </w:pPr>
      <w:r w:rsidRPr="00B16E6B">
        <w:rPr>
          <w:rFonts w:ascii="Arial" w:hAnsi="Arial" w:cs="Arial"/>
        </w:rPr>
        <w:br w:type="page"/>
      </w:r>
    </w:p>
    <w:p w14:paraId="29971058" w14:textId="77777777" w:rsidR="00BD171D" w:rsidRPr="00B16E6B" w:rsidRDefault="007550AB" w:rsidP="009613E1">
      <w:pPr>
        <w:pStyle w:val="Heading1"/>
        <w:numPr>
          <w:ilvl w:val="0"/>
          <w:numId w:val="13"/>
        </w:numPr>
        <w:spacing w:line="271" w:lineRule="auto"/>
      </w:pPr>
      <w:r w:rsidRPr="00B16E6B">
        <w:lastRenderedPageBreak/>
        <w:t>How will you evaluate your chosen option against the success metrics?</w:t>
      </w:r>
    </w:p>
    <w:p w14:paraId="235AC355" w14:textId="77777777" w:rsidR="00E82498" w:rsidRPr="00B16E6B" w:rsidRDefault="00E82498" w:rsidP="009613E1">
      <w:pPr>
        <w:pStyle w:val="Heading2"/>
        <w:spacing w:line="271" w:lineRule="auto"/>
        <w:rPr>
          <w:sz w:val="20"/>
        </w:rPr>
      </w:pPr>
      <w:bookmarkStart w:id="37" w:name="_Toc164683847"/>
      <w:r w:rsidRPr="00B16E6B">
        <w:t>7.1 Approach to evaluation</w:t>
      </w:r>
      <w:bookmarkEnd w:id="37"/>
    </w:p>
    <w:p w14:paraId="6C0452AB" w14:textId="77777777" w:rsidR="00876303" w:rsidRPr="00B16E6B" w:rsidRDefault="00E82498" w:rsidP="009613E1">
      <w:pPr>
        <w:spacing w:line="271" w:lineRule="auto"/>
        <w:rPr>
          <w:rFonts w:eastAsia="Times New Roman"/>
          <w:lang w:eastAsia="en-AU"/>
        </w:rPr>
      </w:pPr>
      <w:r w:rsidRPr="00B16E6B">
        <w:rPr>
          <w:rFonts w:eastAsia="Times New Roman"/>
          <w:lang w:eastAsia="en-AU"/>
        </w:rPr>
        <w:t>The effectiveness of</w:t>
      </w:r>
      <w:r w:rsidR="00406043" w:rsidRPr="00B16E6B">
        <w:rPr>
          <w:rFonts w:eastAsia="Times New Roman"/>
          <w:lang w:eastAsia="en-AU"/>
        </w:rPr>
        <w:t xml:space="preserve"> the proposed amendments under o</w:t>
      </w:r>
      <w:r w:rsidRPr="00B16E6B">
        <w:rPr>
          <w:rFonts w:eastAsia="Times New Roman"/>
          <w:lang w:eastAsia="en-AU"/>
        </w:rPr>
        <w:t xml:space="preserve">ption 4 will be assessed on an ongoing basis. This will include through Parliamentary processes and ad hoc feedback from industry and </w:t>
      </w:r>
      <w:r w:rsidR="00487C6A" w:rsidRPr="00B16E6B">
        <w:rPr>
          <w:rFonts w:eastAsia="Times New Roman"/>
          <w:lang w:eastAsia="en-AU"/>
        </w:rPr>
        <w:t>government</w:t>
      </w:r>
      <w:r w:rsidRPr="00B16E6B">
        <w:rPr>
          <w:rFonts w:eastAsia="Times New Roman"/>
          <w:lang w:eastAsia="en-AU"/>
        </w:rPr>
        <w:t xml:space="preserve"> stakeholders (including through mechanisms such as the TISN). </w:t>
      </w:r>
    </w:p>
    <w:p w14:paraId="7CE44C33" w14:textId="77777777" w:rsidR="00E82498" w:rsidRPr="00B16E6B" w:rsidRDefault="00502C52" w:rsidP="009613E1">
      <w:pPr>
        <w:pStyle w:val="Heading3"/>
        <w:spacing w:line="271" w:lineRule="auto"/>
      </w:pPr>
      <w:bookmarkStart w:id="38" w:name="_Toc164683848"/>
      <w:r w:rsidRPr="00B16E6B">
        <w:t>7</w:t>
      </w:r>
      <w:r w:rsidR="00E82498" w:rsidRPr="00B16E6B">
        <w:t>.2 Indicators of success</w:t>
      </w:r>
      <w:bookmarkEnd w:id="38"/>
      <w:r w:rsidR="00E82498" w:rsidRPr="00B16E6B">
        <w:t xml:space="preserve"> </w:t>
      </w:r>
    </w:p>
    <w:p w14:paraId="5D4C37E3" w14:textId="65CE1F55" w:rsidR="00C32B22" w:rsidRPr="00B16E6B" w:rsidRDefault="003E156F" w:rsidP="009613E1">
      <w:pPr>
        <w:pStyle w:val="Caption"/>
        <w:spacing w:line="271" w:lineRule="auto"/>
        <w:rPr>
          <w:rFonts w:ascii="Arial" w:eastAsia="Times New Roman" w:hAnsi="Arial" w:cs="Arial"/>
          <w:b w:val="0"/>
          <w:i/>
          <w:iCs/>
          <w:smallCaps w:val="0"/>
          <w:color w:val="44546A"/>
          <w:sz w:val="18"/>
          <w:szCs w:val="18"/>
          <w:lang w:eastAsia="en-AU"/>
        </w:rPr>
      </w:pPr>
      <w:r w:rsidRPr="00B16E6B">
        <w:rPr>
          <w:rFonts w:eastAsia="Times New Roman"/>
          <w:noProof/>
          <w:color w:val="000000"/>
          <w:lang w:eastAsia="en-AU"/>
        </w:rPr>
        <w:drawing>
          <wp:inline distT="0" distB="0" distL="0" distR="0" wp14:anchorId="21D739FD" wp14:editId="0CD01D62">
            <wp:extent cx="6607810" cy="3587115"/>
            <wp:effectExtent l="38100" t="0" r="21590" b="0"/>
            <wp:docPr id="34" name="Diagram 34" descr="The department will continue to engage with industry for formal and informal review of the amendments' effectiveness &#10;The department also engages closely with other regulators and technical advisors (such as the AFP and ASIO) to ensure indsutry recieves timely and consistent advice regarding threats that may impact the aviation, maritime, offshore oil and gas and air cargo sectors&#10;Regulators, including the department, will have an ongoing responsibility to assure government that industry's compliance obligations are being met &#10;The CISC's education, awareness, compliance and enforcement infrastructure will provide data on adoption of standards and practices by industry. This data will provide crucial insights on the amendments' effectiveness&#10;Internally, the department maintains a comprehensive compliance scorecard that allows for evaluation over the years for screening performance. This can be used to gage the effectiveness of measures relating to screening. &#10;The department will consistently report to ASAF, RASAF, ACSIAF and MISCF to share a comprehensive picture of the security environment, including how it is impacted by reforms. &#10;">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00C32B22" w:rsidRPr="00B16E6B">
        <w:rPr>
          <w:rFonts w:ascii="Arial" w:eastAsia="Times New Roman" w:hAnsi="Arial" w:cs="Arial"/>
          <w:i/>
          <w:iCs/>
          <w:smallCaps w:val="0"/>
          <w:color w:val="44546A"/>
          <w:sz w:val="18"/>
          <w:szCs w:val="18"/>
          <w:lang w:eastAsia="en-AU"/>
        </w:rPr>
        <w:t>Figure</w:t>
      </w:r>
      <w:r w:rsidR="00A649CD" w:rsidRPr="00B16E6B">
        <w:rPr>
          <w:rFonts w:ascii="Arial" w:eastAsia="Times New Roman" w:hAnsi="Arial" w:cs="Arial"/>
          <w:i/>
          <w:iCs/>
          <w:smallCaps w:val="0"/>
          <w:color w:val="44546A"/>
          <w:sz w:val="18"/>
          <w:szCs w:val="18"/>
          <w:lang w:eastAsia="en-AU"/>
        </w:rPr>
        <w:t xml:space="preserve"> </w:t>
      </w:r>
      <w:r w:rsidR="00E064DD" w:rsidRPr="00B16E6B">
        <w:rPr>
          <w:rFonts w:ascii="Arial" w:eastAsia="Times New Roman" w:hAnsi="Arial" w:cs="Arial"/>
          <w:i/>
          <w:iCs/>
          <w:smallCaps w:val="0"/>
          <w:color w:val="44546A"/>
          <w:sz w:val="18"/>
          <w:szCs w:val="18"/>
          <w:lang w:eastAsia="en-AU"/>
        </w:rPr>
        <w:t>5</w:t>
      </w:r>
      <w:r w:rsidR="00C32B22" w:rsidRPr="00B16E6B">
        <w:rPr>
          <w:rFonts w:ascii="Arial" w:eastAsia="Times New Roman" w:hAnsi="Arial" w:cs="Arial"/>
          <w:b w:val="0"/>
          <w:i/>
          <w:iCs/>
          <w:smallCaps w:val="0"/>
          <w:color w:val="44546A"/>
          <w:sz w:val="18"/>
          <w:szCs w:val="18"/>
          <w:lang w:eastAsia="en-AU"/>
        </w:rPr>
        <w:t xml:space="preserve"> Evaluation mechanisms</w:t>
      </w:r>
    </w:p>
    <w:p w14:paraId="5008E6F1" w14:textId="77777777" w:rsidR="00E82498" w:rsidRPr="00B16E6B" w:rsidRDefault="00E82498" w:rsidP="009613E1">
      <w:pPr>
        <w:spacing w:line="271" w:lineRule="auto"/>
        <w:rPr>
          <w:rFonts w:eastAsia="Times New Roman"/>
          <w:lang w:eastAsia="en-AU"/>
        </w:rPr>
      </w:pPr>
      <w:r w:rsidRPr="00B16E6B">
        <w:rPr>
          <w:rFonts w:eastAsia="Times New Roman"/>
          <w:lang w:eastAsia="en-AU"/>
        </w:rPr>
        <w:t xml:space="preserve">The proposed regulatory amendments under </w:t>
      </w:r>
      <w:r w:rsidR="00D560AF" w:rsidRPr="00B16E6B">
        <w:rPr>
          <w:rFonts w:eastAsia="Times New Roman"/>
          <w:lang w:eastAsia="en-AU"/>
        </w:rPr>
        <w:t>o</w:t>
      </w:r>
      <w:r w:rsidRPr="00B16E6B">
        <w:rPr>
          <w:rFonts w:eastAsia="Times New Roman"/>
          <w:lang w:eastAsia="en-AU"/>
        </w:rPr>
        <w:t xml:space="preserve">ption 4 will ensure that the transport sector can adapt and respond to current and emerging threats in a flexible, risk-based, and scalable manner. </w:t>
      </w:r>
    </w:p>
    <w:p w14:paraId="00907F7A" w14:textId="77777777" w:rsidR="00E82498" w:rsidRPr="00B16E6B" w:rsidRDefault="00E82498" w:rsidP="009613E1">
      <w:pPr>
        <w:spacing w:line="271" w:lineRule="auto"/>
        <w:ind w:left="720" w:hanging="720"/>
        <w:rPr>
          <w:rFonts w:eastAsia="Times New Roman"/>
          <w:lang w:eastAsia="en-AU"/>
        </w:rPr>
      </w:pPr>
      <w:r w:rsidRPr="00B16E6B">
        <w:rPr>
          <w:rFonts w:eastAsia="Times New Roman"/>
          <w:lang w:eastAsia="en-AU"/>
        </w:rPr>
        <w:t xml:space="preserve">If implemented successfully, the regulatory amendments under </w:t>
      </w:r>
      <w:r w:rsidR="00D560AF" w:rsidRPr="00B16E6B">
        <w:rPr>
          <w:rFonts w:eastAsia="Times New Roman"/>
          <w:lang w:eastAsia="en-AU"/>
        </w:rPr>
        <w:t>o</w:t>
      </w:r>
      <w:r w:rsidRPr="00B16E6B">
        <w:rPr>
          <w:rFonts w:eastAsia="Times New Roman"/>
          <w:lang w:eastAsia="en-AU"/>
        </w:rPr>
        <w:t xml:space="preserve">ption 4 will: </w:t>
      </w:r>
    </w:p>
    <w:p w14:paraId="42770938" w14:textId="77777777" w:rsidR="00E82498" w:rsidRPr="00B16E6B" w:rsidRDefault="00A649CD" w:rsidP="00A11AF5">
      <w:pPr>
        <w:pStyle w:val="ListParagraph"/>
        <w:numPr>
          <w:ilvl w:val="0"/>
          <w:numId w:val="43"/>
        </w:numPr>
        <w:spacing w:line="271" w:lineRule="auto"/>
        <w:contextualSpacing w:val="0"/>
        <w:rPr>
          <w:rFonts w:eastAsia="Times New Roman"/>
          <w:lang w:eastAsia="en-AU"/>
        </w:rPr>
      </w:pPr>
      <w:r w:rsidRPr="00B16E6B">
        <w:rPr>
          <w:rFonts w:eastAsia="Times New Roman"/>
          <w:lang w:eastAsia="en-AU"/>
        </w:rPr>
        <w:t>a</w:t>
      </w:r>
      <w:r w:rsidR="00E82498" w:rsidRPr="00B16E6B">
        <w:rPr>
          <w:rFonts w:eastAsia="Times New Roman"/>
          <w:lang w:eastAsia="en-AU"/>
        </w:rPr>
        <w:t xml:space="preserve">llow </w:t>
      </w:r>
      <w:r w:rsidR="00487C6A" w:rsidRPr="00B16E6B">
        <w:rPr>
          <w:rFonts w:eastAsia="Times New Roman"/>
          <w:lang w:eastAsia="en-AU"/>
        </w:rPr>
        <w:t>government</w:t>
      </w:r>
      <w:r w:rsidR="00E82498" w:rsidRPr="00B16E6B">
        <w:rPr>
          <w:rFonts w:eastAsia="Times New Roman"/>
          <w:lang w:eastAsia="en-AU"/>
        </w:rPr>
        <w:t>, industry, and the Australian public to have ongoing confidence in the resilience of the transport sector as a key critical infrastructure sector</w:t>
      </w:r>
    </w:p>
    <w:p w14:paraId="6BA96F07" w14:textId="77777777" w:rsidR="00E82498" w:rsidRPr="00B16E6B" w:rsidRDefault="00A649CD" w:rsidP="00A11AF5">
      <w:pPr>
        <w:pStyle w:val="ListParagraph"/>
        <w:numPr>
          <w:ilvl w:val="0"/>
          <w:numId w:val="43"/>
        </w:numPr>
        <w:spacing w:line="271" w:lineRule="auto"/>
        <w:contextualSpacing w:val="0"/>
        <w:rPr>
          <w:rFonts w:eastAsia="Times New Roman"/>
          <w:lang w:eastAsia="en-AU"/>
        </w:rPr>
      </w:pPr>
      <w:r w:rsidRPr="00B16E6B">
        <w:rPr>
          <w:rFonts w:eastAsia="Times New Roman"/>
          <w:lang w:eastAsia="en-AU"/>
        </w:rPr>
        <w:t>e</w:t>
      </w:r>
      <w:r w:rsidR="00E82498" w:rsidRPr="00B16E6B">
        <w:rPr>
          <w:rFonts w:eastAsia="Times New Roman"/>
          <w:lang w:eastAsia="en-AU"/>
        </w:rPr>
        <w:t xml:space="preserve">nsure the provision of adequate support from </w:t>
      </w:r>
      <w:r w:rsidR="00487C6A" w:rsidRPr="00B16E6B">
        <w:rPr>
          <w:rFonts w:eastAsia="Times New Roman"/>
          <w:lang w:eastAsia="en-AU"/>
        </w:rPr>
        <w:t>government</w:t>
      </w:r>
      <w:r w:rsidR="00E82498" w:rsidRPr="00B16E6B">
        <w:rPr>
          <w:rFonts w:eastAsia="Times New Roman"/>
          <w:lang w:eastAsia="en-AU"/>
        </w:rPr>
        <w:t xml:space="preserve"> to industry in the aftermath of an incident</w:t>
      </w:r>
    </w:p>
    <w:p w14:paraId="5E1541FF" w14:textId="77777777" w:rsidR="00E82498" w:rsidRPr="00B16E6B" w:rsidRDefault="00A649CD" w:rsidP="00A11AF5">
      <w:pPr>
        <w:pStyle w:val="ListParagraph"/>
        <w:numPr>
          <w:ilvl w:val="0"/>
          <w:numId w:val="43"/>
        </w:numPr>
        <w:spacing w:line="271" w:lineRule="auto"/>
        <w:contextualSpacing w:val="0"/>
        <w:rPr>
          <w:rFonts w:eastAsia="Times New Roman"/>
          <w:lang w:eastAsia="en-AU"/>
        </w:rPr>
      </w:pPr>
      <w:r w:rsidRPr="00B16E6B">
        <w:rPr>
          <w:rFonts w:eastAsia="Times New Roman"/>
          <w:lang w:eastAsia="en-AU"/>
        </w:rPr>
        <w:t>f</w:t>
      </w:r>
      <w:r w:rsidR="00E82498" w:rsidRPr="00B16E6B">
        <w:rPr>
          <w:rFonts w:eastAsia="Times New Roman"/>
          <w:lang w:eastAsia="en-AU"/>
        </w:rPr>
        <w:t xml:space="preserve">oster a strengthened relationship between industry and </w:t>
      </w:r>
      <w:r w:rsidR="00487C6A" w:rsidRPr="00B16E6B">
        <w:rPr>
          <w:rFonts w:eastAsia="Times New Roman"/>
          <w:lang w:eastAsia="en-AU"/>
        </w:rPr>
        <w:t>government</w:t>
      </w:r>
      <w:r w:rsidR="00E82498" w:rsidRPr="00B16E6B">
        <w:rPr>
          <w:rFonts w:eastAsia="Times New Roman"/>
          <w:lang w:eastAsia="en-AU"/>
        </w:rPr>
        <w:t xml:space="preserve"> through heightened and more frequent engagement, knowledge, and awareness of the </w:t>
      </w:r>
      <w:r w:rsidR="00CC08B8" w:rsidRPr="00B16E6B">
        <w:rPr>
          <w:rFonts w:eastAsia="Times New Roman"/>
          <w:lang w:eastAsia="en-AU"/>
        </w:rPr>
        <w:t>d</w:t>
      </w:r>
      <w:r w:rsidR="00E82498" w:rsidRPr="00B16E6B">
        <w:rPr>
          <w:rFonts w:eastAsia="Times New Roman"/>
          <w:lang w:eastAsia="en-AU"/>
        </w:rPr>
        <w:t xml:space="preserve">epartment’s approach to compliance, and improved visibility for both industry stakeholders and </w:t>
      </w:r>
      <w:r w:rsidR="00487C6A" w:rsidRPr="00B16E6B">
        <w:rPr>
          <w:rFonts w:eastAsia="Times New Roman"/>
          <w:lang w:eastAsia="en-AU"/>
        </w:rPr>
        <w:t>government</w:t>
      </w:r>
      <w:r w:rsidR="00C32B22" w:rsidRPr="00B16E6B">
        <w:rPr>
          <w:rFonts w:eastAsia="Times New Roman"/>
          <w:lang w:eastAsia="en-AU"/>
        </w:rPr>
        <w:t>.</w:t>
      </w:r>
    </w:p>
    <w:p w14:paraId="4B6068B5" w14:textId="7F1A0A31" w:rsidR="00D774E6" w:rsidRPr="00B16E6B" w:rsidRDefault="00D774E6" w:rsidP="009613E1">
      <w:pPr>
        <w:spacing w:line="271" w:lineRule="auto"/>
        <w:rPr>
          <w:rFonts w:eastAsia="Times New Roman"/>
          <w:szCs w:val="22"/>
          <w:lang w:eastAsia="en-AU"/>
        </w:rPr>
      </w:pPr>
      <w:r w:rsidRPr="00B16E6B">
        <w:rPr>
          <w:rFonts w:eastAsia="Times New Roman"/>
          <w:szCs w:val="22"/>
          <w:lang w:eastAsia="en-AU"/>
        </w:rPr>
        <w:lastRenderedPageBreak/>
        <w:t>Section 2 outlined appropriate approaches to measure the reform objectives. The following metrics will guide the evaluation:</w:t>
      </w:r>
    </w:p>
    <w:p w14:paraId="18020BCF" w14:textId="77777777" w:rsidR="00596E71" w:rsidRPr="00B16E6B" w:rsidRDefault="00596E71" w:rsidP="00A11AF5">
      <w:pPr>
        <w:pStyle w:val="ListParagraph"/>
        <w:numPr>
          <w:ilvl w:val="0"/>
          <w:numId w:val="59"/>
        </w:numPr>
        <w:spacing w:line="271" w:lineRule="auto"/>
        <w:rPr>
          <w:rFonts w:eastAsia="Times New Roman"/>
          <w:szCs w:val="22"/>
          <w:lang w:eastAsia="en-AU"/>
        </w:rPr>
      </w:pPr>
      <w:r w:rsidRPr="00B16E6B">
        <w:rPr>
          <w:rFonts w:eastAsia="Times New Roman"/>
          <w:szCs w:val="22"/>
          <w:lang w:eastAsia="en-AU"/>
        </w:rPr>
        <w:t xml:space="preserve">Objective: </w:t>
      </w:r>
      <w:r w:rsidRPr="00B16E6B">
        <w:rPr>
          <w:rFonts w:eastAsia="Times New Roman"/>
          <w:lang w:eastAsia="en-AU"/>
        </w:rPr>
        <w:t xml:space="preserve">Transport security legislative frameworks are robust, proportionate, and fit-for-purpose </w:t>
      </w:r>
    </w:p>
    <w:p w14:paraId="34AB2456" w14:textId="5F8751F1" w:rsidR="001C4C6D" w:rsidRPr="00B16E6B" w:rsidRDefault="001C4C6D" w:rsidP="00A11AF5">
      <w:pPr>
        <w:pStyle w:val="ListParagraph"/>
        <w:numPr>
          <w:ilvl w:val="1"/>
          <w:numId w:val="59"/>
        </w:numPr>
        <w:spacing w:line="271" w:lineRule="auto"/>
        <w:rPr>
          <w:rFonts w:eastAsia="Times New Roman"/>
          <w:szCs w:val="22"/>
          <w:lang w:eastAsia="en-AU"/>
        </w:rPr>
      </w:pPr>
      <w:r w:rsidRPr="00B16E6B">
        <w:rPr>
          <w:rFonts w:eastAsia="Times New Roman"/>
          <w:szCs w:val="22"/>
          <w:lang w:eastAsia="en-AU"/>
        </w:rPr>
        <w:t>Metric: Government’s ability to regulate in a flexible, scalable, risk-based way</w:t>
      </w:r>
    </w:p>
    <w:p w14:paraId="655F6690" w14:textId="3072F6B5" w:rsidR="001C4C6D" w:rsidRPr="00B16E6B" w:rsidRDefault="001C4C6D" w:rsidP="00A11AF5">
      <w:pPr>
        <w:pStyle w:val="ListParagraph"/>
        <w:numPr>
          <w:ilvl w:val="2"/>
          <w:numId w:val="59"/>
        </w:numPr>
        <w:spacing w:line="271" w:lineRule="auto"/>
        <w:rPr>
          <w:rFonts w:eastAsia="Times New Roman"/>
          <w:szCs w:val="22"/>
          <w:lang w:eastAsia="en-AU"/>
        </w:rPr>
      </w:pPr>
      <w:r w:rsidRPr="00B16E6B">
        <w:rPr>
          <w:rFonts w:eastAsia="Times New Roman"/>
          <w:szCs w:val="22"/>
          <w:lang w:eastAsia="en-AU"/>
        </w:rPr>
        <w:t>Target: Entities are meeting security outco</w:t>
      </w:r>
      <w:r w:rsidR="008B5CF8" w:rsidRPr="00B16E6B">
        <w:rPr>
          <w:rFonts w:eastAsia="Times New Roman"/>
          <w:szCs w:val="22"/>
          <w:lang w:eastAsia="en-AU"/>
        </w:rPr>
        <w:t>mes while also being regulated</w:t>
      </w:r>
      <w:r w:rsidRPr="00B16E6B">
        <w:rPr>
          <w:rFonts w:eastAsia="Times New Roman"/>
          <w:szCs w:val="22"/>
          <w:lang w:eastAsia="en-AU"/>
        </w:rPr>
        <w:t xml:space="preserve"> </w:t>
      </w:r>
      <w:r w:rsidR="008B5CF8" w:rsidRPr="00B16E6B">
        <w:rPr>
          <w:rFonts w:eastAsia="Times New Roman"/>
          <w:szCs w:val="22"/>
          <w:lang w:eastAsia="en-AU"/>
        </w:rPr>
        <w:t xml:space="preserve">proportionately </w:t>
      </w:r>
      <w:r w:rsidRPr="00B16E6B">
        <w:rPr>
          <w:rFonts w:eastAsia="Times New Roman"/>
          <w:szCs w:val="22"/>
          <w:lang w:eastAsia="en-AU"/>
        </w:rPr>
        <w:t>to its risk and operating environment</w:t>
      </w:r>
    </w:p>
    <w:p w14:paraId="7676EA49" w14:textId="0E270ABF" w:rsidR="001C4C6D" w:rsidRPr="00B16E6B" w:rsidRDefault="001C4C6D" w:rsidP="00A11AF5">
      <w:pPr>
        <w:pStyle w:val="ListParagraph"/>
        <w:numPr>
          <w:ilvl w:val="1"/>
          <w:numId w:val="59"/>
        </w:numPr>
        <w:spacing w:line="271" w:lineRule="auto"/>
        <w:rPr>
          <w:rFonts w:eastAsia="Times New Roman"/>
          <w:szCs w:val="22"/>
          <w:lang w:eastAsia="en-AU"/>
        </w:rPr>
      </w:pPr>
      <w:r w:rsidRPr="00B16E6B">
        <w:rPr>
          <w:rFonts w:eastAsia="Times New Roman"/>
          <w:szCs w:val="22"/>
          <w:lang w:eastAsia="en-AU"/>
        </w:rPr>
        <w:t>Metric: Entities are resilient to current and emerging threats</w:t>
      </w:r>
    </w:p>
    <w:p w14:paraId="0AD4007B" w14:textId="686AEDBF" w:rsidR="001C4C6D" w:rsidRPr="00B16E6B" w:rsidRDefault="001C4C6D" w:rsidP="00A11AF5">
      <w:pPr>
        <w:pStyle w:val="ListParagraph"/>
        <w:numPr>
          <w:ilvl w:val="2"/>
          <w:numId w:val="59"/>
        </w:numPr>
        <w:spacing w:line="271" w:lineRule="auto"/>
        <w:rPr>
          <w:rFonts w:eastAsia="Times New Roman"/>
          <w:szCs w:val="22"/>
          <w:lang w:eastAsia="en-AU"/>
        </w:rPr>
      </w:pPr>
      <w:r w:rsidRPr="00B16E6B">
        <w:rPr>
          <w:rFonts w:eastAsia="Times New Roman"/>
          <w:szCs w:val="22"/>
          <w:lang w:eastAsia="en-AU"/>
        </w:rPr>
        <w:t xml:space="preserve">Target: </w:t>
      </w:r>
      <w:r w:rsidR="008B5CF8" w:rsidRPr="00B16E6B">
        <w:rPr>
          <w:rFonts w:eastAsia="Times New Roman"/>
          <w:szCs w:val="22"/>
          <w:lang w:eastAsia="en-AU"/>
        </w:rPr>
        <w:t xml:space="preserve">Entities identify and effectively mitigate their security risks.  </w:t>
      </w:r>
    </w:p>
    <w:p w14:paraId="4C9DD380" w14:textId="77777777" w:rsidR="00D774E6" w:rsidRPr="00B16E6B" w:rsidRDefault="00D774E6" w:rsidP="00A11AF5">
      <w:pPr>
        <w:pStyle w:val="ListParagraph"/>
        <w:numPr>
          <w:ilvl w:val="0"/>
          <w:numId w:val="59"/>
        </w:numPr>
        <w:spacing w:line="271" w:lineRule="auto"/>
        <w:rPr>
          <w:rFonts w:eastAsia="Times New Roman"/>
          <w:szCs w:val="22"/>
          <w:lang w:eastAsia="en-AU"/>
        </w:rPr>
      </w:pPr>
      <w:r w:rsidRPr="00B16E6B">
        <w:rPr>
          <w:rFonts w:eastAsia="Times New Roman"/>
          <w:szCs w:val="22"/>
          <w:lang w:eastAsia="en-AU"/>
        </w:rPr>
        <w:t>Objective: Major security incidents in the Australian transport sector are minimised</w:t>
      </w:r>
    </w:p>
    <w:p w14:paraId="5DC7B6FB" w14:textId="77777777" w:rsidR="00D774E6" w:rsidRPr="00B16E6B" w:rsidRDefault="00D774E6" w:rsidP="00A11AF5">
      <w:pPr>
        <w:pStyle w:val="ListParagraph"/>
        <w:numPr>
          <w:ilvl w:val="1"/>
          <w:numId w:val="59"/>
        </w:numPr>
        <w:spacing w:line="271" w:lineRule="auto"/>
        <w:rPr>
          <w:rFonts w:eastAsia="Times New Roman"/>
          <w:szCs w:val="22"/>
          <w:lang w:eastAsia="en-AU"/>
        </w:rPr>
      </w:pPr>
      <w:r w:rsidRPr="00B16E6B">
        <w:rPr>
          <w:rFonts w:eastAsia="Times New Roman"/>
          <w:szCs w:val="22"/>
          <w:lang w:eastAsia="en-AU"/>
        </w:rPr>
        <w:t xml:space="preserve">Metric: Number of major security incidents in the Australian transport sector </w:t>
      </w:r>
    </w:p>
    <w:p w14:paraId="51C3A116" w14:textId="77777777" w:rsidR="00D774E6" w:rsidRPr="00B16E6B" w:rsidRDefault="00D774E6" w:rsidP="00A11AF5">
      <w:pPr>
        <w:pStyle w:val="ListParagraph"/>
        <w:numPr>
          <w:ilvl w:val="2"/>
          <w:numId w:val="59"/>
        </w:numPr>
        <w:spacing w:line="271" w:lineRule="auto"/>
        <w:rPr>
          <w:rFonts w:eastAsia="Times New Roman"/>
          <w:szCs w:val="22"/>
          <w:lang w:eastAsia="en-AU"/>
        </w:rPr>
      </w:pPr>
      <w:r w:rsidRPr="00B16E6B">
        <w:rPr>
          <w:rFonts w:eastAsia="Times New Roman"/>
          <w:szCs w:val="22"/>
          <w:lang w:eastAsia="en-AU"/>
        </w:rPr>
        <w:t xml:space="preserve">Target: Reduction in number of major incidents in Australia </w:t>
      </w:r>
    </w:p>
    <w:p w14:paraId="5907A407" w14:textId="127605A0" w:rsidR="00D774E6" w:rsidRPr="00B16E6B" w:rsidRDefault="00D774E6" w:rsidP="00A11AF5">
      <w:pPr>
        <w:pStyle w:val="ListParagraph"/>
        <w:numPr>
          <w:ilvl w:val="1"/>
          <w:numId w:val="59"/>
        </w:numPr>
        <w:spacing w:line="271" w:lineRule="auto"/>
        <w:rPr>
          <w:rFonts w:eastAsia="Times New Roman"/>
          <w:szCs w:val="22"/>
          <w:lang w:eastAsia="en-AU"/>
        </w:rPr>
      </w:pPr>
      <w:r w:rsidRPr="00B16E6B">
        <w:rPr>
          <w:rFonts w:eastAsia="Times New Roman"/>
          <w:szCs w:val="22"/>
          <w:lang w:eastAsia="en-AU"/>
        </w:rPr>
        <w:t>Metric:  Ratio of major security incidents in Australia relative to incidents in other relevant economies</w:t>
      </w:r>
      <w:r w:rsidR="006C2D4C" w:rsidRPr="00B16E6B">
        <w:rPr>
          <w:rFonts w:eastAsia="Times New Roman"/>
          <w:szCs w:val="22"/>
          <w:lang w:eastAsia="en-AU"/>
        </w:rPr>
        <w:t xml:space="preserve"> </w:t>
      </w:r>
    </w:p>
    <w:p w14:paraId="152C94FC" w14:textId="77777777" w:rsidR="00D774E6" w:rsidRPr="00B16E6B" w:rsidRDefault="00D774E6" w:rsidP="00A11AF5">
      <w:pPr>
        <w:pStyle w:val="ListParagraph"/>
        <w:numPr>
          <w:ilvl w:val="2"/>
          <w:numId w:val="59"/>
        </w:numPr>
        <w:spacing w:after="120" w:line="271" w:lineRule="auto"/>
        <w:ind w:left="2154" w:hanging="357"/>
        <w:contextualSpacing w:val="0"/>
        <w:rPr>
          <w:rFonts w:eastAsia="Times New Roman"/>
          <w:szCs w:val="22"/>
          <w:lang w:eastAsia="en-AU"/>
        </w:rPr>
      </w:pPr>
      <w:r w:rsidRPr="00B16E6B">
        <w:rPr>
          <w:rFonts w:eastAsia="Times New Roman"/>
          <w:szCs w:val="22"/>
          <w:lang w:eastAsia="en-AU"/>
        </w:rPr>
        <w:t>Target: Reduction in the ratio of incidents in Australia compared to overseas</w:t>
      </w:r>
    </w:p>
    <w:p w14:paraId="6A5C455C" w14:textId="77777777" w:rsidR="00D774E6" w:rsidRPr="00B16E6B" w:rsidRDefault="00D774E6" w:rsidP="00A11AF5">
      <w:pPr>
        <w:pStyle w:val="ListParagraph"/>
        <w:numPr>
          <w:ilvl w:val="0"/>
          <w:numId w:val="59"/>
        </w:numPr>
        <w:spacing w:line="271" w:lineRule="auto"/>
        <w:rPr>
          <w:rFonts w:eastAsia="Times New Roman"/>
          <w:szCs w:val="22"/>
          <w:lang w:eastAsia="en-AU"/>
        </w:rPr>
      </w:pPr>
      <w:r w:rsidRPr="00B16E6B">
        <w:rPr>
          <w:rFonts w:eastAsia="Times New Roman"/>
          <w:szCs w:val="22"/>
          <w:lang w:eastAsia="en-AU"/>
        </w:rPr>
        <w:t>Objective: Disruptions to Australian transport operations caused by lapses in security are minimised</w:t>
      </w:r>
    </w:p>
    <w:p w14:paraId="70DDD500" w14:textId="77777777" w:rsidR="00D774E6" w:rsidRPr="00B16E6B" w:rsidRDefault="00D774E6" w:rsidP="00A11AF5">
      <w:pPr>
        <w:pStyle w:val="ListParagraph"/>
        <w:numPr>
          <w:ilvl w:val="1"/>
          <w:numId w:val="59"/>
        </w:numPr>
        <w:spacing w:line="271" w:lineRule="auto"/>
        <w:rPr>
          <w:rFonts w:eastAsia="Times New Roman"/>
          <w:szCs w:val="22"/>
          <w:lang w:eastAsia="en-AU"/>
        </w:rPr>
      </w:pPr>
      <w:r w:rsidRPr="00B16E6B">
        <w:rPr>
          <w:rFonts w:eastAsia="Times New Roman"/>
          <w:szCs w:val="22"/>
          <w:lang w:eastAsia="en-AU"/>
        </w:rPr>
        <w:t xml:space="preserve">Metric: Scale of major security incidents in the Australian transport sector </w:t>
      </w:r>
    </w:p>
    <w:p w14:paraId="09416780" w14:textId="77777777" w:rsidR="00D774E6" w:rsidRPr="00B16E6B" w:rsidRDefault="00D774E6" w:rsidP="00A11AF5">
      <w:pPr>
        <w:pStyle w:val="ListParagraph"/>
        <w:numPr>
          <w:ilvl w:val="2"/>
          <w:numId w:val="59"/>
        </w:numPr>
        <w:spacing w:line="271" w:lineRule="auto"/>
        <w:rPr>
          <w:rFonts w:eastAsia="Times New Roman"/>
          <w:szCs w:val="22"/>
          <w:lang w:eastAsia="en-AU"/>
        </w:rPr>
      </w:pPr>
      <w:r w:rsidRPr="00B16E6B">
        <w:rPr>
          <w:rFonts w:eastAsia="Times New Roman"/>
          <w:szCs w:val="22"/>
          <w:lang w:eastAsia="en-AU"/>
        </w:rPr>
        <w:t xml:space="preserve">Target: Reduction in the scale of major incidents in Australia </w:t>
      </w:r>
    </w:p>
    <w:p w14:paraId="2D2C4EC7" w14:textId="77777777" w:rsidR="00D774E6" w:rsidRPr="00B16E6B" w:rsidRDefault="00D774E6" w:rsidP="00A11AF5">
      <w:pPr>
        <w:pStyle w:val="ListParagraph"/>
        <w:numPr>
          <w:ilvl w:val="1"/>
          <w:numId w:val="59"/>
        </w:numPr>
        <w:spacing w:line="271" w:lineRule="auto"/>
        <w:rPr>
          <w:rFonts w:eastAsia="Times New Roman"/>
          <w:szCs w:val="22"/>
          <w:lang w:eastAsia="en-AU"/>
        </w:rPr>
      </w:pPr>
      <w:r w:rsidRPr="00B16E6B">
        <w:rPr>
          <w:rFonts w:eastAsia="Times New Roman"/>
          <w:szCs w:val="22"/>
          <w:lang w:eastAsia="en-AU"/>
        </w:rPr>
        <w:t>Metric:  Ratio of major security incidents in Australia relative to incidents in other relevant economies</w:t>
      </w:r>
    </w:p>
    <w:p w14:paraId="17D6E164" w14:textId="77777777" w:rsidR="00D774E6" w:rsidRPr="00B16E6B" w:rsidRDefault="00D774E6" w:rsidP="00A11AF5">
      <w:pPr>
        <w:pStyle w:val="ListParagraph"/>
        <w:numPr>
          <w:ilvl w:val="2"/>
          <w:numId w:val="59"/>
        </w:numPr>
        <w:spacing w:line="271" w:lineRule="auto"/>
        <w:rPr>
          <w:rFonts w:eastAsia="Times New Roman"/>
          <w:szCs w:val="22"/>
          <w:lang w:eastAsia="en-AU"/>
        </w:rPr>
      </w:pPr>
      <w:r w:rsidRPr="00B16E6B">
        <w:rPr>
          <w:rFonts w:eastAsia="Times New Roman"/>
          <w:szCs w:val="22"/>
          <w:lang w:eastAsia="en-AU"/>
        </w:rPr>
        <w:t>Target: Reduction in the ratio of average size of incidents in Australia compared to overseas</w:t>
      </w:r>
    </w:p>
    <w:p w14:paraId="7091C78C" w14:textId="48103F96" w:rsidR="00C32B22" w:rsidRPr="00B16E6B" w:rsidRDefault="00C32B22" w:rsidP="00596E71">
      <w:pPr>
        <w:spacing w:line="271" w:lineRule="auto"/>
        <w:rPr>
          <w:rFonts w:eastAsia="Times New Roman"/>
          <w:szCs w:val="22"/>
          <w:lang w:eastAsia="en-AU"/>
        </w:rPr>
      </w:pPr>
      <w:r w:rsidRPr="00B16E6B">
        <w:rPr>
          <w:rFonts w:eastAsia="Times New Roman"/>
          <w:szCs w:val="22"/>
          <w:lang w:eastAsia="en-AU"/>
        </w:rPr>
        <w:t>After the initial grace period during which the department’s focus would be education</w:t>
      </w:r>
      <w:r w:rsidR="0034556B" w:rsidRPr="00B16E6B">
        <w:rPr>
          <w:rFonts w:eastAsia="Times New Roman"/>
          <w:szCs w:val="22"/>
          <w:lang w:eastAsia="en-AU"/>
        </w:rPr>
        <w:t xml:space="preserve"> and </w:t>
      </w:r>
      <w:r w:rsidRPr="00B16E6B">
        <w:rPr>
          <w:rFonts w:eastAsia="Times New Roman"/>
          <w:szCs w:val="22"/>
          <w:lang w:eastAsia="en-AU"/>
        </w:rPr>
        <w:t>engagement, the department may adopt its regular compliance approach. This would include issuing non-compliance notices and observation notices where compliance issues or vulnerabilities are identified. However, the severity of the enforcement action could increase to those industry participants who</w:t>
      </w:r>
      <w:r w:rsidR="00A649CD" w:rsidRPr="00B16E6B">
        <w:rPr>
          <w:rFonts w:eastAsia="Times New Roman"/>
          <w:szCs w:val="22"/>
          <w:lang w:eastAsia="en-AU"/>
        </w:rPr>
        <w:t xml:space="preserve"> severely</w:t>
      </w:r>
      <w:r w:rsidRPr="00B16E6B">
        <w:rPr>
          <w:rFonts w:eastAsia="Times New Roman"/>
          <w:szCs w:val="22"/>
          <w:lang w:eastAsia="en-AU"/>
        </w:rPr>
        <w:t xml:space="preserve"> fail to implement </w:t>
      </w:r>
      <w:r w:rsidR="00255E9F" w:rsidRPr="00B16E6B">
        <w:rPr>
          <w:rFonts w:eastAsia="Times New Roman"/>
          <w:szCs w:val="22"/>
          <w:lang w:eastAsia="en-AU"/>
        </w:rPr>
        <w:t>the proposed requirements</w:t>
      </w:r>
      <w:r w:rsidRPr="00B16E6B">
        <w:rPr>
          <w:rFonts w:eastAsia="Times New Roman"/>
          <w:szCs w:val="22"/>
          <w:lang w:eastAsia="en-AU"/>
        </w:rPr>
        <w:t xml:space="preserve"> within the required timeframe or </w:t>
      </w:r>
      <w:r w:rsidR="00A649CD" w:rsidRPr="00B16E6B">
        <w:rPr>
          <w:rFonts w:eastAsia="Times New Roman"/>
          <w:szCs w:val="22"/>
          <w:lang w:eastAsia="en-AU"/>
        </w:rPr>
        <w:t>for egregious non-</w:t>
      </w:r>
      <w:r w:rsidRPr="00B16E6B">
        <w:rPr>
          <w:rFonts w:eastAsia="Times New Roman"/>
          <w:szCs w:val="22"/>
          <w:lang w:eastAsia="en-AU"/>
        </w:rPr>
        <w:t xml:space="preserve">compliance. As depicted in </w:t>
      </w:r>
      <w:r w:rsidR="00E064DD" w:rsidRPr="00B16E6B">
        <w:rPr>
          <w:rFonts w:eastAsia="Times New Roman"/>
          <w:szCs w:val="22"/>
          <w:lang w:eastAsia="en-AU"/>
        </w:rPr>
        <w:t>table 28</w:t>
      </w:r>
      <w:r w:rsidRPr="00B16E6B">
        <w:rPr>
          <w:rFonts w:eastAsia="Times New Roman"/>
          <w:szCs w:val="22"/>
          <w:lang w:eastAsia="en-AU"/>
        </w:rPr>
        <w:t xml:space="preserve"> below, the majority of effort should be directed towards ‘persuasion’ tactics, including education and engagement with industry</w:t>
      </w:r>
      <w:r w:rsidR="00255E9F" w:rsidRPr="00B16E6B">
        <w:rPr>
          <w:rFonts w:eastAsia="Times New Roman"/>
          <w:szCs w:val="22"/>
          <w:lang w:eastAsia="en-AU"/>
        </w:rPr>
        <w:t>.</w:t>
      </w:r>
    </w:p>
    <w:p w14:paraId="23A145FD" w14:textId="28AD95A0" w:rsidR="00E82498" w:rsidRPr="00B16E6B" w:rsidRDefault="00E82498" w:rsidP="009613E1">
      <w:pPr>
        <w:pStyle w:val="Caption"/>
        <w:spacing w:line="271" w:lineRule="auto"/>
        <w:rPr>
          <w:rFonts w:eastAsia="Times New Roman"/>
          <w:b w:val="0"/>
          <w:bCs w:val="0"/>
          <w:smallCaps w:val="0"/>
          <w:color w:val="auto"/>
          <w:lang w:eastAsia="en-AU"/>
        </w:rPr>
      </w:pPr>
      <w:r w:rsidRPr="00B16E6B">
        <w:rPr>
          <w:rFonts w:eastAsia="Times New Roman"/>
          <w:b w:val="0"/>
          <w:bCs w:val="0"/>
          <w:smallCaps w:val="0"/>
          <w:color w:val="auto"/>
          <w:lang w:eastAsia="en-AU"/>
        </w:rPr>
        <w:t xml:space="preserve">The above indications of success align with </w:t>
      </w:r>
      <w:r w:rsidR="00487C6A" w:rsidRPr="00B16E6B">
        <w:rPr>
          <w:rFonts w:eastAsia="Times New Roman"/>
          <w:b w:val="0"/>
          <w:bCs w:val="0"/>
          <w:smallCaps w:val="0"/>
          <w:color w:val="auto"/>
          <w:lang w:eastAsia="en-AU"/>
        </w:rPr>
        <w:t>government</w:t>
      </w:r>
      <w:r w:rsidRPr="00B16E6B">
        <w:rPr>
          <w:rFonts w:eastAsia="Times New Roman"/>
          <w:b w:val="0"/>
          <w:bCs w:val="0"/>
          <w:smallCaps w:val="0"/>
          <w:color w:val="auto"/>
          <w:lang w:eastAsia="en-AU"/>
        </w:rPr>
        <w:t>’s objectives for inter</w:t>
      </w:r>
      <w:r w:rsidR="00AE00AF" w:rsidRPr="00B16E6B">
        <w:rPr>
          <w:rFonts w:eastAsia="Times New Roman"/>
          <w:b w:val="0"/>
          <w:bCs w:val="0"/>
          <w:smallCaps w:val="0"/>
          <w:color w:val="auto"/>
          <w:lang w:eastAsia="en-AU"/>
        </w:rPr>
        <w:t xml:space="preserve">vention, as outlined in </w:t>
      </w:r>
      <w:r w:rsidR="00E2411D" w:rsidRPr="00B16E6B">
        <w:rPr>
          <w:rFonts w:eastAsia="Times New Roman"/>
          <w:b w:val="0"/>
          <w:bCs w:val="0"/>
          <w:smallCaps w:val="0"/>
          <w:color w:val="auto"/>
          <w:lang w:eastAsia="en-AU"/>
        </w:rPr>
        <w:t>table</w:t>
      </w:r>
      <w:r w:rsidR="00AE00AF" w:rsidRPr="00B16E6B">
        <w:rPr>
          <w:rFonts w:eastAsia="Times New Roman"/>
          <w:b w:val="0"/>
          <w:bCs w:val="0"/>
          <w:smallCaps w:val="0"/>
          <w:color w:val="auto"/>
          <w:lang w:eastAsia="en-AU"/>
        </w:rPr>
        <w:t xml:space="preserve"> </w:t>
      </w:r>
      <w:r w:rsidR="00A027FB" w:rsidRPr="00B16E6B">
        <w:rPr>
          <w:rFonts w:eastAsia="Times New Roman"/>
          <w:b w:val="0"/>
          <w:bCs w:val="0"/>
          <w:smallCaps w:val="0"/>
          <w:color w:val="auto"/>
          <w:lang w:eastAsia="en-AU"/>
        </w:rPr>
        <w:t xml:space="preserve">28 </w:t>
      </w:r>
      <w:r w:rsidRPr="00B16E6B">
        <w:rPr>
          <w:rFonts w:eastAsia="Times New Roman"/>
          <w:b w:val="0"/>
          <w:bCs w:val="0"/>
          <w:smallCaps w:val="0"/>
          <w:color w:val="auto"/>
          <w:lang w:eastAsia="en-AU"/>
        </w:rPr>
        <w:t>below.</w:t>
      </w:r>
    </w:p>
    <w:p w14:paraId="7010A3BB" w14:textId="14CC9CFA" w:rsidR="0034556B" w:rsidRPr="00B16E6B" w:rsidRDefault="0034556B" w:rsidP="009613E1">
      <w:pPr>
        <w:spacing w:line="271" w:lineRule="auto"/>
        <w:rPr>
          <w:lang w:eastAsia="en-AU"/>
        </w:rPr>
      </w:pPr>
    </w:p>
    <w:p w14:paraId="6B05A8FD" w14:textId="2C0CAAC6" w:rsidR="0034556B" w:rsidRPr="00B16E6B" w:rsidRDefault="0034556B" w:rsidP="009613E1">
      <w:pPr>
        <w:spacing w:after="200" w:line="271" w:lineRule="auto"/>
        <w:rPr>
          <w:b/>
          <w:bCs/>
          <w:smallCaps/>
          <w:lang w:eastAsia="en-AU"/>
        </w:rPr>
      </w:pPr>
      <w:r w:rsidRPr="00B16E6B">
        <w:rPr>
          <w:lang w:eastAsia="en-AU"/>
        </w:rPr>
        <w:br w:type="page"/>
      </w:r>
    </w:p>
    <w:p w14:paraId="7D06C5C3" w14:textId="60499C57" w:rsidR="00E82498" w:rsidRPr="00B16E6B" w:rsidRDefault="00E82498" w:rsidP="009613E1">
      <w:pPr>
        <w:pStyle w:val="Caption"/>
        <w:keepNext/>
        <w:keepLines/>
        <w:spacing w:after="0" w:line="271" w:lineRule="auto"/>
        <w:rPr>
          <w:rFonts w:ascii="Arial" w:eastAsia="Times New Roman" w:hAnsi="Arial" w:cs="Arial"/>
          <w:b w:val="0"/>
          <w:i/>
          <w:iCs/>
          <w:smallCaps w:val="0"/>
          <w:color w:val="44546A"/>
          <w:sz w:val="18"/>
          <w:szCs w:val="18"/>
          <w:lang w:eastAsia="en-AU"/>
        </w:rPr>
      </w:pPr>
      <w:bookmarkStart w:id="39" w:name="_Ref163737333"/>
      <w:r w:rsidRPr="00B16E6B">
        <w:rPr>
          <w:rFonts w:ascii="Arial" w:eastAsia="Times New Roman" w:hAnsi="Arial" w:cs="Arial"/>
          <w:i/>
          <w:iCs/>
          <w:smallCaps w:val="0"/>
          <w:color w:val="44546A"/>
          <w:sz w:val="18"/>
          <w:szCs w:val="18"/>
          <w:lang w:eastAsia="en-AU"/>
        </w:rPr>
        <w:lastRenderedPageBreak/>
        <w:t xml:space="preserve">Table </w:t>
      </w:r>
      <w:bookmarkEnd w:id="39"/>
      <w:r w:rsidR="00AE00AF" w:rsidRPr="00B16E6B">
        <w:rPr>
          <w:rFonts w:ascii="Arial" w:eastAsia="Times New Roman" w:hAnsi="Arial" w:cs="Arial"/>
          <w:i/>
          <w:iCs/>
          <w:smallCaps w:val="0"/>
          <w:color w:val="44546A"/>
          <w:sz w:val="18"/>
          <w:szCs w:val="18"/>
          <w:lang w:eastAsia="en-AU"/>
        </w:rPr>
        <w:t>2</w:t>
      </w:r>
      <w:r w:rsidR="00A027FB" w:rsidRPr="00B16E6B">
        <w:rPr>
          <w:rFonts w:ascii="Arial" w:eastAsia="Times New Roman" w:hAnsi="Arial" w:cs="Arial"/>
          <w:i/>
          <w:iCs/>
          <w:smallCaps w:val="0"/>
          <w:color w:val="44546A"/>
          <w:sz w:val="18"/>
          <w:szCs w:val="18"/>
          <w:lang w:eastAsia="en-AU"/>
        </w:rPr>
        <w:t>8</w:t>
      </w:r>
      <w:r w:rsidR="00FD673D" w:rsidRPr="00B16E6B">
        <w:rPr>
          <w:rFonts w:ascii="Arial" w:eastAsia="Times New Roman" w:hAnsi="Arial" w:cs="Arial"/>
          <w:i/>
          <w:iCs/>
          <w:smallCaps w:val="0"/>
          <w:color w:val="44546A"/>
          <w:sz w:val="18"/>
          <w:szCs w:val="18"/>
          <w:lang w:eastAsia="en-AU"/>
        </w:rPr>
        <w:t>:</w:t>
      </w:r>
      <w:r w:rsidRPr="00B16E6B">
        <w:rPr>
          <w:rFonts w:ascii="Arial" w:eastAsia="Times New Roman" w:hAnsi="Arial" w:cs="Arial"/>
          <w:b w:val="0"/>
          <w:i/>
          <w:iCs/>
          <w:smallCaps w:val="0"/>
          <w:color w:val="44546A"/>
          <w:sz w:val="18"/>
          <w:szCs w:val="18"/>
          <w:lang w:eastAsia="en-AU"/>
        </w:rPr>
        <w:t xml:space="preserve"> Alignment between </w:t>
      </w:r>
      <w:r w:rsidR="00487C6A" w:rsidRPr="00B16E6B">
        <w:rPr>
          <w:rFonts w:ascii="Arial" w:eastAsia="Times New Roman" w:hAnsi="Arial" w:cs="Arial"/>
          <w:b w:val="0"/>
          <w:i/>
          <w:iCs/>
          <w:smallCaps w:val="0"/>
          <w:color w:val="44546A"/>
          <w:sz w:val="18"/>
          <w:szCs w:val="18"/>
          <w:lang w:eastAsia="en-AU"/>
        </w:rPr>
        <w:t>government</w:t>
      </w:r>
      <w:r w:rsidRPr="00B16E6B">
        <w:rPr>
          <w:rFonts w:ascii="Arial" w:eastAsia="Times New Roman" w:hAnsi="Arial" w:cs="Arial"/>
          <w:b w:val="0"/>
          <w:i/>
          <w:iCs/>
          <w:smallCaps w:val="0"/>
          <w:color w:val="44546A"/>
          <w:sz w:val="18"/>
          <w:szCs w:val="18"/>
          <w:lang w:eastAsia="en-AU"/>
        </w:rPr>
        <w:t xml:space="preserve"> objectives and outcomes</w:t>
      </w:r>
    </w:p>
    <w:tbl>
      <w:tblPr>
        <w:tblStyle w:val="TableGridLight"/>
        <w:tblW w:w="9356"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43"/>
        <w:gridCol w:w="4505"/>
        <w:gridCol w:w="3408"/>
      </w:tblGrid>
      <w:tr w:rsidR="00E82498" w:rsidRPr="00B16E6B" w14:paraId="1965D16F" w14:textId="77777777" w:rsidTr="00CD4306">
        <w:trPr>
          <w:trHeight w:val="300"/>
        </w:trPr>
        <w:tc>
          <w:tcPr>
            <w:tcW w:w="1445" w:type="dxa"/>
            <w:tcBorders>
              <w:top w:val="nil"/>
              <w:left w:val="nil"/>
              <w:bottom w:val="single" w:sz="4" w:space="0" w:color="BFBFBF" w:themeColor="background1" w:themeShade="BF"/>
              <w:right w:val="single" w:sz="4" w:space="0" w:color="BFBFBF" w:themeColor="background1" w:themeShade="BF"/>
            </w:tcBorders>
            <w:shd w:val="clear" w:color="auto" w:fill="1C2B39" w:themeFill="accent1"/>
            <w:vAlign w:val="center"/>
            <w:hideMark/>
          </w:tcPr>
          <w:p w14:paraId="07DDB54A" w14:textId="77777777" w:rsidR="00E82498" w:rsidRPr="00B16E6B" w:rsidRDefault="00487C6A" w:rsidP="009613E1">
            <w:pPr>
              <w:keepNext/>
              <w:keepLines/>
              <w:spacing w:after="0" w:line="271" w:lineRule="auto"/>
              <w:rPr>
                <w:rFonts w:cstheme="majorHAnsi"/>
                <w:b/>
                <w:bCs/>
              </w:rPr>
            </w:pPr>
            <w:r w:rsidRPr="00B16E6B">
              <w:rPr>
                <w:rFonts w:cstheme="majorHAnsi"/>
                <w:b/>
                <w:bCs/>
              </w:rPr>
              <w:t>Government</w:t>
            </w:r>
            <w:r w:rsidR="00E82498" w:rsidRPr="00B16E6B">
              <w:rPr>
                <w:rFonts w:cstheme="majorHAnsi"/>
                <w:b/>
                <w:bCs/>
              </w:rPr>
              <w:t xml:space="preserve"> objectives</w:t>
            </w:r>
          </w:p>
        </w:tc>
        <w:tc>
          <w:tcPr>
            <w:tcW w:w="450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C2B39" w:themeFill="accent1"/>
            <w:vAlign w:val="center"/>
            <w:hideMark/>
          </w:tcPr>
          <w:p w14:paraId="5F809DA4" w14:textId="77777777" w:rsidR="00E82498" w:rsidRPr="00B16E6B" w:rsidRDefault="00E82498" w:rsidP="009613E1">
            <w:pPr>
              <w:keepNext/>
              <w:keepLines/>
              <w:spacing w:after="0" w:line="271" w:lineRule="auto"/>
              <w:rPr>
                <w:rFonts w:cstheme="majorHAnsi"/>
                <w:b/>
                <w:bCs/>
              </w:rPr>
            </w:pPr>
            <w:r w:rsidRPr="00B16E6B">
              <w:rPr>
                <w:rFonts w:cstheme="majorHAnsi"/>
                <w:b/>
                <w:bCs/>
              </w:rPr>
              <w:t>Indicator of success</w:t>
            </w:r>
          </w:p>
        </w:tc>
        <w:tc>
          <w:tcPr>
            <w:tcW w:w="3407" w:type="dxa"/>
            <w:tcBorders>
              <w:top w:val="nil"/>
              <w:left w:val="single" w:sz="4" w:space="0" w:color="BFBFBF" w:themeColor="background1" w:themeShade="BF"/>
              <w:bottom w:val="single" w:sz="4" w:space="0" w:color="BFBFBF" w:themeColor="background1" w:themeShade="BF"/>
              <w:right w:val="nil"/>
            </w:tcBorders>
            <w:shd w:val="clear" w:color="auto" w:fill="1C2B39" w:themeFill="accent1"/>
            <w:vAlign w:val="center"/>
            <w:hideMark/>
          </w:tcPr>
          <w:p w14:paraId="642C7A89" w14:textId="77777777" w:rsidR="00E82498" w:rsidRPr="00B16E6B" w:rsidRDefault="00E82498" w:rsidP="009613E1">
            <w:pPr>
              <w:keepNext/>
              <w:keepLines/>
              <w:spacing w:after="0" w:line="271" w:lineRule="auto"/>
              <w:rPr>
                <w:rFonts w:cstheme="majorHAnsi"/>
                <w:b/>
                <w:bCs/>
              </w:rPr>
            </w:pPr>
            <w:r w:rsidRPr="00B16E6B">
              <w:rPr>
                <w:rFonts w:cstheme="majorHAnsi"/>
                <w:b/>
                <w:bCs/>
              </w:rPr>
              <w:t>Evidence of Success</w:t>
            </w:r>
          </w:p>
        </w:tc>
      </w:tr>
      <w:tr w:rsidR="00E82498" w:rsidRPr="00B16E6B" w14:paraId="5E389D6B" w14:textId="77777777" w:rsidTr="00CD4306">
        <w:trPr>
          <w:trHeight w:val="300"/>
        </w:trPr>
        <w:tc>
          <w:tcPr>
            <w:tcW w:w="144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22045DF" w14:textId="77777777" w:rsidR="00E82498" w:rsidRPr="00B16E6B" w:rsidRDefault="00E82498" w:rsidP="009613E1">
            <w:pPr>
              <w:spacing w:after="0" w:line="271" w:lineRule="auto"/>
              <w:rPr>
                <w:rFonts w:cstheme="majorHAnsi"/>
              </w:rPr>
            </w:pPr>
            <w:r w:rsidRPr="00B16E6B">
              <w:rPr>
                <w:rFonts w:cstheme="majorHAnsi"/>
              </w:rPr>
              <w:t xml:space="preserve">Ensure </w:t>
            </w:r>
            <w:r w:rsidR="00487C6A" w:rsidRPr="00B16E6B">
              <w:rPr>
                <w:rFonts w:cstheme="majorHAnsi"/>
              </w:rPr>
              <w:t>government</w:t>
            </w:r>
            <w:r w:rsidRPr="00B16E6B">
              <w:rPr>
                <w:rFonts w:cstheme="majorHAnsi"/>
              </w:rPr>
              <w:t xml:space="preserve"> and industry are equipped to respond to current and emerging threats</w:t>
            </w:r>
          </w:p>
        </w:tc>
        <w:tc>
          <w:tcPr>
            <w:tcW w:w="450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hideMark/>
          </w:tcPr>
          <w:p w14:paraId="5B255ED7" w14:textId="77777777" w:rsidR="004945DA" w:rsidRPr="00B16E6B" w:rsidRDefault="004945DA" w:rsidP="00A11AF5">
            <w:pPr>
              <w:pStyle w:val="ListParagraph"/>
              <w:numPr>
                <w:ilvl w:val="0"/>
                <w:numId w:val="44"/>
              </w:numPr>
              <w:spacing w:after="120" w:line="271" w:lineRule="auto"/>
              <w:rPr>
                <w:rFonts w:eastAsia="Times New Roman"/>
                <w:szCs w:val="21"/>
                <w:lang w:eastAsia="en-AU"/>
              </w:rPr>
            </w:pPr>
            <w:r w:rsidRPr="00B16E6B">
              <w:rPr>
                <w:rFonts w:eastAsia="Times New Roman"/>
                <w:szCs w:val="21"/>
                <w:lang w:eastAsia="en-AU"/>
              </w:rPr>
              <w:t xml:space="preserve">Allow </w:t>
            </w:r>
            <w:r w:rsidR="00487C6A" w:rsidRPr="00B16E6B">
              <w:rPr>
                <w:rFonts w:eastAsia="Times New Roman"/>
                <w:szCs w:val="21"/>
                <w:lang w:eastAsia="en-AU"/>
              </w:rPr>
              <w:t>government</w:t>
            </w:r>
            <w:r w:rsidRPr="00B16E6B">
              <w:rPr>
                <w:rFonts w:eastAsia="Times New Roman"/>
                <w:szCs w:val="21"/>
                <w:lang w:eastAsia="en-AU"/>
              </w:rPr>
              <w:t>, industry, and the Australian public to have ongoing confidence in the resilience of the transport sector as a key critical infrastructure sector</w:t>
            </w:r>
          </w:p>
          <w:p w14:paraId="43B44E6C" w14:textId="77777777" w:rsidR="004945DA" w:rsidRPr="00B16E6B" w:rsidRDefault="004945DA" w:rsidP="00A11AF5">
            <w:pPr>
              <w:pStyle w:val="ListParagraph"/>
              <w:numPr>
                <w:ilvl w:val="0"/>
                <w:numId w:val="44"/>
              </w:numPr>
              <w:spacing w:after="120" w:line="271" w:lineRule="auto"/>
              <w:rPr>
                <w:rFonts w:eastAsia="Times New Roman"/>
                <w:szCs w:val="21"/>
                <w:lang w:eastAsia="en-AU"/>
              </w:rPr>
            </w:pPr>
            <w:r w:rsidRPr="00B16E6B">
              <w:rPr>
                <w:rFonts w:eastAsia="Times New Roman"/>
                <w:szCs w:val="21"/>
                <w:lang w:eastAsia="en-AU"/>
              </w:rPr>
              <w:t xml:space="preserve">Ensure the provision of adequate support from </w:t>
            </w:r>
            <w:r w:rsidR="00487C6A" w:rsidRPr="00B16E6B">
              <w:rPr>
                <w:rFonts w:eastAsia="Times New Roman"/>
                <w:szCs w:val="21"/>
                <w:lang w:eastAsia="en-AU"/>
              </w:rPr>
              <w:t>g</w:t>
            </w:r>
            <w:r w:rsidRPr="00B16E6B">
              <w:rPr>
                <w:rFonts w:eastAsia="Times New Roman"/>
                <w:szCs w:val="21"/>
                <w:lang w:eastAsia="en-AU"/>
              </w:rPr>
              <w:t>overnment to industry in the aftermath of an incident</w:t>
            </w:r>
          </w:p>
          <w:p w14:paraId="773169C9" w14:textId="77777777" w:rsidR="00E82498" w:rsidRPr="00B16E6B" w:rsidRDefault="004945DA" w:rsidP="00A11AF5">
            <w:pPr>
              <w:pStyle w:val="ListParagraph"/>
              <w:numPr>
                <w:ilvl w:val="0"/>
                <w:numId w:val="44"/>
              </w:numPr>
              <w:spacing w:after="120" w:line="271" w:lineRule="auto"/>
              <w:rPr>
                <w:rFonts w:eastAsia="Times New Roman"/>
                <w:szCs w:val="21"/>
                <w:lang w:eastAsia="en-AU"/>
              </w:rPr>
            </w:pPr>
            <w:r w:rsidRPr="00B16E6B">
              <w:rPr>
                <w:rFonts w:eastAsia="Times New Roman"/>
                <w:szCs w:val="21"/>
                <w:lang w:eastAsia="en-AU"/>
              </w:rPr>
              <w:t xml:space="preserve">Foster a strengthened relationship between industry and </w:t>
            </w:r>
            <w:r w:rsidR="00487C6A" w:rsidRPr="00B16E6B">
              <w:rPr>
                <w:rFonts w:eastAsia="Times New Roman"/>
                <w:szCs w:val="21"/>
                <w:lang w:eastAsia="en-AU"/>
              </w:rPr>
              <w:t>government</w:t>
            </w:r>
            <w:r w:rsidRPr="00B16E6B">
              <w:rPr>
                <w:rFonts w:eastAsia="Times New Roman"/>
                <w:szCs w:val="21"/>
                <w:lang w:eastAsia="en-AU"/>
              </w:rPr>
              <w:t xml:space="preserve"> through heightened and more frequent engagement, knowledge, and awareness of the </w:t>
            </w:r>
            <w:r w:rsidR="00CC08B8" w:rsidRPr="00B16E6B">
              <w:rPr>
                <w:rFonts w:eastAsia="Times New Roman"/>
                <w:szCs w:val="21"/>
                <w:lang w:eastAsia="en-AU"/>
              </w:rPr>
              <w:t>d</w:t>
            </w:r>
            <w:r w:rsidRPr="00B16E6B">
              <w:rPr>
                <w:rFonts w:eastAsia="Times New Roman"/>
                <w:szCs w:val="21"/>
                <w:lang w:eastAsia="en-AU"/>
              </w:rPr>
              <w:t xml:space="preserve">epartment’s approach to compliance, and improved visibility for both industry stakeholders and </w:t>
            </w:r>
            <w:r w:rsidR="00414D3A" w:rsidRPr="00B16E6B">
              <w:rPr>
                <w:rFonts w:eastAsia="Times New Roman"/>
                <w:szCs w:val="21"/>
                <w:lang w:eastAsia="en-AU"/>
              </w:rPr>
              <w:t>g</w:t>
            </w:r>
            <w:r w:rsidR="00487C6A" w:rsidRPr="00B16E6B">
              <w:rPr>
                <w:rFonts w:eastAsia="Times New Roman"/>
                <w:szCs w:val="21"/>
                <w:lang w:eastAsia="en-AU"/>
              </w:rPr>
              <w:t>overnment</w:t>
            </w:r>
          </w:p>
        </w:tc>
        <w:tc>
          <w:tcPr>
            <w:tcW w:w="3407" w:type="dxa"/>
            <w:tcBorders>
              <w:top w:val="single" w:sz="4" w:space="0" w:color="BFBFBF" w:themeColor="background1" w:themeShade="BF"/>
              <w:left w:val="single" w:sz="4" w:space="0" w:color="BFBFBF" w:themeColor="background1" w:themeShade="BF"/>
              <w:bottom w:val="nil"/>
              <w:right w:val="nil"/>
            </w:tcBorders>
            <w:vAlign w:val="center"/>
            <w:hideMark/>
          </w:tcPr>
          <w:p w14:paraId="3DB43B15" w14:textId="77777777" w:rsidR="00E82498" w:rsidRPr="00B16E6B" w:rsidRDefault="004945DA" w:rsidP="00A11AF5">
            <w:pPr>
              <w:pStyle w:val="ListParagraph"/>
              <w:numPr>
                <w:ilvl w:val="0"/>
                <w:numId w:val="45"/>
              </w:numPr>
              <w:spacing w:after="0" w:line="271" w:lineRule="auto"/>
              <w:contextualSpacing w:val="0"/>
              <w:rPr>
                <w:rFonts w:cstheme="majorHAnsi"/>
              </w:rPr>
            </w:pPr>
            <w:r w:rsidRPr="00B16E6B">
              <w:rPr>
                <w:rFonts w:cstheme="majorHAnsi"/>
              </w:rPr>
              <w:t>Industry has the</w:t>
            </w:r>
            <w:r w:rsidR="00E82498" w:rsidRPr="00B16E6B">
              <w:rPr>
                <w:rFonts w:cstheme="majorHAnsi"/>
              </w:rPr>
              <w:t xml:space="preserve"> ability to clearly identify, implement and comply with </w:t>
            </w:r>
            <w:r w:rsidR="003E156F" w:rsidRPr="00B16E6B">
              <w:rPr>
                <w:rFonts w:cstheme="majorHAnsi"/>
              </w:rPr>
              <w:t xml:space="preserve">international and domestic </w:t>
            </w:r>
            <w:r w:rsidR="00E82498" w:rsidRPr="00B16E6B">
              <w:rPr>
                <w:rFonts w:cstheme="majorHAnsi"/>
              </w:rPr>
              <w:t>standards</w:t>
            </w:r>
          </w:p>
          <w:p w14:paraId="464B603B" w14:textId="77777777" w:rsidR="00E82498" w:rsidRPr="00B16E6B" w:rsidRDefault="004945DA" w:rsidP="00A11AF5">
            <w:pPr>
              <w:pStyle w:val="ListParagraph"/>
              <w:numPr>
                <w:ilvl w:val="0"/>
                <w:numId w:val="45"/>
              </w:numPr>
              <w:spacing w:after="0" w:line="271" w:lineRule="auto"/>
              <w:contextualSpacing w:val="0"/>
              <w:rPr>
                <w:rFonts w:cstheme="majorHAnsi"/>
              </w:rPr>
            </w:pPr>
            <w:r w:rsidRPr="00B16E6B">
              <w:rPr>
                <w:rFonts w:cstheme="majorHAnsi"/>
              </w:rPr>
              <w:t xml:space="preserve">Industry </w:t>
            </w:r>
            <w:r w:rsidR="003E156F" w:rsidRPr="00B16E6B">
              <w:rPr>
                <w:rFonts w:cstheme="majorHAnsi"/>
              </w:rPr>
              <w:t>develops greater capability in the</w:t>
            </w:r>
            <w:r w:rsidRPr="00B16E6B">
              <w:rPr>
                <w:rFonts w:cstheme="majorHAnsi"/>
              </w:rPr>
              <w:t xml:space="preserve"> way</w:t>
            </w:r>
            <w:r w:rsidR="003E156F" w:rsidRPr="00B16E6B">
              <w:rPr>
                <w:rFonts w:cstheme="majorHAnsi"/>
              </w:rPr>
              <w:t xml:space="preserve">s </w:t>
            </w:r>
            <w:r w:rsidRPr="00B16E6B">
              <w:rPr>
                <w:rFonts w:cstheme="majorHAnsi"/>
              </w:rPr>
              <w:t xml:space="preserve">they can </w:t>
            </w:r>
            <w:r w:rsidR="00E82498" w:rsidRPr="00B16E6B">
              <w:rPr>
                <w:rFonts w:cstheme="majorHAnsi"/>
              </w:rPr>
              <w:t>respond</w:t>
            </w:r>
            <w:r w:rsidR="00E17665" w:rsidRPr="00B16E6B">
              <w:rPr>
                <w:rFonts w:cstheme="majorHAnsi"/>
              </w:rPr>
              <w:t xml:space="preserve"> to all hazards</w:t>
            </w:r>
            <w:r w:rsidR="003E156F" w:rsidRPr="00B16E6B">
              <w:rPr>
                <w:rFonts w:cstheme="majorHAnsi"/>
              </w:rPr>
              <w:t xml:space="preserve"> security</w:t>
            </w:r>
            <w:r w:rsidR="00E17665" w:rsidRPr="00B16E6B">
              <w:rPr>
                <w:rFonts w:cstheme="majorHAnsi"/>
              </w:rPr>
              <w:t xml:space="preserve"> risks</w:t>
            </w:r>
          </w:p>
          <w:p w14:paraId="54B79BD6" w14:textId="77777777" w:rsidR="00E82498" w:rsidRPr="00B16E6B" w:rsidRDefault="004945DA" w:rsidP="00A11AF5">
            <w:pPr>
              <w:pStyle w:val="ListParagraph"/>
              <w:numPr>
                <w:ilvl w:val="0"/>
                <w:numId w:val="45"/>
              </w:numPr>
              <w:spacing w:after="0" w:line="271" w:lineRule="auto"/>
              <w:contextualSpacing w:val="0"/>
              <w:rPr>
                <w:rFonts w:cstheme="majorHAnsi"/>
              </w:rPr>
            </w:pPr>
            <w:r w:rsidRPr="00B16E6B">
              <w:rPr>
                <w:rFonts w:cstheme="majorHAnsi"/>
              </w:rPr>
              <w:t>There is a</w:t>
            </w:r>
            <w:r w:rsidR="00E82498" w:rsidRPr="00B16E6B">
              <w:rPr>
                <w:rFonts w:cstheme="majorHAnsi"/>
              </w:rPr>
              <w:t xml:space="preserve"> flexible and transparent approach to interactions with </w:t>
            </w:r>
            <w:r w:rsidR="003E156F" w:rsidRPr="00B16E6B">
              <w:rPr>
                <w:rFonts w:cstheme="majorHAnsi"/>
              </w:rPr>
              <w:t>g</w:t>
            </w:r>
            <w:r w:rsidR="00E82498" w:rsidRPr="00B16E6B">
              <w:rPr>
                <w:rFonts w:cstheme="majorHAnsi"/>
              </w:rPr>
              <w:t>overnment,</w:t>
            </w:r>
            <w:r w:rsidR="003E156F" w:rsidRPr="00B16E6B">
              <w:rPr>
                <w:rFonts w:cstheme="majorHAnsi"/>
              </w:rPr>
              <w:t xml:space="preserve"> which builds relationships and</w:t>
            </w:r>
            <w:r w:rsidR="00E82498" w:rsidRPr="00B16E6B">
              <w:rPr>
                <w:rFonts w:cstheme="majorHAnsi"/>
              </w:rPr>
              <w:t xml:space="preserve"> includ</w:t>
            </w:r>
            <w:r w:rsidR="003E156F" w:rsidRPr="00B16E6B">
              <w:rPr>
                <w:rFonts w:cstheme="majorHAnsi"/>
              </w:rPr>
              <w:t>es</w:t>
            </w:r>
            <w:r w:rsidR="00E82498" w:rsidRPr="00B16E6B">
              <w:rPr>
                <w:rFonts w:cstheme="majorHAnsi"/>
              </w:rPr>
              <w:t xml:space="preserve"> leveraging </w:t>
            </w:r>
            <w:r w:rsidR="003E156F" w:rsidRPr="00B16E6B">
              <w:rPr>
                <w:rFonts w:cstheme="majorHAnsi"/>
              </w:rPr>
              <w:t>g</w:t>
            </w:r>
            <w:r w:rsidR="00E82498" w:rsidRPr="00B16E6B">
              <w:rPr>
                <w:rFonts w:cstheme="majorHAnsi"/>
              </w:rPr>
              <w:t xml:space="preserve">overnment support </w:t>
            </w:r>
            <w:r w:rsidR="003E156F" w:rsidRPr="00B16E6B">
              <w:rPr>
                <w:rFonts w:cstheme="majorHAnsi"/>
              </w:rPr>
              <w:t>where appropriate</w:t>
            </w:r>
          </w:p>
          <w:p w14:paraId="2F162CE1" w14:textId="77777777" w:rsidR="004945DA" w:rsidRPr="00B16E6B" w:rsidRDefault="004945DA" w:rsidP="00A11AF5">
            <w:pPr>
              <w:pStyle w:val="ListParagraph"/>
              <w:numPr>
                <w:ilvl w:val="0"/>
                <w:numId w:val="45"/>
              </w:numPr>
              <w:spacing w:after="0" w:line="271" w:lineRule="auto"/>
              <w:contextualSpacing w:val="0"/>
              <w:rPr>
                <w:rFonts w:cstheme="majorHAnsi"/>
              </w:rPr>
            </w:pPr>
            <w:r w:rsidRPr="00B16E6B">
              <w:rPr>
                <w:rFonts w:cstheme="majorHAnsi"/>
              </w:rPr>
              <w:t>There is a</w:t>
            </w:r>
            <w:r w:rsidR="00E82498" w:rsidRPr="00B16E6B">
              <w:rPr>
                <w:rFonts w:cstheme="majorHAnsi"/>
              </w:rPr>
              <w:t xml:space="preserve"> reduction in the number of (or severity of) attacks on aviation</w:t>
            </w:r>
            <w:r w:rsidR="00E17665" w:rsidRPr="00B16E6B">
              <w:rPr>
                <w:rFonts w:cstheme="majorHAnsi"/>
              </w:rPr>
              <w:t xml:space="preserve"> and</w:t>
            </w:r>
            <w:r w:rsidR="00E82498" w:rsidRPr="00B16E6B">
              <w:rPr>
                <w:rFonts w:cstheme="majorHAnsi"/>
              </w:rPr>
              <w:t xml:space="preserve"> maritime sectors arising through all hazards threats</w:t>
            </w:r>
          </w:p>
          <w:p w14:paraId="22E249DE" w14:textId="0A87BF4B" w:rsidR="00491058" w:rsidRPr="00B16E6B" w:rsidRDefault="00491058" w:rsidP="00A11AF5">
            <w:pPr>
              <w:pStyle w:val="ListParagraph"/>
              <w:numPr>
                <w:ilvl w:val="0"/>
                <w:numId w:val="45"/>
              </w:numPr>
              <w:spacing w:after="0" w:line="271" w:lineRule="auto"/>
              <w:contextualSpacing w:val="0"/>
              <w:rPr>
                <w:rFonts w:cstheme="majorHAnsi"/>
              </w:rPr>
            </w:pPr>
            <w:r w:rsidRPr="00B16E6B">
              <w:rPr>
                <w:rFonts w:cstheme="majorHAnsi"/>
              </w:rPr>
              <w:t>There is a reduction in</w:t>
            </w:r>
            <w:r w:rsidR="00A11B6A" w:rsidRPr="00B16E6B">
              <w:rPr>
                <w:rFonts w:cstheme="majorHAnsi"/>
              </w:rPr>
              <w:t xml:space="preserve"> the</w:t>
            </w:r>
            <w:r w:rsidRPr="00B16E6B">
              <w:rPr>
                <w:rFonts w:cstheme="majorHAnsi"/>
              </w:rPr>
              <w:t xml:space="preserve"> number of (or severity of) impacts to Australian maritime and aviation sectors arising from world-wide events.</w:t>
            </w:r>
          </w:p>
        </w:tc>
      </w:tr>
      <w:tr w:rsidR="00CD4306" w:rsidRPr="00B16E6B" w14:paraId="2394EDDD" w14:textId="77777777" w:rsidTr="00CD4306">
        <w:trPr>
          <w:trHeight w:val="300"/>
        </w:trPr>
        <w:tc>
          <w:tcPr>
            <w:tcW w:w="144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CFBEE8F" w14:textId="77777777" w:rsidR="00CD4306" w:rsidRPr="00B16E6B" w:rsidRDefault="00CD4306" w:rsidP="00CD4306">
            <w:pPr>
              <w:spacing w:after="0" w:line="271" w:lineRule="auto"/>
              <w:rPr>
                <w:rFonts w:cstheme="majorHAnsi"/>
              </w:rPr>
            </w:pPr>
            <w:r w:rsidRPr="00B16E6B">
              <w:rPr>
                <w:rFonts w:cstheme="majorHAnsi"/>
              </w:rPr>
              <w:t xml:space="preserve">Ensure industry can meet desired security outcomes, including through identifying, mitigating, and responding to all </w:t>
            </w:r>
            <w:r w:rsidRPr="00B16E6B">
              <w:rPr>
                <w:rFonts w:cstheme="majorHAnsi"/>
              </w:rPr>
              <w:lastRenderedPageBreak/>
              <w:t>hazards threats.</w:t>
            </w:r>
          </w:p>
        </w:tc>
        <w:tc>
          <w:tcPr>
            <w:tcW w:w="0" w:type="auto"/>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hideMark/>
          </w:tcPr>
          <w:p w14:paraId="0637741A" w14:textId="77777777" w:rsidR="00CD4306" w:rsidRPr="00B16E6B" w:rsidRDefault="00CD4306" w:rsidP="00A11AF5">
            <w:pPr>
              <w:pStyle w:val="ListParagraph"/>
              <w:numPr>
                <w:ilvl w:val="0"/>
                <w:numId w:val="44"/>
              </w:numPr>
              <w:spacing w:after="120" w:line="271" w:lineRule="auto"/>
              <w:rPr>
                <w:rFonts w:eastAsia="Times New Roman"/>
                <w:szCs w:val="21"/>
                <w:lang w:eastAsia="en-AU"/>
              </w:rPr>
            </w:pPr>
            <w:r w:rsidRPr="00B16E6B">
              <w:rPr>
                <w:rFonts w:eastAsia="Times New Roman"/>
                <w:szCs w:val="21"/>
                <w:lang w:eastAsia="en-AU"/>
              </w:rPr>
              <w:lastRenderedPageBreak/>
              <w:t>Allow government, industry, and the Australian public to have ongoing confidence in the resilience of the transport sector as a key critical infrastructure sector</w:t>
            </w:r>
          </w:p>
          <w:p w14:paraId="186DCB16" w14:textId="77777777" w:rsidR="00CD4306" w:rsidRPr="00B16E6B" w:rsidRDefault="00CD4306" w:rsidP="00A11AF5">
            <w:pPr>
              <w:pStyle w:val="ListParagraph"/>
              <w:numPr>
                <w:ilvl w:val="0"/>
                <w:numId w:val="44"/>
              </w:numPr>
              <w:spacing w:after="120" w:line="271" w:lineRule="auto"/>
              <w:rPr>
                <w:rFonts w:eastAsia="Times New Roman"/>
                <w:szCs w:val="21"/>
                <w:lang w:eastAsia="en-AU"/>
              </w:rPr>
            </w:pPr>
            <w:r w:rsidRPr="00B16E6B">
              <w:rPr>
                <w:rFonts w:eastAsia="Times New Roman"/>
                <w:szCs w:val="21"/>
                <w:lang w:eastAsia="en-AU"/>
              </w:rPr>
              <w:t>Ensure the provision of adequate support from government to industry in the aftermath of an incident</w:t>
            </w:r>
          </w:p>
          <w:p w14:paraId="27FBB1E0" w14:textId="4714C2F7" w:rsidR="00CD4306" w:rsidRPr="00F504BB" w:rsidRDefault="00CD4306" w:rsidP="00A11AF5">
            <w:pPr>
              <w:pStyle w:val="ListParagraph"/>
              <w:numPr>
                <w:ilvl w:val="0"/>
                <w:numId w:val="66"/>
              </w:numPr>
              <w:spacing w:after="0" w:line="271" w:lineRule="auto"/>
              <w:rPr>
                <w:rFonts w:cstheme="majorHAnsi"/>
              </w:rPr>
            </w:pPr>
            <w:r w:rsidRPr="00F504BB">
              <w:rPr>
                <w:rFonts w:eastAsia="Times New Roman"/>
                <w:lang w:eastAsia="en-AU"/>
              </w:rPr>
              <w:t xml:space="preserve">Foster a strengthened relationship between industry and government through heightened and more frequent engagement, knowledge, and awareness of the department’s approach to </w:t>
            </w:r>
            <w:r w:rsidRPr="00F504BB">
              <w:rPr>
                <w:rFonts w:eastAsia="Times New Roman"/>
                <w:lang w:eastAsia="en-AU"/>
              </w:rPr>
              <w:lastRenderedPageBreak/>
              <w:t>compliance, and improved visibility for both industry stakeholders and government</w:t>
            </w:r>
          </w:p>
        </w:tc>
        <w:tc>
          <w:tcPr>
            <w:tcW w:w="0" w:type="auto"/>
            <w:tcBorders>
              <w:top w:val="single" w:sz="4" w:space="0" w:color="BFBFBF" w:themeColor="background1" w:themeShade="BF"/>
              <w:left w:val="single" w:sz="4" w:space="0" w:color="BFBFBF" w:themeColor="background1" w:themeShade="BF"/>
              <w:bottom w:val="nil"/>
              <w:right w:val="nil"/>
            </w:tcBorders>
            <w:vAlign w:val="center"/>
            <w:hideMark/>
          </w:tcPr>
          <w:p w14:paraId="5C0537E4" w14:textId="77777777" w:rsidR="00CD4306" w:rsidRPr="00B16E6B" w:rsidRDefault="00CD4306" w:rsidP="00A11AF5">
            <w:pPr>
              <w:pStyle w:val="ListParagraph"/>
              <w:numPr>
                <w:ilvl w:val="0"/>
                <w:numId w:val="45"/>
              </w:numPr>
              <w:spacing w:after="0" w:line="271" w:lineRule="auto"/>
              <w:contextualSpacing w:val="0"/>
              <w:rPr>
                <w:rFonts w:cstheme="majorHAnsi"/>
              </w:rPr>
            </w:pPr>
            <w:r w:rsidRPr="00B16E6B">
              <w:rPr>
                <w:rFonts w:cstheme="majorHAnsi"/>
              </w:rPr>
              <w:lastRenderedPageBreak/>
              <w:t>Industry has the ability to clearly identify, implement and comply with international and domestic standards</w:t>
            </w:r>
          </w:p>
          <w:p w14:paraId="4F3E1BD7" w14:textId="77777777" w:rsidR="00CD4306" w:rsidRPr="00B16E6B" w:rsidRDefault="00CD4306" w:rsidP="00A11AF5">
            <w:pPr>
              <w:pStyle w:val="ListParagraph"/>
              <w:numPr>
                <w:ilvl w:val="0"/>
                <w:numId w:val="45"/>
              </w:numPr>
              <w:spacing w:after="0" w:line="271" w:lineRule="auto"/>
              <w:contextualSpacing w:val="0"/>
              <w:rPr>
                <w:rFonts w:cstheme="majorHAnsi"/>
              </w:rPr>
            </w:pPr>
            <w:r w:rsidRPr="00B16E6B">
              <w:rPr>
                <w:rFonts w:cstheme="majorHAnsi"/>
              </w:rPr>
              <w:t>Industry develops greater capability in the ways they can respond to all hazards security risks</w:t>
            </w:r>
          </w:p>
          <w:p w14:paraId="1CBEE42B" w14:textId="77777777" w:rsidR="00CD4306" w:rsidRPr="00B16E6B" w:rsidRDefault="00CD4306" w:rsidP="00A11AF5">
            <w:pPr>
              <w:pStyle w:val="ListParagraph"/>
              <w:numPr>
                <w:ilvl w:val="0"/>
                <w:numId w:val="45"/>
              </w:numPr>
              <w:spacing w:after="0" w:line="271" w:lineRule="auto"/>
              <w:contextualSpacing w:val="0"/>
              <w:rPr>
                <w:rFonts w:cstheme="majorHAnsi"/>
              </w:rPr>
            </w:pPr>
            <w:r w:rsidRPr="00B16E6B">
              <w:rPr>
                <w:rFonts w:cstheme="majorHAnsi"/>
              </w:rPr>
              <w:t xml:space="preserve">There is a flexible and transparent approach to interactions with government, which builds </w:t>
            </w:r>
            <w:r w:rsidRPr="00B16E6B">
              <w:rPr>
                <w:rFonts w:cstheme="majorHAnsi"/>
              </w:rPr>
              <w:lastRenderedPageBreak/>
              <w:t>relationships and includes leveraging government support where appropriate</w:t>
            </w:r>
          </w:p>
          <w:p w14:paraId="62441006" w14:textId="77777777" w:rsidR="00CD4306" w:rsidRPr="00B16E6B" w:rsidRDefault="00CD4306" w:rsidP="00A11AF5">
            <w:pPr>
              <w:pStyle w:val="ListParagraph"/>
              <w:numPr>
                <w:ilvl w:val="0"/>
                <w:numId w:val="45"/>
              </w:numPr>
              <w:spacing w:after="0" w:line="271" w:lineRule="auto"/>
              <w:contextualSpacing w:val="0"/>
              <w:rPr>
                <w:rFonts w:cstheme="majorHAnsi"/>
              </w:rPr>
            </w:pPr>
            <w:r w:rsidRPr="00B16E6B">
              <w:rPr>
                <w:rFonts w:cstheme="majorHAnsi"/>
              </w:rPr>
              <w:t>There is a reduction in the number of (or severity of) attacks on aviation and maritime sectors arising through all hazards threats</w:t>
            </w:r>
          </w:p>
          <w:p w14:paraId="7DE3B49D" w14:textId="68279E2E" w:rsidR="00CD4306" w:rsidRPr="00CD4306" w:rsidRDefault="00CD4306" w:rsidP="00A11AF5">
            <w:pPr>
              <w:pStyle w:val="ListParagraph"/>
              <w:numPr>
                <w:ilvl w:val="0"/>
                <w:numId w:val="68"/>
              </w:numPr>
              <w:spacing w:after="0" w:line="271" w:lineRule="auto"/>
              <w:rPr>
                <w:rFonts w:cstheme="majorHAnsi"/>
              </w:rPr>
            </w:pPr>
            <w:r w:rsidRPr="00CD4306">
              <w:rPr>
                <w:rFonts w:cstheme="majorHAnsi"/>
              </w:rPr>
              <w:t>There is a reduction in the number of (or severity of) impacts to Australian maritime and aviation sectors arising from world-wide events.</w:t>
            </w:r>
          </w:p>
        </w:tc>
      </w:tr>
      <w:tr w:rsidR="00CD4306" w:rsidRPr="00B16E6B" w14:paraId="4443F8E5" w14:textId="77777777" w:rsidTr="00CD4306">
        <w:trPr>
          <w:trHeight w:val="300"/>
        </w:trPr>
        <w:tc>
          <w:tcPr>
            <w:tcW w:w="1445" w:type="dxa"/>
            <w:tcBorders>
              <w:top w:val="single" w:sz="4" w:space="0" w:color="BFBFBF" w:themeColor="background1" w:themeShade="BF"/>
              <w:left w:val="nil"/>
              <w:bottom w:val="nil"/>
              <w:right w:val="single" w:sz="4" w:space="0" w:color="BFBFBF" w:themeColor="background1" w:themeShade="BF"/>
            </w:tcBorders>
            <w:shd w:val="clear" w:color="auto" w:fill="F2F2F2" w:themeFill="background1" w:themeFillShade="F2"/>
            <w:vAlign w:val="center"/>
            <w:hideMark/>
          </w:tcPr>
          <w:p w14:paraId="2375F075" w14:textId="77777777" w:rsidR="00CD4306" w:rsidRPr="00B16E6B" w:rsidRDefault="00CD4306" w:rsidP="00CD4306">
            <w:pPr>
              <w:spacing w:after="0" w:line="271" w:lineRule="auto"/>
              <w:rPr>
                <w:rFonts w:cstheme="majorHAnsi"/>
              </w:rPr>
            </w:pPr>
            <w:r w:rsidRPr="00B16E6B">
              <w:rPr>
                <w:rFonts w:cs="Arial"/>
                <w:szCs w:val="20"/>
              </w:rPr>
              <w:lastRenderedPageBreak/>
              <w:t>Ensure Australia continues to comply with its international aviation and maritime security obligations</w:t>
            </w:r>
          </w:p>
        </w:tc>
        <w:tc>
          <w:tcPr>
            <w:tcW w:w="0" w:type="auto"/>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hideMark/>
          </w:tcPr>
          <w:p w14:paraId="5B6ACC15" w14:textId="77777777" w:rsidR="00CD4306" w:rsidRPr="00F504BB" w:rsidRDefault="00CD4306" w:rsidP="00A11AF5">
            <w:pPr>
              <w:numPr>
                <w:ilvl w:val="0"/>
                <w:numId w:val="44"/>
              </w:numPr>
              <w:spacing w:after="0" w:line="271" w:lineRule="auto"/>
              <w:rPr>
                <w:rFonts w:cstheme="majorHAnsi"/>
              </w:rPr>
            </w:pPr>
            <w:r w:rsidRPr="00F504BB">
              <w:rPr>
                <w:rFonts w:cstheme="majorHAnsi"/>
              </w:rPr>
              <w:t>Allow government, industry, and the Australian public to have ongoing confidence in the resilience of the transport sector as a key critical infrastructure sector</w:t>
            </w:r>
          </w:p>
          <w:p w14:paraId="2B241B2B" w14:textId="77777777" w:rsidR="00CD4306" w:rsidRPr="00F504BB" w:rsidRDefault="00CD4306" w:rsidP="00A11AF5">
            <w:pPr>
              <w:numPr>
                <w:ilvl w:val="0"/>
                <w:numId w:val="44"/>
              </w:numPr>
              <w:spacing w:after="0" w:line="271" w:lineRule="auto"/>
              <w:rPr>
                <w:rFonts w:cstheme="majorHAnsi"/>
              </w:rPr>
            </w:pPr>
            <w:r w:rsidRPr="00F504BB">
              <w:rPr>
                <w:rFonts w:cstheme="majorHAnsi"/>
              </w:rPr>
              <w:t>Ensure the provision of adequate support from government to industry in the aftermath of an incident</w:t>
            </w:r>
          </w:p>
          <w:p w14:paraId="7E9682AE" w14:textId="23331CC9" w:rsidR="00CD4306" w:rsidRPr="00F504BB" w:rsidRDefault="00CD4306" w:rsidP="00A11AF5">
            <w:pPr>
              <w:pStyle w:val="ListParagraph"/>
              <w:numPr>
                <w:ilvl w:val="0"/>
                <w:numId w:val="67"/>
              </w:numPr>
              <w:spacing w:after="0" w:line="271" w:lineRule="auto"/>
              <w:rPr>
                <w:rFonts w:cstheme="majorHAnsi"/>
              </w:rPr>
            </w:pPr>
            <w:r w:rsidRPr="00F504BB">
              <w:rPr>
                <w:rFonts w:cstheme="majorHAnsi"/>
              </w:rPr>
              <w:t>Foster a strengthened relationship between industry and government through heightened and more frequent engagement, knowledge, and awareness of the department’s approach to compliance, and improved visibility for both industry stakeholders and government</w:t>
            </w:r>
          </w:p>
        </w:tc>
        <w:tc>
          <w:tcPr>
            <w:tcW w:w="0" w:type="auto"/>
            <w:tcBorders>
              <w:top w:val="single" w:sz="4" w:space="0" w:color="BFBFBF" w:themeColor="background1" w:themeShade="BF"/>
              <w:left w:val="single" w:sz="4" w:space="0" w:color="BFBFBF" w:themeColor="background1" w:themeShade="BF"/>
              <w:bottom w:val="nil"/>
              <w:right w:val="nil"/>
            </w:tcBorders>
            <w:vAlign w:val="center"/>
            <w:hideMark/>
          </w:tcPr>
          <w:p w14:paraId="6D6D1C6E" w14:textId="77777777" w:rsidR="00CD4306" w:rsidRPr="00B16E6B" w:rsidRDefault="00CD4306" w:rsidP="00A11AF5">
            <w:pPr>
              <w:pStyle w:val="ListParagraph"/>
              <w:numPr>
                <w:ilvl w:val="0"/>
                <w:numId w:val="45"/>
              </w:numPr>
              <w:spacing w:after="0" w:line="271" w:lineRule="auto"/>
              <w:contextualSpacing w:val="0"/>
              <w:rPr>
                <w:rFonts w:cstheme="majorHAnsi"/>
              </w:rPr>
            </w:pPr>
            <w:r w:rsidRPr="00B16E6B">
              <w:rPr>
                <w:rFonts w:cstheme="majorHAnsi"/>
              </w:rPr>
              <w:t>Industry has the ability to clearly identify, implement and comply with international and domestic standards</w:t>
            </w:r>
          </w:p>
          <w:p w14:paraId="0DE8A41F" w14:textId="77777777" w:rsidR="00CD4306" w:rsidRPr="00B16E6B" w:rsidRDefault="00CD4306" w:rsidP="00A11AF5">
            <w:pPr>
              <w:pStyle w:val="ListParagraph"/>
              <w:numPr>
                <w:ilvl w:val="0"/>
                <w:numId w:val="45"/>
              </w:numPr>
              <w:spacing w:after="0" w:line="271" w:lineRule="auto"/>
              <w:contextualSpacing w:val="0"/>
              <w:rPr>
                <w:rFonts w:cstheme="majorHAnsi"/>
              </w:rPr>
            </w:pPr>
            <w:r w:rsidRPr="00B16E6B">
              <w:rPr>
                <w:rFonts w:cstheme="majorHAnsi"/>
              </w:rPr>
              <w:t>Industry develops greater capability in the ways they can respond to all hazards security risks</w:t>
            </w:r>
          </w:p>
          <w:p w14:paraId="30ECEBFD" w14:textId="77777777" w:rsidR="00CD4306" w:rsidRPr="00B16E6B" w:rsidRDefault="00CD4306" w:rsidP="00A11AF5">
            <w:pPr>
              <w:pStyle w:val="ListParagraph"/>
              <w:numPr>
                <w:ilvl w:val="0"/>
                <w:numId w:val="45"/>
              </w:numPr>
              <w:spacing w:after="0" w:line="271" w:lineRule="auto"/>
              <w:contextualSpacing w:val="0"/>
              <w:rPr>
                <w:rFonts w:cstheme="majorHAnsi"/>
              </w:rPr>
            </w:pPr>
            <w:r w:rsidRPr="00B16E6B">
              <w:rPr>
                <w:rFonts w:cstheme="majorHAnsi"/>
              </w:rPr>
              <w:t>There is a flexible and transparent approach to interactions with government, which builds relationships and includes leveraging government support where appropriate</w:t>
            </w:r>
          </w:p>
          <w:p w14:paraId="0C2621A1" w14:textId="77777777" w:rsidR="00CD4306" w:rsidRPr="00B16E6B" w:rsidRDefault="00CD4306" w:rsidP="00A11AF5">
            <w:pPr>
              <w:pStyle w:val="ListParagraph"/>
              <w:numPr>
                <w:ilvl w:val="0"/>
                <w:numId w:val="45"/>
              </w:numPr>
              <w:spacing w:after="0" w:line="271" w:lineRule="auto"/>
              <w:contextualSpacing w:val="0"/>
              <w:rPr>
                <w:rFonts w:cstheme="majorHAnsi"/>
              </w:rPr>
            </w:pPr>
            <w:r w:rsidRPr="00B16E6B">
              <w:rPr>
                <w:rFonts w:cstheme="majorHAnsi"/>
              </w:rPr>
              <w:t>There is a reduction in the number of (or severity of) attacks on aviation and maritime sectors arising through all hazards threats</w:t>
            </w:r>
          </w:p>
          <w:p w14:paraId="6F2046AB" w14:textId="2DE4D35D" w:rsidR="00CD4306" w:rsidRPr="00CD4306" w:rsidRDefault="00CD4306" w:rsidP="00A11AF5">
            <w:pPr>
              <w:pStyle w:val="ListParagraph"/>
              <w:numPr>
                <w:ilvl w:val="0"/>
                <w:numId w:val="69"/>
              </w:numPr>
              <w:spacing w:after="0" w:line="271" w:lineRule="auto"/>
              <w:rPr>
                <w:rFonts w:cstheme="majorHAnsi"/>
              </w:rPr>
            </w:pPr>
            <w:r w:rsidRPr="00CD4306">
              <w:rPr>
                <w:rFonts w:cstheme="majorHAnsi"/>
              </w:rPr>
              <w:t>There is a reduction in the number of (or severity of) impacts to Australian maritime and aviation sectors arising from world-wide events.</w:t>
            </w:r>
          </w:p>
        </w:tc>
      </w:tr>
    </w:tbl>
    <w:p w14:paraId="7D08556F" w14:textId="77777777" w:rsidR="00D774E6" w:rsidRPr="00B16E6B" w:rsidRDefault="00D774E6" w:rsidP="009613E1">
      <w:pPr>
        <w:spacing w:after="200" w:line="271" w:lineRule="auto"/>
        <w:rPr>
          <w:rFonts w:asciiTheme="majorHAnsi" w:eastAsiaTheme="majorEastAsia" w:hAnsiTheme="majorHAnsi" w:cstheme="majorBidi"/>
          <w:color w:val="1C2B39" w:themeColor="accent1"/>
          <w:sz w:val="48"/>
          <w:szCs w:val="40"/>
        </w:rPr>
      </w:pPr>
      <w:r w:rsidRPr="00B16E6B">
        <w:br w:type="page"/>
      </w:r>
    </w:p>
    <w:p w14:paraId="45EF1550" w14:textId="77777777" w:rsidR="00DE3EF7" w:rsidRPr="00B16E6B" w:rsidRDefault="00DE3EF7" w:rsidP="009613E1">
      <w:pPr>
        <w:pStyle w:val="Heading1"/>
        <w:spacing w:line="271" w:lineRule="auto"/>
      </w:pPr>
      <w:r w:rsidRPr="00B16E6B">
        <w:lastRenderedPageBreak/>
        <w:t>Appendix A: Description of measures in Option 4</w:t>
      </w:r>
    </w:p>
    <w:p w14:paraId="382096E0" w14:textId="6296AE38" w:rsidR="00DE3EF7" w:rsidRPr="00B16E6B" w:rsidRDefault="00DE3EF7" w:rsidP="009613E1">
      <w:pPr>
        <w:autoSpaceDE w:val="0"/>
        <w:autoSpaceDN w:val="0"/>
        <w:adjustRightInd w:val="0"/>
        <w:spacing w:line="271" w:lineRule="auto"/>
        <w:rPr>
          <w:rFonts w:cs="Arial"/>
          <w:b/>
          <w:bCs/>
          <w:color w:val="000000"/>
          <w:szCs w:val="22"/>
        </w:rPr>
      </w:pPr>
      <w:r w:rsidRPr="00B16E6B">
        <w:rPr>
          <w:rFonts w:cs="Arial"/>
          <w:b/>
          <w:bCs/>
          <w:color w:val="000000"/>
          <w:sz w:val="28"/>
          <w:szCs w:val="28"/>
        </w:rPr>
        <w:t xml:space="preserve">Measure 1: Expand the definition of unlawful interference </w:t>
      </w:r>
    </w:p>
    <w:p w14:paraId="6A44557C" w14:textId="6164BFC4" w:rsidR="00DE3EF7" w:rsidRPr="00B16E6B" w:rsidRDefault="00DE3EF7" w:rsidP="009613E1">
      <w:pPr>
        <w:autoSpaceDE w:val="0"/>
        <w:autoSpaceDN w:val="0"/>
        <w:adjustRightInd w:val="0"/>
        <w:spacing w:line="271" w:lineRule="auto"/>
        <w:rPr>
          <w:rFonts w:cs="Arial"/>
          <w:color w:val="000000"/>
          <w:szCs w:val="22"/>
        </w:rPr>
      </w:pPr>
      <w:r w:rsidRPr="00B16E6B">
        <w:rPr>
          <w:rFonts w:cs="Arial"/>
          <w:b/>
          <w:bCs/>
          <w:color w:val="000000"/>
          <w:szCs w:val="22"/>
        </w:rPr>
        <w:t xml:space="preserve">Issue </w:t>
      </w:r>
    </w:p>
    <w:p w14:paraId="6FB40DD9" w14:textId="4E3024CE" w:rsidR="00DE3EF7" w:rsidRPr="00B16E6B" w:rsidRDefault="00DE3EF7" w:rsidP="009613E1">
      <w:pPr>
        <w:autoSpaceDE w:val="0"/>
        <w:autoSpaceDN w:val="0"/>
        <w:adjustRightInd w:val="0"/>
        <w:spacing w:line="271" w:lineRule="auto"/>
        <w:rPr>
          <w:rFonts w:cs="Arial"/>
          <w:color w:val="000000"/>
          <w:szCs w:val="22"/>
        </w:rPr>
      </w:pPr>
      <w:r w:rsidRPr="00B16E6B">
        <w:rPr>
          <w:rFonts w:cs="Arial"/>
          <w:color w:val="000000"/>
          <w:szCs w:val="22"/>
        </w:rPr>
        <w:t xml:space="preserve">The current definition of unlawful interference requires aviation and maritime industry participants (IPs) to manage and report acts or threats of unlawful interference within their physical boundary or geographical location. Broadly speaking, this captures unlawful acts that place any person, or the safe operation of an IP at risk, which includes but is not limited to: </w:t>
      </w:r>
    </w:p>
    <w:p w14:paraId="69842408" w14:textId="77777777" w:rsidR="00DE3EF7" w:rsidRPr="00B16E6B" w:rsidRDefault="00DE3EF7" w:rsidP="00A11AF5">
      <w:pPr>
        <w:pStyle w:val="ListParagraph"/>
        <w:numPr>
          <w:ilvl w:val="0"/>
          <w:numId w:val="21"/>
        </w:numPr>
        <w:spacing w:line="271" w:lineRule="auto"/>
        <w:ind w:left="714" w:hanging="357"/>
        <w:contextualSpacing w:val="0"/>
        <w:rPr>
          <w:bCs/>
          <w:lang w:val="en-US"/>
        </w:rPr>
      </w:pPr>
      <w:r w:rsidRPr="00B16E6B">
        <w:rPr>
          <w:bCs/>
          <w:lang w:val="en-US"/>
        </w:rPr>
        <w:t xml:space="preserve">taking control of an aircraft, ship, or offshore facility through force or intimidation </w:t>
      </w:r>
    </w:p>
    <w:p w14:paraId="0D673DD2" w14:textId="77777777" w:rsidR="00DE3EF7" w:rsidRPr="00B16E6B" w:rsidRDefault="00DE3EF7" w:rsidP="00A11AF5">
      <w:pPr>
        <w:pStyle w:val="ListParagraph"/>
        <w:numPr>
          <w:ilvl w:val="0"/>
          <w:numId w:val="21"/>
        </w:numPr>
        <w:spacing w:line="271" w:lineRule="auto"/>
        <w:ind w:left="714" w:hanging="357"/>
        <w:contextualSpacing w:val="0"/>
        <w:rPr>
          <w:bCs/>
          <w:lang w:val="en-US"/>
        </w:rPr>
      </w:pPr>
      <w:r w:rsidRPr="00B16E6B">
        <w:rPr>
          <w:bCs/>
          <w:lang w:val="en-US"/>
        </w:rPr>
        <w:t xml:space="preserve">destroying an aircraft or ship that is in service, or destroying an offshore facility </w:t>
      </w:r>
    </w:p>
    <w:p w14:paraId="4CBB5EE1" w14:textId="77777777" w:rsidR="00DE3EF7" w:rsidRPr="00B16E6B" w:rsidRDefault="00DE3EF7" w:rsidP="00A11AF5">
      <w:pPr>
        <w:pStyle w:val="ListParagraph"/>
        <w:numPr>
          <w:ilvl w:val="0"/>
          <w:numId w:val="21"/>
        </w:numPr>
        <w:spacing w:line="271" w:lineRule="auto"/>
        <w:ind w:left="714" w:hanging="357"/>
        <w:contextualSpacing w:val="0"/>
        <w:rPr>
          <w:bCs/>
          <w:lang w:val="en-US"/>
        </w:rPr>
      </w:pPr>
      <w:r w:rsidRPr="00B16E6B">
        <w:rPr>
          <w:bCs/>
          <w:lang w:val="en-US"/>
        </w:rPr>
        <w:t xml:space="preserve">putting the safety of a regulated entity at risk by interfering with, damaging or destroying navigation facilities, communication systems or security systems </w:t>
      </w:r>
    </w:p>
    <w:p w14:paraId="4B33C36A" w14:textId="77777777" w:rsidR="00DE3EF7" w:rsidRPr="00B16E6B" w:rsidRDefault="00DE3EF7" w:rsidP="00A11AF5">
      <w:pPr>
        <w:pStyle w:val="ListParagraph"/>
        <w:numPr>
          <w:ilvl w:val="0"/>
          <w:numId w:val="21"/>
        </w:numPr>
        <w:spacing w:line="271" w:lineRule="auto"/>
        <w:ind w:left="714" w:hanging="357"/>
        <w:contextualSpacing w:val="0"/>
        <w:rPr>
          <w:bCs/>
          <w:lang w:val="en-US"/>
        </w:rPr>
      </w:pPr>
      <w:r w:rsidRPr="00B16E6B">
        <w:rPr>
          <w:bCs/>
          <w:lang w:val="en-US"/>
        </w:rPr>
        <w:t xml:space="preserve">committing an act, or causing any interference or damage, that puts the safe operation of, or the safety of any person at an airport, port, offshore facility, aircraft or ship at risk. </w:t>
      </w:r>
    </w:p>
    <w:p w14:paraId="7DB0F186" w14:textId="556621BD" w:rsidR="00DE3EF7" w:rsidRPr="00B16E6B" w:rsidRDefault="00DE3EF7" w:rsidP="009613E1">
      <w:pPr>
        <w:autoSpaceDE w:val="0"/>
        <w:autoSpaceDN w:val="0"/>
        <w:adjustRightInd w:val="0"/>
        <w:spacing w:line="271" w:lineRule="auto"/>
        <w:rPr>
          <w:rFonts w:cs="Arial"/>
          <w:b/>
          <w:bCs/>
          <w:color w:val="000000"/>
          <w:szCs w:val="22"/>
        </w:rPr>
      </w:pPr>
      <w:r w:rsidRPr="00B16E6B">
        <w:rPr>
          <w:rFonts w:cs="Arial"/>
          <w:color w:val="000000"/>
          <w:szCs w:val="22"/>
        </w:rPr>
        <w:t xml:space="preserve">This narrow focus does not adequately reflect the range and scale of threats facing IPs, the vector by which a threat may arise, or that threats are no longer limited to physical boundaries. Retaining the current definition would leave such threats largely outside the transport security regulatory purview, meaning IPs are not explicitly required to mitigate contemporary risks such as cyber threats or natural hazards. </w:t>
      </w:r>
    </w:p>
    <w:p w14:paraId="082EA6FB" w14:textId="77777777" w:rsidR="00DE3EF7" w:rsidRPr="00B16E6B" w:rsidRDefault="00DE3EF7" w:rsidP="009613E1">
      <w:pPr>
        <w:autoSpaceDE w:val="0"/>
        <w:autoSpaceDN w:val="0"/>
        <w:adjustRightInd w:val="0"/>
        <w:spacing w:line="271" w:lineRule="auto"/>
        <w:rPr>
          <w:rFonts w:cs="Arial"/>
          <w:color w:val="000000"/>
          <w:szCs w:val="22"/>
        </w:rPr>
      </w:pPr>
      <w:r w:rsidRPr="00B16E6B">
        <w:rPr>
          <w:rFonts w:cs="Arial"/>
          <w:b/>
          <w:bCs/>
          <w:color w:val="000000"/>
          <w:szCs w:val="22"/>
        </w:rPr>
        <w:t xml:space="preserve">Proposal </w:t>
      </w:r>
    </w:p>
    <w:p w14:paraId="4160ACB2" w14:textId="71FF2708" w:rsidR="00DE3EF7" w:rsidRPr="00B16E6B" w:rsidRDefault="00DE3EF7" w:rsidP="009613E1">
      <w:pPr>
        <w:autoSpaceDE w:val="0"/>
        <w:autoSpaceDN w:val="0"/>
        <w:adjustRightInd w:val="0"/>
        <w:spacing w:line="271" w:lineRule="auto"/>
        <w:rPr>
          <w:rFonts w:cs="Arial"/>
          <w:color w:val="000000"/>
          <w:szCs w:val="22"/>
        </w:rPr>
      </w:pPr>
      <w:r w:rsidRPr="00B16E6B">
        <w:rPr>
          <w:rFonts w:cs="Arial"/>
          <w:color w:val="000000"/>
          <w:szCs w:val="22"/>
        </w:rPr>
        <w:t xml:space="preserve">The Government proposes to integrate risks arising from current and emerging all hazard threats, such as cyber, into the unlawful interference definition of the transport security legislative frameworks. This will maximise the effectiveness and preparedness of industry to meet the needs of the evolving threat environment. This proposal includes: </w:t>
      </w:r>
    </w:p>
    <w:p w14:paraId="34CDF701" w14:textId="77F34018" w:rsidR="00DE3EF7" w:rsidRPr="00B16E6B" w:rsidRDefault="00DE3EF7" w:rsidP="00A11AF5">
      <w:pPr>
        <w:pStyle w:val="ListParagraph"/>
        <w:numPr>
          <w:ilvl w:val="0"/>
          <w:numId w:val="21"/>
        </w:numPr>
        <w:spacing w:line="271" w:lineRule="auto"/>
        <w:contextualSpacing w:val="0"/>
        <w:rPr>
          <w:bCs/>
          <w:lang w:val="en-US"/>
        </w:rPr>
      </w:pPr>
      <w:r w:rsidRPr="00B16E6B">
        <w:rPr>
          <w:bCs/>
          <w:lang w:val="en-US"/>
        </w:rPr>
        <w:t xml:space="preserve">expanding the definition of unlawful interference to capture a variety of acts, including cyber security incidents </w:t>
      </w:r>
      <w:r w:rsidR="00255E9F" w:rsidRPr="00B16E6B">
        <w:rPr>
          <w:bCs/>
          <w:lang w:val="en-US"/>
        </w:rPr>
        <w:t xml:space="preserve">that </w:t>
      </w:r>
      <w:r w:rsidR="00FF18F2" w:rsidRPr="00B16E6B">
        <w:rPr>
          <w:bCs/>
          <w:lang w:val="en-US"/>
        </w:rPr>
        <w:t>has</w:t>
      </w:r>
      <w:r w:rsidR="00255E9F" w:rsidRPr="00B16E6B">
        <w:rPr>
          <w:bCs/>
          <w:lang w:val="en-US"/>
        </w:rPr>
        <w:t xml:space="preserve"> or</w:t>
      </w:r>
      <w:r w:rsidR="00FF18F2" w:rsidRPr="00B16E6B">
        <w:rPr>
          <w:bCs/>
          <w:lang w:val="en-US"/>
        </w:rPr>
        <w:t xml:space="preserve"> is</w:t>
      </w:r>
      <w:r w:rsidR="00255E9F" w:rsidRPr="00B16E6B">
        <w:rPr>
          <w:bCs/>
          <w:lang w:val="en-US"/>
        </w:rPr>
        <w:t xml:space="preserve"> likely to have</w:t>
      </w:r>
      <w:r w:rsidR="00FF18F2" w:rsidRPr="00B16E6B">
        <w:rPr>
          <w:bCs/>
          <w:lang w:val="en-US"/>
        </w:rPr>
        <w:t xml:space="preserve"> a relevant</w:t>
      </w:r>
      <w:r w:rsidR="00255E9F" w:rsidRPr="00B16E6B">
        <w:rPr>
          <w:bCs/>
          <w:lang w:val="en-US"/>
        </w:rPr>
        <w:t xml:space="preserve"> impact on aviation or maritime assets</w:t>
      </w:r>
    </w:p>
    <w:p w14:paraId="5C89A459" w14:textId="430178F2" w:rsidR="00DE3EF7" w:rsidRPr="00B16E6B" w:rsidRDefault="00DE3EF7" w:rsidP="00A11AF5">
      <w:pPr>
        <w:pStyle w:val="ListParagraph"/>
        <w:numPr>
          <w:ilvl w:val="0"/>
          <w:numId w:val="21"/>
        </w:numPr>
        <w:spacing w:line="271" w:lineRule="auto"/>
        <w:ind w:left="714" w:hanging="357"/>
        <w:contextualSpacing w:val="0"/>
        <w:rPr>
          <w:bCs/>
          <w:lang w:val="en-US"/>
        </w:rPr>
      </w:pPr>
      <w:r w:rsidRPr="00B16E6B">
        <w:rPr>
          <w:bCs/>
          <w:lang w:val="en-US"/>
        </w:rPr>
        <w:t>expanding reporting requirements to capture cyber security incidents</w:t>
      </w:r>
      <w:r w:rsidR="00255E9F" w:rsidRPr="00B16E6B">
        <w:rPr>
          <w:bCs/>
          <w:lang w:val="en-US"/>
        </w:rPr>
        <w:t xml:space="preserve"> under ATSA and MTOFSA</w:t>
      </w:r>
      <w:r w:rsidRPr="00B16E6B">
        <w:rPr>
          <w:bCs/>
          <w:lang w:val="en-US"/>
        </w:rPr>
        <w:t xml:space="preserve">, and attempted acts of unlawful interference </w:t>
      </w:r>
      <w:r w:rsidR="00255E9F" w:rsidRPr="00B16E6B">
        <w:rPr>
          <w:bCs/>
          <w:lang w:val="en-US"/>
        </w:rPr>
        <w:t xml:space="preserve">for MTOFSA </w:t>
      </w:r>
      <w:r w:rsidRPr="00B16E6B">
        <w:rPr>
          <w:bCs/>
          <w:lang w:val="en-US"/>
        </w:rPr>
        <w:t xml:space="preserve">(excluding </w:t>
      </w:r>
      <w:r w:rsidR="00255E9F" w:rsidRPr="00B16E6B">
        <w:rPr>
          <w:bCs/>
          <w:lang w:val="en-US"/>
        </w:rPr>
        <w:t>attempted</w:t>
      </w:r>
      <w:r w:rsidRPr="00B16E6B">
        <w:rPr>
          <w:bCs/>
          <w:lang w:val="en-US"/>
        </w:rPr>
        <w:t xml:space="preserve"> cyber security incidents) </w:t>
      </w:r>
    </w:p>
    <w:p w14:paraId="75618B61" w14:textId="0FFD530F" w:rsidR="00AD7BAD" w:rsidRPr="00B16E6B" w:rsidRDefault="00DE3EF7" w:rsidP="00A11AF5">
      <w:pPr>
        <w:pStyle w:val="ListParagraph"/>
        <w:numPr>
          <w:ilvl w:val="0"/>
          <w:numId w:val="21"/>
        </w:numPr>
        <w:spacing w:line="271" w:lineRule="auto"/>
        <w:ind w:left="714" w:hanging="357"/>
        <w:contextualSpacing w:val="0"/>
        <w:rPr>
          <w:rFonts w:cs="Arial"/>
          <w:b/>
          <w:bCs/>
          <w:color w:val="000000"/>
          <w:sz w:val="28"/>
          <w:szCs w:val="28"/>
        </w:rPr>
      </w:pPr>
      <w:r w:rsidRPr="00B16E6B">
        <w:rPr>
          <w:bCs/>
          <w:lang w:val="en-US"/>
        </w:rPr>
        <w:t xml:space="preserve">removing the reference to ‘terrorist acts’ in the definition of a </w:t>
      </w:r>
      <w:r w:rsidR="00FF18F2" w:rsidRPr="00B16E6B">
        <w:rPr>
          <w:bCs/>
          <w:lang w:val="en-US"/>
        </w:rPr>
        <w:t>security incident in MTOFSA, to recognize the wide variety of hazards facing the transport sector.</w:t>
      </w:r>
    </w:p>
    <w:p w14:paraId="1943B0AF" w14:textId="77777777" w:rsidR="008B5CF8" w:rsidRPr="00B16E6B" w:rsidRDefault="008B5CF8">
      <w:pPr>
        <w:spacing w:after="200" w:line="288" w:lineRule="auto"/>
        <w:rPr>
          <w:rFonts w:cs="Arial"/>
          <w:b/>
          <w:bCs/>
          <w:color w:val="000000"/>
          <w:sz w:val="28"/>
          <w:szCs w:val="28"/>
        </w:rPr>
      </w:pPr>
      <w:r w:rsidRPr="00B16E6B">
        <w:rPr>
          <w:rFonts w:cs="Arial"/>
          <w:b/>
          <w:bCs/>
          <w:color w:val="000000"/>
          <w:sz w:val="28"/>
          <w:szCs w:val="28"/>
        </w:rPr>
        <w:br w:type="page"/>
      </w:r>
    </w:p>
    <w:p w14:paraId="0D0EF5C7" w14:textId="67BEAEC5" w:rsidR="00DE3EF7" w:rsidRPr="00B16E6B" w:rsidRDefault="00DE3EF7" w:rsidP="009613E1">
      <w:pPr>
        <w:spacing w:line="271" w:lineRule="auto"/>
        <w:rPr>
          <w:rFonts w:cs="Arial"/>
          <w:b/>
          <w:bCs/>
          <w:color w:val="000000"/>
          <w:sz w:val="28"/>
          <w:szCs w:val="28"/>
        </w:rPr>
      </w:pPr>
      <w:r w:rsidRPr="00B16E6B">
        <w:rPr>
          <w:rFonts w:cs="Arial"/>
          <w:b/>
          <w:bCs/>
          <w:color w:val="000000"/>
          <w:sz w:val="28"/>
          <w:szCs w:val="28"/>
        </w:rPr>
        <w:lastRenderedPageBreak/>
        <w:t>Measure 2: All hazards security framework</w:t>
      </w:r>
    </w:p>
    <w:p w14:paraId="11F778AF" w14:textId="77777777" w:rsidR="00DE3EF7" w:rsidRPr="00B16E6B" w:rsidRDefault="00DE3EF7" w:rsidP="009613E1">
      <w:pPr>
        <w:spacing w:line="271" w:lineRule="auto"/>
        <w:rPr>
          <w:b/>
        </w:rPr>
      </w:pPr>
      <w:r w:rsidRPr="00B16E6B">
        <w:rPr>
          <w:b/>
        </w:rPr>
        <w:t>Issue</w:t>
      </w:r>
    </w:p>
    <w:p w14:paraId="5DDD9D8D" w14:textId="77777777" w:rsidR="00DE3EF7" w:rsidRPr="00B16E6B" w:rsidRDefault="00DE3EF7" w:rsidP="009613E1">
      <w:pPr>
        <w:spacing w:line="271" w:lineRule="auto"/>
      </w:pPr>
      <w:r w:rsidRPr="00B16E6B">
        <w:t>Under the transport security legislative frameworks, certain IPs are required to have an approved security program describing mitigation measures they will implement to protect their infrastructure, assets and operations against unlawful interference and serious crime.</w:t>
      </w:r>
    </w:p>
    <w:p w14:paraId="19F20B1C" w14:textId="77777777" w:rsidR="00DE3EF7" w:rsidRPr="00B16E6B" w:rsidRDefault="00DE3EF7" w:rsidP="009613E1">
      <w:pPr>
        <w:spacing w:line="271" w:lineRule="auto"/>
      </w:pPr>
      <w:r w:rsidRPr="00B16E6B">
        <w:t>The introduction of an all hazards security framework seeks to ensure IPs are adequately protected against current and emerging threats, and align the security obligations and resilience of the transport sector with other critical infrastructure sectors regulated under the SOCI Act.</w:t>
      </w:r>
    </w:p>
    <w:p w14:paraId="75A0DF53" w14:textId="77777777" w:rsidR="00DE3EF7" w:rsidRPr="00B16E6B" w:rsidRDefault="00DE3EF7" w:rsidP="009613E1">
      <w:pPr>
        <w:spacing w:line="271" w:lineRule="auto"/>
        <w:rPr>
          <w:b/>
        </w:rPr>
      </w:pPr>
      <w:r w:rsidRPr="00B16E6B">
        <w:rPr>
          <w:b/>
        </w:rPr>
        <w:t>Proposal</w:t>
      </w:r>
    </w:p>
    <w:p w14:paraId="37A46F29" w14:textId="77777777" w:rsidR="00DE3EF7" w:rsidRPr="00B16E6B" w:rsidRDefault="00DE3EF7" w:rsidP="009613E1">
      <w:pPr>
        <w:spacing w:line="271" w:lineRule="auto"/>
      </w:pPr>
      <w:r w:rsidRPr="00B16E6B">
        <w:t>The Government proposes to introduce all hazard security obligations in the transport security legislative frameworks to ensure regulated IPs identify and mitigate all hazards risks relevant to their operating environment.</w:t>
      </w:r>
    </w:p>
    <w:p w14:paraId="3A49430C" w14:textId="77777777" w:rsidR="00DE3EF7" w:rsidRPr="00B16E6B" w:rsidRDefault="00DE3EF7" w:rsidP="009613E1">
      <w:pPr>
        <w:spacing w:line="271" w:lineRule="auto"/>
      </w:pPr>
      <w:r w:rsidRPr="00B16E6B">
        <w:t>All hazards captures the spectrum of risks facing modern critical infrastructure IPs and comprises five areas:</w:t>
      </w:r>
    </w:p>
    <w:p w14:paraId="279E0452"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physical security (existing obligation under the transport security legislative frameworks)</w:t>
      </w:r>
    </w:p>
    <w:p w14:paraId="741872E9"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personnel security (existing obligation under the transport security legislative frameworks, but to be added to)</w:t>
      </w:r>
    </w:p>
    <w:p w14:paraId="68FD4C87"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cyber security</w:t>
      </w:r>
    </w:p>
    <w:p w14:paraId="586DC8DC"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supply chain security</w:t>
      </w:r>
    </w:p>
    <w:p w14:paraId="06BF7665"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natural hazards.</w:t>
      </w:r>
    </w:p>
    <w:p w14:paraId="7A2DA554" w14:textId="77777777" w:rsidR="00DE3EF7" w:rsidRPr="00B16E6B" w:rsidRDefault="00DE3EF7" w:rsidP="009613E1">
      <w:pPr>
        <w:spacing w:line="271" w:lineRule="auto"/>
      </w:pPr>
      <w:r w:rsidRPr="00B16E6B">
        <w:t>IPs will be subject to individual all hazards obligations based on their unique operating environments and size, as outlined in Appendix B.</w:t>
      </w:r>
    </w:p>
    <w:p w14:paraId="649AF034" w14:textId="6C735287" w:rsidR="0012488F" w:rsidRPr="00B16E6B" w:rsidRDefault="00DE3EF7" w:rsidP="009613E1">
      <w:pPr>
        <w:spacing w:line="271" w:lineRule="auto"/>
      </w:pPr>
      <w:r w:rsidRPr="00B16E6B">
        <w:t>As part of this measure there will also be an introduced requirement for IPs to complete an all hazards risk assessment, and attestation, which will sit alongside an IP’s SP.</w:t>
      </w:r>
    </w:p>
    <w:p w14:paraId="7A59DB48" w14:textId="79A96B62" w:rsidR="00DE3EF7" w:rsidRPr="00B16E6B" w:rsidRDefault="00DE3EF7" w:rsidP="009613E1">
      <w:pPr>
        <w:spacing w:after="200" w:line="271" w:lineRule="auto"/>
        <w:rPr>
          <w:b/>
        </w:rPr>
      </w:pPr>
      <w:r w:rsidRPr="00B16E6B">
        <w:rPr>
          <w:b/>
        </w:rPr>
        <w:t xml:space="preserve">Additional obligations  </w:t>
      </w:r>
    </w:p>
    <w:p w14:paraId="2518FD5A" w14:textId="77777777" w:rsidR="0012488F" w:rsidRPr="00B16E6B" w:rsidRDefault="0012488F" w:rsidP="009613E1">
      <w:pPr>
        <w:spacing w:after="120" w:line="271" w:lineRule="auto"/>
        <w:rPr>
          <w:bCs/>
          <w:i/>
          <w:lang w:val="en-US"/>
        </w:rPr>
      </w:pPr>
      <w:r w:rsidRPr="00B16E6B">
        <w:rPr>
          <w:bCs/>
          <w:i/>
          <w:lang w:val="en-US"/>
        </w:rPr>
        <w:t xml:space="preserve">All hazards risk assessment </w:t>
      </w:r>
    </w:p>
    <w:p w14:paraId="09AEC0CD" w14:textId="7BCD7D74" w:rsidR="0012488F" w:rsidRPr="00B16E6B" w:rsidRDefault="0012488F" w:rsidP="009613E1">
      <w:pPr>
        <w:autoSpaceDE w:val="0"/>
        <w:autoSpaceDN w:val="0"/>
        <w:adjustRightInd w:val="0"/>
        <w:spacing w:after="0" w:line="271" w:lineRule="auto"/>
        <w:rPr>
          <w:rFonts w:cs="Arial"/>
          <w:color w:val="000000"/>
          <w:szCs w:val="20"/>
        </w:rPr>
      </w:pPr>
      <w:r w:rsidRPr="00B16E6B">
        <w:rPr>
          <w:rFonts w:cs="Arial"/>
          <w:color w:val="000000"/>
          <w:szCs w:val="20"/>
          <w:lang w:val="en-US"/>
        </w:rPr>
        <w:t xml:space="preserve">The all hazards risk assessment will be submitted alongside your SP. This will be used to inform the regulator’s assessment of the SP. For aviation IPs (AIPs), an all hazards risk assessment will replace the risk context statement you current submit. </w:t>
      </w:r>
      <w:r w:rsidRPr="00B16E6B">
        <w:rPr>
          <w:rFonts w:cs="Arial"/>
          <w:color w:val="000000"/>
          <w:szCs w:val="20"/>
        </w:rPr>
        <w:t xml:space="preserve"> </w:t>
      </w:r>
      <w:r w:rsidRPr="00B16E6B">
        <w:rPr>
          <w:rFonts w:cs="Arial"/>
          <w:color w:val="000000"/>
          <w:szCs w:val="20"/>
          <w:lang w:val="en-US"/>
        </w:rPr>
        <w:t>For maritime IPs (MIPs), an all hazards risk assessment will replace the security assessment you currently submit</w:t>
      </w:r>
    </w:p>
    <w:p w14:paraId="77858A02" w14:textId="77777777" w:rsidR="0012488F" w:rsidRPr="00B16E6B" w:rsidRDefault="0012488F" w:rsidP="008B5CF8">
      <w:pPr>
        <w:pStyle w:val="BodyText2"/>
      </w:pPr>
      <w:r w:rsidRPr="00B16E6B">
        <w:t xml:space="preserve">It is intended that the all hazards risk assessment will model the security assessment details provided in the Maritime Transport and Offshore Facilities Security Regulations 2003 (MTOFSR) with the addition of an explicit requirement to consider risks in the all hazards categories. This includes: </w:t>
      </w:r>
    </w:p>
    <w:p w14:paraId="590C6CFB" w14:textId="77777777" w:rsidR="0012488F" w:rsidRPr="00B16E6B" w:rsidRDefault="0012488F"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a statement outlining the risk context of the entity </w:t>
      </w:r>
    </w:p>
    <w:p w14:paraId="4CBDB592" w14:textId="77777777" w:rsidR="0012488F" w:rsidRPr="00B16E6B" w:rsidRDefault="0012488F" w:rsidP="00A11AF5">
      <w:pPr>
        <w:pStyle w:val="ListParagraph"/>
        <w:numPr>
          <w:ilvl w:val="0"/>
          <w:numId w:val="21"/>
        </w:numPr>
        <w:spacing w:after="120" w:line="271" w:lineRule="auto"/>
        <w:ind w:left="714" w:hanging="357"/>
        <w:contextualSpacing w:val="0"/>
        <w:rPr>
          <w:bCs/>
          <w:lang w:val="en-US"/>
        </w:rPr>
      </w:pPr>
      <w:r w:rsidRPr="00B16E6B">
        <w:rPr>
          <w:bCs/>
          <w:lang w:val="en-US"/>
        </w:rPr>
        <w:lastRenderedPageBreak/>
        <w:t xml:space="preserve">identification and details on the scope of the assets, infrastructure and operations being assessed </w:t>
      </w:r>
    </w:p>
    <w:p w14:paraId="24EB7A75" w14:textId="77777777" w:rsidR="0012488F" w:rsidRPr="00B16E6B" w:rsidRDefault="0012488F"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identification and possible risks or threats to these assets arising from all hazards domains, and the likelihood and consequences of their occurrence </w:t>
      </w:r>
    </w:p>
    <w:p w14:paraId="78C59ADD" w14:textId="77777777" w:rsidR="0012488F" w:rsidRPr="00B16E6B" w:rsidRDefault="0012488F"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identification of existing security measures, procedures and operations; identification of the gaps in security arrangements including gaps arising from all hazards domains, infrastructure, policy and procedures and </w:t>
      </w:r>
    </w:p>
    <w:p w14:paraId="738994A5" w14:textId="11F3BE13" w:rsidR="0012488F" w:rsidRPr="00B16E6B" w:rsidRDefault="0012488F"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identification, selection and </w:t>
      </w:r>
      <w:proofErr w:type="spellStart"/>
      <w:r w:rsidRPr="00B16E6B">
        <w:rPr>
          <w:bCs/>
          <w:lang w:val="en-US"/>
        </w:rPr>
        <w:t>prioritisation</w:t>
      </w:r>
      <w:proofErr w:type="spellEnd"/>
      <w:r w:rsidRPr="00B16E6B">
        <w:rPr>
          <w:bCs/>
          <w:lang w:val="en-US"/>
        </w:rPr>
        <w:t xml:space="preserve"> of possible risk treatments (for example, counter</w:t>
      </w:r>
      <w:r w:rsidRPr="00B16E6B">
        <w:rPr>
          <w:bCs/>
          <w:lang w:val="en-US"/>
        </w:rPr>
        <w:noBreakHyphen/>
        <w:t xml:space="preserve">measures and procedural changes that need to be implemented) and their effectiveness in reducing risk levels and vulnerabilities. </w:t>
      </w:r>
    </w:p>
    <w:p w14:paraId="643E504A" w14:textId="77777777" w:rsidR="00DE3EF7" w:rsidRPr="00B16E6B" w:rsidRDefault="00DE3EF7" w:rsidP="008B5CF8">
      <w:pPr>
        <w:spacing w:before="240" w:after="120" w:line="271" w:lineRule="auto"/>
        <w:rPr>
          <w:i/>
        </w:rPr>
      </w:pPr>
      <w:r w:rsidRPr="00B16E6B">
        <w:rPr>
          <w:i/>
        </w:rPr>
        <w:t xml:space="preserve">Personnel security obligations: </w:t>
      </w:r>
    </w:p>
    <w:p w14:paraId="459B1FE4" w14:textId="77777777" w:rsidR="00DE3EF7" w:rsidRPr="00B16E6B" w:rsidRDefault="00DE3EF7" w:rsidP="00A11AF5">
      <w:pPr>
        <w:pStyle w:val="ListParagraph"/>
        <w:numPr>
          <w:ilvl w:val="0"/>
          <w:numId w:val="61"/>
        </w:numPr>
        <w:spacing w:after="120" w:line="271" w:lineRule="auto"/>
        <w:contextualSpacing w:val="0"/>
        <w:rPr>
          <w:bCs/>
          <w:lang w:val="en-US"/>
        </w:rPr>
      </w:pPr>
      <w:r w:rsidRPr="00B16E6B">
        <w:rPr>
          <w:bCs/>
          <w:lang w:val="en-US"/>
        </w:rPr>
        <w:t xml:space="preserve">Outline processes to </w:t>
      </w:r>
      <w:proofErr w:type="spellStart"/>
      <w:r w:rsidRPr="00B16E6B">
        <w:rPr>
          <w:bCs/>
          <w:lang w:val="en-US"/>
        </w:rPr>
        <w:t>minimise</w:t>
      </w:r>
      <w:proofErr w:type="spellEnd"/>
      <w:r w:rsidRPr="00B16E6B">
        <w:rPr>
          <w:bCs/>
          <w:lang w:val="en-US"/>
        </w:rPr>
        <w:t xml:space="preserve"> or eliminate risks arising from a malicious or negligent employee or contractor during their employment, as well as implement an off boarding process for outgoing employees and contractors </w:t>
      </w:r>
    </w:p>
    <w:p w14:paraId="6B235514" w14:textId="77777777" w:rsidR="00DE3EF7" w:rsidRPr="00B16E6B" w:rsidRDefault="00DE3EF7" w:rsidP="00A11AF5">
      <w:pPr>
        <w:pStyle w:val="ListParagraph"/>
        <w:numPr>
          <w:ilvl w:val="0"/>
          <w:numId w:val="61"/>
        </w:numPr>
        <w:spacing w:after="120" w:line="271" w:lineRule="auto"/>
        <w:contextualSpacing w:val="0"/>
        <w:rPr>
          <w:bCs/>
          <w:lang w:val="en-US"/>
        </w:rPr>
      </w:pPr>
      <w:r w:rsidRPr="00B16E6B">
        <w:rPr>
          <w:bCs/>
          <w:lang w:val="en-US"/>
        </w:rPr>
        <w:t xml:space="preserve">Identify SCAs within an IP’s entity and mitigate risks with personnel undertaking SCAs. This includes: </w:t>
      </w:r>
    </w:p>
    <w:p w14:paraId="4583C5A5" w14:textId="77777777" w:rsidR="00DE3EF7" w:rsidRPr="00B16E6B" w:rsidRDefault="00DE3EF7" w:rsidP="00A11AF5">
      <w:pPr>
        <w:pStyle w:val="ListParagraph"/>
        <w:numPr>
          <w:ilvl w:val="0"/>
          <w:numId w:val="60"/>
        </w:numPr>
        <w:autoSpaceDE w:val="0"/>
        <w:autoSpaceDN w:val="0"/>
        <w:adjustRightInd w:val="0"/>
        <w:spacing w:after="0" w:line="271" w:lineRule="auto"/>
        <w:rPr>
          <w:rFonts w:cs="Arial"/>
          <w:color w:val="000000"/>
          <w:szCs w:val="20"/>
        </w:rPr>
      </w:pPr>
      <w:r w:rsidRPr="00B16E6B">
        <w:rPr>
          <w:rFonts w:cs="Arial"/>
          <w:color w:val="000000"/>
          <w:szCs w:val="20"/>
        </w:rPr>
        <w:t xml:space="preserve">identifying through a risk assessment, SCAs within an IP’s organisation. SCAs are activities that allow personnel to remotely have access to, or influence of, secure areas, security information or critical systems. This includes activities undertaken by international personnel and third party and subsequent suppliers </w:t>
      </w:r>
    </w:p>
    <w:p w14:paraId="6B421BA3" w14:textId="77777777" w:rsidR="00DE3EF7" w:rsidRPr="00B16E6B" w:rsidRDefault="00DE3EF7" w:rsidP="009613E1">
      <w:pPr>
        <w:autoSpaceDE w:val="0"/>
        <w:autoSpaceDN w:val="0"/>
        <w:adjustRightInd w:val="0"/>
        <w:spacing w:after="0" w:line="271" w:lineRule="auto"/>
        <w:rPr>
          <w:rFonts w:cs="Arial"/>
          <w:color w:val="000000"/>
          <w:szCs w:val="20"/>
        </w:rPr>
      </w:pPr>
    </w:p>
    <w:p w14:paraId="622B2E1B" w14:textId="77777777" w:rsidR="00DE3EF7" w:rsidRPr="00B16E6B" w:rsidRDefault="00DE3EF7" w:rsidP="00A11AF5">
      <w:pPr>
        <w:pStyle w:val="ListParagraph"/>
        <w:numPr>
          <w:ilvl w:val="1"/>
          <w:numId w:val="21"/>
        </w:numPr>
        <w:spacing w:after="120" w:line="271" w:lineRule="auto"/>
        <w:contextualSpacing w:val="0"/>
        <w:rPr>
          <w:bCs/>
          <w:lang w:val="en-US"/>
        </w:rPr>
      </w:pPr>
      <w:r w:rsidRPr="00B16E6B">
        <w:rPr>
          <w:bCs/>
          <w:lang w:val="en-US"/>
        </w:rPr>
        <w:t xml:space="preserve">It should be noted there will be no prescriptive list of SCAs provided by the government, as activities within individual entities are contextual to each IP’s business and operating model. IPs will be required to self-identify SCAs within their entity based on their operating model and operating and threat environments. </w:t>
      </w:r>
    </w:p>
    <w:p w14:paraId="2D949F3F" w14:textId="77777777" w:rsidR="00DE3EF7" w:rsidRPr="00B16E6B" w:rsidRDefault="00DE3EF7" w:rsidP="00A11AF5">
      <w:pPr>
        <w:pStyle w:val="ListParagraph"/>
        <w:numPr>
          <w:ilvl w:val="1"/>
          <w:numId w:val="21"/>
        </w:numPr>
        <w:spacing w:after="120" w:line="271" w:lineRule="auto"/>
        <w:contextualSpacing w:val="0"/>
        <w:rPr>
          <w:bCs/>
          <w:lang w:val="en-US"/>
        </w:rPr>
      </w:pPr>
      <w:r w:rsidRPr="00B16E6B">
        <w:rPr>
          <w:bCs/>
          <w:lang w:val="en-US"/>
        </w:rPr>
        <w:t xml:space="preserve">The government can provide guidance on what types of activities may be considered SCAs. For instance, IPs can consider the essential components or systems of their operations and who has responsibility of, access to, control over or management of these assets. In practice SCAs could include activities that have access to, or control of operations relating to operational technology and data systems, control operations of operational technology or HR information or processes. </w:t>
      </w:r>
    </w:p>
    <w:p w14:paraId="39ADFAC5"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implementing adequate mitigation measures to manage risks associated with personnel undertaking SCAs, including, where appropriate: </w:t>
      </w:r>
    </w:p>
    <w:p w14:paraId="627A2AF6" w14:textId="77777777" w:rsidR="00DE3EF7" w:rsidRPr="00B16E6B" w:rsidRDefault="00DE3EF7" w:rsidP="00A11AF5">
      <w:pPr>
        <w:pStyle w:val="ListParagraph"/>
        <w:numPr>
          <w:ilvl w:val="1"/>
          <w:numId w:val="21"/>
        </w:numPr>
        <w:spacing w:after="120" w:line="271" w:lineRule="auto"/>
        <w:contextualSpacing w:val="0"/>
        <w:rPr>
          <w:bCs/>
          <w:lang w:val="en-US"/>
        </w:rPr>
      </w:pPr>
      <w:r w:rsidRPr="00B16E6B">
        <w:rPr>
          <w:bCs/>
          <w:lang w:val="en-US"/>
        </w:rPr>
        <w:t xml:space="preserve">requiring relevant personnel to hold an ASIC/MSIC and/or </w:t>
      </w:r>
    </w:p>
    <w:p w14:paraId="03CEFF94" w14:textId="77777777" w:rsidR="00DE3EF7" w:rsidRPr="00B16E6B" w:rsidRDefault="00DE3EF7" w:rsidP="00A11AF5">
      <w:pPr>
        <w:pStyle w:val="ListParagraph"/>
        <w:numPr>
          <w:ilvl w:val="1"/>
          <w:numId w:val="21"/>
        </w:numPr>
        <w:spacing w:after="120" w:line="271" w:lineRule="auto"/>
        <w:contextualSpacing w:val="0"/>
        <w:rPr>
          <w:bCs/>
          <w:lang w:val="en-US"/>
        </w:rPr>
      </w:pPr>
      <w:r w:rsidRPr="00B16E6B">
        <w:rPr>
          <w:bCs/>
          <w:lang w:val="en-US"/>
        </w:rPr>
        <w:t xml:space="preserve">implementing relevant processes or procedures to ensure the security of relevant areas, information and systems. This may include an attestation from an international entity or third party supplier that personnel they engage supports an IP’s obligation to meet desired security outcomes </w:t>
      </w:r>
    </w:p>
    <w:p w14:paraId="372F8CEF"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proofErr w:type="gramStart"/>
      <w:r w:rsidRPr="00B16E6B">
        <w:rPr>
          <w:bCs/>
          <w:lang w:val="en-US"/>
        </w:rPr>
        <w:lastRenderedPageBreak/>
        <w:t>attesting</w:t>
      </w:r>
      <w:proofErr w:type="gramEnd"/>
      <w:r w:rsidRPr="00B16E6B">
        <w:rPr>
          <w:bCs/>
          <w:lang w:val="en-US"/>
        </w:rPr>
        <w:t xml:space="preserve"> the mitigation measures implemented, including the engagement of international personnel or third party suppliers, aligns with an IP’s obligation to meet desired security outcomes. </w:t>
      </w:r>
    </w:p>
    <w:p w14:paraId="16EF22E0" w14:textId="77777777" w:rsidR="00DE3EF7" w:rsidRPr="00B16E6B" w:rsidRDefault="00DE3EF7" w:rsidP="009613E1">
      <w:pPr>
        <w:spacing w:after="200" w:line="271" w:lineRule="auto"/>
        <w:rPr>
          <w:rFonts w:cs="Arial"/>
          <w:color w:val="000000"/>
          <w:szCs w:val="20"/>
        </w:rPr>
      </w:pPr>
      <w:r w:rsidRPr="00B16E6B">
        <w:rPr>
          <w:rFonts w:cs="Arial"/>
          <w:color w:val="000000"/>
          <w:szCs w:val="20"/>
        </w:rPr>
        <w:t xml:space="preserve">More information on SCAs is provided in measure 3. </w:t>
      </w:r>
    </w:p>
    <w:p w14:paraId="6F199854" w14:textId="77777777" w:rsidR="00DE3EF7" w:rsidRPr="00B16E6B" w:rsidRDefault="00DE3EF7" w:rsidP="008B5CF8">
      <w:pPr>
        <w:spacing w:before="240" w:after="120" w:line="271" w:lineRule="auto"/>
        <w:rPr>
          <w:rFonts w:cs="Arial"/>
          <w:i/>
          <w:color w:val="000000"/>
          <w:szCs w:val="20"/>
        </w:rPr>
      </w:pPr>
      <w:r w:rsidRPr="00B16E6B">
        <w:rPr>
          <w:rFonts w:cs="Arial"/>
          <w:i/>
          <w:color w:val="000000"/>
          <w:szCs w:val="20"/>
        </w:rPr>
        <w:t xml:space="preserve">Cyber security obligations </w:t>
      </w:r>
    </w:p>
    <w:p w14:paraId="43F5CE1E" w14:textId="77777777" w:rsidR="00DE3EF7" w:rsidRPr="00B16E6B" w:rsidRDefault="00DE3EF7" w:rsidP="00A11AF5">
      <w:pPr>
        <w:pStyle w:val="ListParagraph"/>
        <w:numPr>
          <w:ilvl w:val="0"/>
          <w:numId w:val="62"/>
        </w:numPr>
        <w:spacing w:after="120" w:line="271" w:lineRule="auto"/>
        <w:contextualSpacing w:val="0"/>
        <w:rPr>
          <w:bCs/>
          <w:lang w:val="en-US"/>
        </w:rPr>
      </w:pPr>
      <w:proofErr w:type="spellStart"/>
      <w:r w:rsidRPr="00B16E6B">
        <w:rPr>
          <w:bCs/>
          <w:lang w:val="en-US"/>
        </w:rPr>
        <w:t>Minimise</w:t>
      </w:r>
      <w:proofErr w:type="spellEnd"/>
      <w:r w:rsidRPr="00B16E6B">
        <w:rPr>
          <w:bCs/>
          <w:lang w:val="en-US"/>
        </w:rPr>
        <w:t xml:space="preserve"> cyber risks, and mitigate their impact by complying with the most recent edition of one of the below cyber standards, or an equivalent framework: </w:t>
      </w:r>
    </w:p>
    <w:p w14:paraId="47F13BA0"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Australian Standard ISO/IEC 27001 </w:t>
      </w:r>
    </w:p>
    <w:p w14:paraId="0C894417"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at a minimum, maturity level one of the Australian Signal Directorate’s Essential Eight Maturity Model </w:t>
      </w:r>
    </w:p>
    <w:p w14:paraId="0905ED77"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meet Security Profile 1 of the 202021 AESCSF Framework Core published by Australian Energy Market Operator Limited (ACN 072 010 327) </w:t>
      </w:r>
    </w:p>
    <w:p w14:paraId="4373B02B"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US National Institute of Standards and Technology’s Cyber Security Framework </w:t>
      </w:r>
    </w:p>
    <w:p w14:paraId="483A3577"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meet Maturity Indicator Level 1 of the Cybersecurity Capability Maturity Model published by the Department of Energy of the United States of America </w:t>
      </w:r>
    </w:p>
    <w:p w14:paraId="7C21F9E2" w14:textId="77777777" w:rsidR="00DE3EF7" w:rsidRPr="00B16E6B" w:rsidRDefault="00DE3EF7" w:rsidP="009613E1">
      <w:pPr>
        <w:autoSpaceDE w:val="0"/>
        <w:autoSpaceDN w:val="0"/>
        <w:adjustRightInd w:val="0"/>
        <w:spacing w:after="0" w:line="271" w:lineRule="auto"/>
        <w:rPr>
          <w:rFonts w:cs="Arial"/>
          <w:color w:val="000000"/>
          <w:szCs w:val="20"/>
        </w:rPr>
      </w:pPr>
      <w:r w:rsidRPr="00B16E6B">
        <w:rPr>
          <w:rFonts w:cs="Arial"/>
          <w:color w:val="000000"/>
          <w:szCs w:val="20"/>
        </w:rPr>
        <w:t xml:space="preserve">The framework or standard adopted should be outlined in the SP, and should be proportionate to the assessed risk. Older versions may be considered an equivalent framework so long as efforts to recertify to the most recent edition can be demonstrated. Overlapping combinations of numerous frameworks may be considered an equivalent framework. </w:t>
      </w:r>
    </w:p>
    <w:p w14:paraId="402D84C2" w14:textId="77777777" w:rsidR="00DE3EF7" w:rsidRPr="00B16E6B" w:rsidRDefault="00DE3EF7" w:rsidP="00A11AF5">
      <w:pPr>
        <w:pStyle w:val="ListParagraph"/>
        <w:numPr>
          <w:ilvl w:val="0"/>
          <w:numId w:val="62"/>
        </w:numPr>
        <w:spacing w:before="120" w:after="120" w:line="271" w:lineRule="auto"/>
        <w:ind w:left="714" w:hanging="357"/>
        <w:contextualSpacing w:val="0"/>
        <w:rPr>
          <w:bCs/>
          <w:lang w:val="en-US"/>
        </w:rPr>
      </w:pPr>
      <w:r w:rsidRPr="00B16E6B">
        <w:rPr>
          <w:bCs/>
          <w:lang w:val="en-US"/>
        </w:rPr>
        <w:t>Establish processes to protect critical systems and data</w:t>
      </w:r>
    </w:p>
    <w:p w14:paraId="2D4AE663" w14:textId="77777777" w:rsidR="00DE3EF7" w:rsidRPr="00B16E6B" w:rsidRDefault="00DE3EF7" w:rsidP="008B5CF8">
      <w:pPr>
        <w:spacing w:before="240" w:after="120" w:line="271" w:lineRule="auto"/>
        <w:rPr>
          <w:rFonts w:cs="Arial"/>
          <w:i/>
          <w:color w:val="000000"/>
          <w:szCs w:val="20"/>
        </w:rPr>
      </w:pPr>
      <w:r w:rsidRPr="00B16E6B">
        <w:rPr>
          <w:rFonts w:cs="Arial"/>
          <w:i/>
          <w:color w:val="000000"/>
          <w:szCs w:val="20"/>
        </w:rPr>
        <w:t xml:space="preserve">Supply chain security obligations </w:t>
      </w:r>
    </w:p>
    <w:p w14:paraId="2D752AA0" w14:textId="77777777" w:rsidR="00DE3EF7" w:rsidRPr="00B16E6B" w:rsidRDefault="00DE3EF7" w:rsidP="00A11AF5">
      <w:pPr>
        <w:pStyle w:val="ListParagraph"/>
        <w:numPr>
          <w:ilvl w:val="0"/>
          <w:numId w:val="63"/>
        </w:numPr>
        <w:spacing w:after="120" w:line="271" w:lineRule="auto"/>
        <w:contextualSpacing w:val="0"/>
        <w:rPr>
          <w:bCs/>
          <w:lang w:val="en-US"/>
        </w:rPr>
      </w:pPr>
      <w:r w:rsidRPr="00B16E6B">
        <w:rPr>
          <w:bCs/>
          <w:lang w:val="en-US"/>
        </w:rPr>
        <w:t xml:space="preserve">Identify supply chain hazards that could significantly impact the IP or its operations </w:t>
      </w:r>
    </w:p>
    <w:p w14:paraId="02F0FA9F" w14:textId="77777777" w:rsidR="00DE3EF7" w:rsidRPr="00B16E6B" w:rsidRDefault="00DE3EF7" w:rsidP="00A11AF5">
      <w:pPr>
        <w:pStyle w:val="ListParagraph"/>
        <w:numPr>
          <w:ilvl w:val="0"/>
          <w:numId w:val="63"/>
        </w:numPr>
        <w:spacing w:after="120" w:line="271" w:lineRule="auto"/>
        <w:contextualSpacing w:val="0"/>
        <w:rPr>
          <w:bCs/>
          <w:lang w:val="en-US"/>
        </w:rPr>
      </w:pPr>
      <w:r w:rsidRPr="00B16E6B">
        <w:rPr>
          <w:bCs/>
          <w:lang w:val="en-US"/>
        </w:rPr>
        <w:t xml:space="preserve">Identify major suppliers that by the nature of the product or service they offer, have a significant influence over the security of the IP’s operations. </w:t>
      </w:r>
    </w:p>
    <w:p w14:paraId="71CB459B" w14:textId="77777777" w:rsidR="00DE3EF7" w:rsidRPr="00B16E6B" w:rsidRDefault="00DE3EF7" w:rsidP="00A11AF5">
      <w:pPr>
        <w:pStyle w:val="ListParagraph"/>
        <w:numPr>
          <w:ilvl w:val="0"/>
          <w:numId w:val="63"/>
        </w:numPr>
        <w:spacing w:after="120" w:line="271" w:lineRule="auto"/>
        <w:contextualSpacing w:val="0"/>
        <w:rPr>
          <w:bCs/>
          <w:lang w:val="en-US"/>
        </w:rPr>
      </w:pPr>
      <w:r w:rsidRPr="00B16E6B">
        <w:rPr>
          <w:bCs/>
          <w:lang w:val="en-US"/>
        </w:rPr>
        <w:t xml:space="preserve">Establish processes to </w:t>
      </w:r>
      <w:proofErr w:type="spellStart"/>
      <w:r w:rsidRPr="00B16E6B">
        <w:rPr>
          <w:bCs/>
          <w:lang w:val="en-US"/>
        </w:rPr>
        <w:t>minimise</w:t>
      </w:r>
      <w:proofErr w:type="spellEnd"/>
      <w:r w:rsidRPr="00B16E6B">
        <w:rPr>
          <w:bCs/>
          <w:lang w:val="en-US"/>
        </w:rPr>
        <w:t xml:space="preserve"> or eliminate risks and impacts arising from: </w:t>
      </w:r>
    </w:p>
    <w:p w14:paraId="1E3A2CB8"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proofErr w:type="spellStart"/>
      <w:r w:rsidRPr="00B16E6B">
        <w:rPr>
          <w:bCs/>
          <w:lang w:val="en-US"/>
        </w:rPr>
        <w:t>unauthorised</w:t>
      </w:r>
      <w:proofErr w:type="spellEnd"/>
      <w:r w:rsidRPr="00B16E6B">
        <w:rPr>
          <w:bCs/>
          <w:lang w:val="en-US"/>
        </w:rPr>
        <w:t xml:space="preserve"> access, interference, or exploitation of the IP’s supply chain </w:t>
      </w:r>
    </w:p>
    <w:p w14:paraId="38D25E7E"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misuse of privileged access by any provider in the supply chain </w:t>
      </w:r>
    </w:p>
    <w:p w14:paraId="797FE4D5"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disruption of the IP due to an issue in the supply chain </w:t>
      </w:r>
    </w:p>
    <w:p w14:paraId="3A7AB026"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material risks associated with a major supplier in a supply chain </w:t>
      </w:r>
    </w:p>
    <w:p w14:paraId="0FC46385"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any failure or lowered capacity of other assets in the IPs supply chain. </w:t>
      </w:r>
    </w:p>
    <w:p w14:paraId="7C2AA441" w14:textId="5F18865B" w:rsidR="00DE3EF7" w:rsidRPr="00B16E6B" w:rsidRDefault="00942911" w:rsidP="008B5CF8">
      <w:pPr>
        <w:spacing w:before="240" w:after="120" w:line="271" w:lineRule="auto"/>
        <w:rPr>
          <w:rFonts w:cs="Arial"/>
          <w:i/>
          <w:color w:val="000000"/>
          <w:szCs w:val="20"/>
        </w:rPr>
      </w:pPr>
      <w:r w:rsidRPr="00B16E6B">
        <w:rPr>
          <w:rFonts w:cs="Arial"/>
          <w:i/>
          <w:color w:val="000000"/>
          <w:szCs w:val="20"/>
        </w:rPr>
        <w:t>Natural h</w:t>
      </w:r>
      <w:r w:rsidR="00DE3EF7" w:rsidRPr="00B16E6B">
        <w:rPr>
          <w:rFonts w:cs="Arial"/>
          <w:i/>
          <w:color w:val="000000"/>
          <w:szCs w:val="20"/>
        </w:rPr>
        <w:t xml:space="preserve">azards obligations </w:t>
      </w:r>
    </w:p>
    <w:p w14:paraId="0AEC41A2" w14:textId="77777777" w:rsidR="00DE3EF7" w:rsidRPr="00B16E6B" w:rsidRDefault="00DE3EF7" w:rsidP="00A11AF5">
      <w:pPr>
        <w:pStyle w:val="ListParagraph"/>
        <w:numPr>
          <w:ilvl w:val="0"/>
          <w:numId w:val="64"/>
        </w:numPr>
        <w:spacing w:after="120" w:line="271" w:lineRule="auto"/>
        <w:contextualSpacing w:val="0"/>
        <w:rPr>
          <w:bCs/>
          <w:lang w:val="en-US"/>
        </w:rPr>
      </w:pPr>
      <w:r w:rsidRPr="00B16E6B">
        <w:rPr>
          <w:bCs/>
          <w:lang w:val="en-US"/>
        </w:rPr>
        <w:t xml:space="preserve">Outline processes to </w:t>
      </w:r>
      <w:proofErr w:type="spellStart"/>
      <w:r w:rsidRPr="00B16E6B">
        <w:rPr>
          <w:bCs/>
          <w:lang w:val="en-US"/>
        </w:rPr>
        <w:t>minimise</w:t>
      </w:r>
      <w:proofErr w:type="spellEnd"/>
      <w:r w:rsidRPr="00B16E6B">
        <w:rPr>
          <w:bCs/>
          <w:lang w:val="en-US"/>
        </w:rPr>
        <w:t xml:space="preserve"> risks arising from natural hazards on the regulated IP, and mitigate against its physical impacts and effects. </w:t>
      </w:r>
    </w:p>
    <w:p w14:paraId="09E33510" w14:textId="77777777" w:rsidR="008B5CF8" w:rsidRPr="00B16E6B" w:rsidRDefault="008B5CF8">
      <w:pPr>
        <w:spacing w:after="200" w:line="288" w:lineRule="auto"/>
        <w:rPr>
          <w:bCs/>
          <w:i/>
          <w:lang w:val="en-US"/>
        </w:rPr>
      </w:pPr>
      <w:r w:rsidRPr="00B16E6B">
        <w:rPr>
          <w:bCs/>
          <w:i/>
          <w:lang w:val="en-US"/>
        </w:rPr>
        <w:br w:type="page"/>
      </w:r>
    </w:p>
    <w:p w14:paraId="2FEFAFDD" w14:textId="3630D189" w:rsidR="00DE3EF7" w:rsidRPr="00B16E6B" w:rsidRDefault="00DE3EF7" w:rsidP="009613E1">
      <w:pPr>
        <w:spacing w:after="120" w:line="271" w:lineRule="auto"/>
      </w:pPr>
      <w:r w:rsidRPr="00B16E6B">
        <w:rPr>
          <w:bCs/>
          <w:i/>
          <w:lang w:val="en-US"/>
        </w:rPr>
        <w:lastRenderedPageBreak/>
        <w:t>Attestation</w:t>
      </w:r>
    </w:p>
    <w:p w14:paraId="193A82F6" w14:textId="77777777" w:rsidR="00DE3EF7" w:rsidRPr="00B16E6B" w:rsidRDefault="00DE3EF7" w:rsidP="009613E1">
      <w:pPr>
        <w:spacing w:after="120" w:line="271" w:lineRule="auto"/>
        <w:rPr>
          <w:lang w:val="en-US"/>
        </w:rPr>
      </w:pPr>
      <w:r w:rsidRPr="00B16E6B">
        <w:rPr>
          <w:lang w:val="en-US"/>
        </w:rPr>
        <w:t xml:space="preserve">The attestation will be submitted alongside the all hazards risk assessment and the SP as an overarching assurance. Attestations will occur at least annually, or when the risk assessment or SP is amended, to verify that the risk assessment has been reviewed and is still accurate. </w:t>
      </w:r>
    </w:p>
    <w:p w14:paraId="74BECA64" w14:textId="77777777" w:rsidR="00DE3EF7" w:rsidRPr="00B16E6B" w:rsidRDefault="00DE3EF7" w:rsidP="009613E1">
      <w:pPr>
        <w:spacing w:after="120" w:line="271" w:lineRule="auto"/>
        <w:rPr>
          <w:b/>
          <w:bCs/>
          <w:sz w:val="28"/>
          <w:szCs w:val="28"/>
        </w:rPr>
      </w:pPr>
      <w:r w:rsidRPr="00B16E6B">
        <w:rPr>
          <w:b/>
          <w:bCs/>
          <w:sz w:val="28"/>
          <w:szCs w:val="28"/>
        </w:rPr>
        <w:t>Measure 3: Security controlled activities measure</w:t>
      </w:r>
    </w:p>
    <w:p w14:paraId="566752EA" w14:textId="77777777" w:rsidR="00DE3EF7" w:rsidRPr="00B16E6B" w:rsidRDefault="00DE3EF7" w:rsidP="009613E1">
      <w:pPr>
        <w:spacing w:line="271" w:lineRule="auto"/>
        <w:rPr>
          <w:b/>
        </w:rPr>
      </w:pPr>
      <w:r w:rsidRPr="00B16E6B">
        <w:rPr>
          <w:b/>
        </w:rPr>
        <w:t xml:space="preserve">Issue </w:t>
      </w:r>
    </w:p>
    <w:p w14:paraId="54E4CD1F" w14:textId="77777777" w:rsidR="00DE3EF7" w:rsidRPr="00B16E6B" w:rsidRDefault="00DE3EF7" w:rsidP="009613E1">
      <w:pPr>
        <w:spacing w:after="120" w:line="271" w:lineRule="auto"/>
        <w:rPr>
          <w:lang w:val="en-US"/>
        </w:rPr>
      </w:pPr>
      <w:r w:rsidRPr="00B16E6B">
        <w:rPr>
          <w:lang w:val="en-US"/>
        </w:rPr>
        <w:t xml:space="preserve">The transport security legislative frameworks currently focus on </w:t>
      </w:r>
      <w:proofErr w:type="spellStart"/>
      <w:r w:rsidRPr="00B16E6B">
        <w:rPr>
          <w:lang w:val="en-US"/>
        </w:rPr>
        <w:t>authorisation</w:t>
      </w:r>
      <w:proofErr w:type="spellEnd"/>
      <w:r w:rsidRPr="00B16E6B">
        <w:rPr>
          <w:lang w:val="en-US"/>
        </w:rPr>
        <w:t xml:space="preserve"> for access to physical security zones. Unescorted access to these zones are restricted to individuals who hold an ASIC or MSIC that have an operational need to be in the zone. </w:t>
      </w:r>
    </w:p>
    <w:p w14:paraId="689E109A" w14:textId="77777777" w:rsidR="00DE3EF7" w:rsidRPr="00B16E6B" w:rsidRDefault="00DE3EF7" w:rsidP="009613E1">
      <w:pPr>
        <w:spacing w:after="120" w:line="271" w:lineRule="auto"/>
        <w:rPr>
          <w:lang w:val="en-US"/>
        </w:rPr>
      </w:pPr>
      <w:r w:rsidRPr="00B16E6B">
        <w:rPr>
          <w:lang w:val="en-US"/>
        </w:rPr>
        <w:t xml:space="preserve">Rapidly evolving technology has enabled security zone operations once physically delivered to be delivered remotely. As a result, there are individuals who can affect, or influence, a secure zone, or critical systems, without being physically present within the border or geographical location of the entity. </w:t>
      </w:r>
    </w:p>
    <w:p w14:paraId="12EFC4D5" w14:textId="77777777" w:rsidR="00DE3EF7" w:rsidRPr="00B16E6B" w:rsidRDefault="00DE3EF7" w:rsidP="009613E1">
      <w:pPr>
        <w:spacing w:line="271" w:lineRule="auto"/>
        <w:rPr>
          <w:b/>
        </w:rPr>
      </w:pPr>
      <w:r w:rsidRPr="00B16E6B">
        <w:rPr>
          <w:b/>
        </w:rPr>
        <w:t xml:space="preserve">Proposal </w:t>
      </w:r>
    </w:p>
    <w:p w14:paraId="135ECD8A" w14:textId="77777777" w:rsidR="00DE3EF7" w:rsidRPr="00B16E6B" w:rsidRDefault="00DE3EF7" w:rsidP="009613E1">
      <w:pPr>
        <w:spacing w:after="120" w:line="271" w:lineRule="auto"/>
        <w:rPr>
          <w:lang w:val="en-US"/>
        </w:rPr>
      </w:pPr>
      <w:r w:rsidRPr="00B16E6B">
        <w:rPr>
          <w:lang w:val="en-US"/>
        </w:rPr>
        <w:t xml:space="preserve">The Government is proposing to: </w:t>
      </w:r>
    </w:p>
    <w:p w14:paraId="36FFD66A" w14:textId="013D139B"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introduce a definition of SCAs </w:t>
      </w:r>
      <w:r w:rsidR="008B5CF8" w:rsidRPr="00B16E6B">
        <w:rPr>
          <w:bCs/>
          <w:lang w:val="en-US"/>
        </w:rPr>
        <w:t xml:space="preserve">within ATSA and MTOFSA, which </w:t>
      </w:r>
      <w:r w:rsidRPr="00B16E6B">
        <w:rPr>
          <w:bCs/>
          <w:lang w:val="en-US"/>
        </w:rPr>
        <w:t xml:space="preserve">refer to activities that can allow personnel to have access to, or influence of, secure areas, or critical systems, remotely </w:t>
      </w:r>
    </w:p>
    <w:p w14:paraId="0FD16B97" w14:textId="73D9EA8C"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introduce a requirement for IPs to identify SCAs through a risk assessment. This includes activities undertaken by international personnel and third party and subsequent suppliers </w:t>
      </w:r>
    </w:p>
    <w:p w14:paraId="7019337A" w14:textId="77777777" w:rsidR="00DE3EF7" w:rsidRPr="00B16E6B" w:rsidRDefault="00DE3EF7" w:rsidP="00A11AF5">
      <w:pPr>
        <w:pStyle w:val="ListParagraph"/>
        <w:numPr>
          <w:ilvl w:val="0"/>
          <w:numId w:val="21"/>
        </w:numPr>
        <w:spacing w:after="120" w:line="271" w:lineRule="auto"/>
        <w:ind w:left="714" w:hanging="357"/>
        <w:contextualSpacing w:val="0"/>
        <w:rPr>
          <w:bCs/>
          <w:lang w:val="en-US"/>
        </w:rPr>
      </w:pPr>
      <w:r w:rsidRPr="00B16E6B">
        <w:rPr>
          <w:bCs/>
          <w:lang w:val="en-US"/>
        </w:rPr>
        <w:t xml:space="preserve">introduce a requirement for IPs to implement mitigation measures to manage risks associated with personnel undertaking SCAs, including, where appropriate: </w:t>
      </w:r>
    </w:p>
    <w:p w14:paraId="11D8D54C" w14:textId="77777777" w:rsidR="00DE3EF7" w:rsidRPr="00B16E6B" w:rsidRDefault="00DE3EF7" w:rsidP="00A11AF5">
      <w:pPr>
        <w:pStyle w:val="ListParagraph"/>
        <w:numPr>
          <w:ilvl w:val="1"/>
          <w:numId w:val="21"/>
        </w:numPr>
        <w:spacing w:after="120" w:line="271" w:lineRule="auto"/>
        <w:contextualSpacing w:val="0"/>
        <w:rPr>
          <w:bCs/>
          <w:lang w:val="en-US"/>
        </w:rPr>
      </w:pPr>
      <w:r w:rsidRPr="00B16E6B">
        <w:rPr>
          <w:bCs/>
          <w:lang w:val="en-US"/>
        </w:rPr>
        <w:t xml:space="preserve">requiring relevant personnel to hold an ASIC/MSIC; and/or </w:t>
      </w:r>
    </w:p>
    <w:p w14:paraId="467B6F65" w14:textId="09614804" w:rsidR="00DE3EF7" w:rsidRPr="00B16E6B" w:rsidRDefault="00DE3EF7" w:rsidP="00A11AF5">
      <w:pPr>
        <w:pStyle w:val="ListParagraph"/>
        <w:numPr>
          <w:ilvl w:val="1"/>
          <w:numId w:val="21"/>
        </w:numPr>
        <w:spacing w:after="120" w:line="271" w:lineRule="auto"/>
        <w:contextualSpacing w:val="0"/>
        <w:rPr>
          <w:bCs/>
          <w:lang w:val="en-US"/>
        </w:rPr>
      </w:pPr>
      <w:r w:rsidRPr="00B16E6B">
        <w:rPr>
          <w:bCs/>
          <w:lang w:val="en-US"/>
        </w:rPr>
        <w:t xml:space="preserve">implementing relevant processes or procedures to ensure the security of critical systems. </w:t>
      </w:r>
    </w:p>
    <w:p w14:paraId="0654101B" w14:textId="77777777" w:rsidR="008B5CF8" w:rsidRPr="00B16E6B" w:rsidRDefault="008B5CF8" w:rsidP="008B5CF8">
      <w:pPr>
        <w:spacing w:after="200" w:line="288" w:lineRule="auto"/>
        <w:rPr>
          <w:lang w:val="en-US"/>
        </w:rPr>
      </w:pPr>
      <w:r w:rsidRPr="00B16E6B">
        <w:rPr>
          <w:lang w:val="en-US"/>
        </w:rPr>
        <w:t>For any internationally-based personnel, including third party supplier located internationally, IPs are not required to obtain background checks outside of Australia. Under this measure, IPs will need to satisfy themselves, and provide an attestation that any internationally-based personnel or international third</w:t>
      </w:r>
      <w:r w:rsidRPr="00B16E6B">
        <w:rPr>
          <w:lang w:val="en-US"/>
        </w:rPr>
        <w:noBreakHyphen/>
        <w:t xml:space="preserve">party suppliers engaged by your entity, contribute to meeting your security obligations. </w:t>
      </w:r>
    </w:p>
    <w:p w14:paraId="131EE7E6" w14:textId="3EE61CFD" w:rsidR="008B5CF8" w:rsidRPr="00B16E6B" w:rsidRDefault="008B5CF8" w:rsidP="008B5CF8">
      <w:pPr>
        <w:spacing w:after="200" w:line="288" w:lineRule="auto"/>
      </w:pPr>
      <w:r w:rsidRPr="00B16E6B">
        <w:rPr>
          <w:lang w:val="en-US"/>
        </w:rPr>
        <w:t>Your risk assessment and SP should also identify how your entity will mitigate any real or perceived risks and threats from internationally-based staff or interna</w:t>
      </w:r>
      <w:r w:rsidR="00EE74A7">
        <w:rPr>
          <w:lang w:val="en-US"/>
        </w:rPr>
        <w:t xml:space="preserve">tional third-party suppliers. </w:t>
      </w:r>
    </w:p>
    <w:p w14:paraId="3D88540A" w14:textId="77777777" w:rsidR="008F3F1A" w:rsidRPr="00B16E6B" w:rsidRDefault="008F3F1A">
      <w:pPr>
        <w:spacing w:after="200" w:line="288" w:lineRule="auto"/>
        <w:rPr>
          <w:rFonts w:asciiTheme="majorHAnsi" w:eastAsiaTheme="majorEastAsia" w:hAnsiTheme="majorHAnsi" w:cstheme="majorBidi"/>
          <w:color w:val="1C2B39" w:themeColor="accent1"/>
          <w:sz w:val="48"/>
          <w:szCs w:val="40"/>
        </w:rPr>
      </w:pPr>
      <w:r w:rsidRPr="00B16E6B">
        <w:br w:type="page"/>
      </w:r>
    </w:p>
    <w:p w14:paraId="4A1CA62F" w14:textId="2A63462F" w:rsidR="00AD1096" w:rsidRPr="00B16E6B" w:rsidRDefault="007E0814" w:rsidP="009613E1">
      <w:pPr>
        <w:pStyle w:val="Heading1"/>
        <w:spacing w:after="240" w:line="271" w:lineRule="auto"/>
      </w:pPr>
      <w:r w:rsidRPr="00B16E6B">
        <w:lastRenderedPageBreak/>
        <w:t xml:space="preserve">Appendix </w:t>
      </w:r>
      <w:r w:rsidR="00DE3EF7" w:rsidRPr="00B16E6B">
        <w:t>B</w:t>
      </w:r>
      <w:r w:rsidRPr="00B16E6B">
        <w:t>: All hazard obligations b</w:t>
      </w:r>
      <w:r w:rsidR="004409E8" w:rsidRPr="00B16E6B">
        <w:t>y</w:t>
      </w:r>
      <w:r w:rsidRPr="00B16E6B">
        <w:t xml:space="preserve"> entity </w:t>
      </w:r>
    </w:p>
    <w:p w14:paraId="48202B1F" w14:textId="77777777" w:rsidR="00AD1096" w:rsidRPr="00B16E6B" w:rsidRDefault="00AD1096" w:rsidP="009613E1">
      <w:pPr>
        <w:spacing w:after="0" w:line="271" w:lineRule="auto"/>
      </w:pPr>
      <w:bookmarkStart w:id="40" w:name="_Appendix_A:_All"/>
      <w:bookmarkEnd w:id="40"/>
      <w:r w:rsidRPr="00B16E6B">
        <w:t xml:space="preserve">The table below provides a proposed breakdown of all hazard obligations by entity. </w:t>
      </w:r>
    </w:p>
    <w:tbl>
      <w:tblPr>
        <w:tblStyle w:val="DHATable1"/>
        <w:tblpPr w:leftFromText="180" w:rightFromText="180" w:topFromText="120" w:bottomFromText="120" w:vertAnchor="text" w:horzAnchor="margin" w:tblpY="157"/>
        <w:tblW w:w="10065" w:type="dxa"/>
        <w:tblBorders>
          <w:top w:val="none" w:sz="0" w:space="0" w:color="auto"/>
          <w:bottom w:val="none" w:sz="0" w:space="0" w:color="auto"/>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009"/>
        <w:gridCol w:w="1514"/>
        <w:gridCol w:w="1514"/>
        <w:gridCol w:w="1514"/>
        <w:gridCol w:w="1514"/>
      </w:tblGrid>
      <w:tr w:rsidR="00AD1096" w:rsidRPr="00B16E6B" w14:paraId="4B7CF0E7" w14:textId="77777777" w:rsidTr="00636E0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09" w:type="dxa"/>
            <w:shd w:val="clear" w:color="auto" w:fill="1C2B39" w:themeFill="accent1"/>
            <w:vAlign w:val="center"/>
            <w:hideMark/>
          </w:tcPr>
          <w:p w14:paraId="15231A22" w14:textId="77777777" w:rsidR="00AD1096" w:rsidRPr="00B16E6B" w:rsidRDefault="00AD1096" w:rsidP="009613E1">
            <w:pPr>
              <w:tabs>
                <w:tab w:val="left" w:pos="4620"/>
              </w:tabs>
              <w:spacing w:after="0" w:line="271" w:lineRule="auto"/>
              <w:rPr>
                <w:rFonts w:asciiTheme="minorHAnsi" w:hAnsiTheme="minorHAnsi" w:cstheme="majorHAnsi"/>
                <w:color w:val="auto"/>
                <w:sz w:val="18"/>
                <w:szCs w:val="16"/>
              </w:rPr>
            </w:pPr>
            <w:r w:rsidRPr="00B16E6B">
              <w:rPr>
                <w:rFonts w:asciiTheme="minorHAnsi" w:hAnsiTheme="minorHAnsi" w:cstheme="majorHAnsi"/>
                <w:color w:val="auto"/>
                <w:sz w:val="18"/>
                <w:szCs w:val="16"/>
              </w:rPr>
              <w:t>Industry Participant</w:t>
            </w:r>
          </w:p>
        </w:tc>
        <w:tc>
          <w:tcPr>
            <w:tcW w:w="1514" w:type="dxa"/>
            <w:shd w:val="clear" w:color="auto" w:fill="1C2B39" w:themeFill="accent1"/>
            <w:vAlign w:val="center"/>
            <w:hideMark/>
          </w:tcPr>
          <w:p w14:paraId="7EAE43F8" w14:textId="77777777" w:rsidR="00AD1096" w:rsidRPr="00B16E6B" w:rsidRDefault="00AD1096" w:rsidP="009613E1">
            <w:pPr>
              <w:tabs>
                <w:tab w:val="left" w:pos="4620"/>
              </w:tabs>
              <w:spacing w:after="0" w:line="271"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color w:val="auto"/>
                <w:sz w:val="18"/>
                <w:szCs w:val="16"/>
              </w:rPr>
            </w:pPr>
            <w:r w:rsidRPr="00B16E6B">
              <w:rPr>
                <w:rFonts w:asciiTheme="minorHAnsi" w:hAnsiTheme="minorHAnsi" w:cstheme="majorHAnsi"/>
                <w:color w:val="auto"/>
                <w:sz w:val="18"/>
                <w:szCs w:val="16"/>
              </w:rPr>
              <w:t>Personnel</w:t>
            </w:r>
          </w:p>
        </w:tc>
        <w:tc>
          <w:tcPr>
            <w:tcW w:w="1514" w:type="dxa"/>
            <w:shd w:val="clear" w:color="auto" w:fill="1C2B39" w:themeFill="accent1"/>
            <w:vAlign w:val="center"/>
            <w:hideMark/>
          </w:tcPr>
          <w:p w14:paraId="7E727514" w14:textId="77777777" w:rsidR="00AD1096" w:rsidRPr="00B16E6B" w:rsidRDefault="00AD1096" w:rsidP="009613E1">
            <w:pPr>
              <w:tabs>
                <w:tab w:val="left" w:pos="4620"/>
              </w:tabs>
              <w:spacing w:after="0" w:line="271"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color w:val="auto"/>
                <w:sz w:val="18"/>
                <w:szCs w:val="16"/>
              </w:rPr>
            </w:pPr>
            <w:r w:rsidRPr="00B16E6B">
              <w:rPr>
                <w:rFonts w:asciiTheme="minorHAnsi" w:hAnsiTheme="minorHAnsi" w:cstheme="majorHAnsi"/>
                <w:color w:val="auto"/>
                <w:sz w:val="18"/>
                <w:szCs w:val="16"/>
              </w:rPr>
              <w:t>Cyber</w:t>
            </w:r>
          </w:p>
        </w:tc>
        <w:tc>
          <w:tcPr>
            <w:tcW w:w="1514" w:type="dxa"/>
            <w:shd w:val="clear" w:color="auto" w:fill="1C2B39" w:themeFill="accent1"/>
            <w:vAlign w:val="center"/>
            <w:hideMark/>
          </w:tcPr>
          <w:p w14:paraId="0802875D" w14:textId="77777777" w:rsidR="00AD1096" w:rsidRPr="00B16E6B" w:rsidRDefault="00AD1096" w:rsidP="009613E1">
            <w:pPr>
              <w:tabs>
                <w:tab w:val="left" w:pos="4620"/>
              </w:tabs>
              <w:spacing w:after="0" w:line="271"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color w:val="auto"/>
                <w:sz w:val="18"/>
                <w:szCs w:val="16"/>
              </w:rPr>
            </w:pPr>
            <w:r w:rsidRPr="00B16E6B">
              <w:rPr>
                <w:rFonts w:asciiTheme="minorHAnsi" w:hAnsiTheme="minorHAnsi" w:cstheme="majorHAnsi"/>
                <w:color w:val="auto"/>
                <w:sz w:val="18"/>
                <w:szCs w:val="16"/>
              </w:rPr>
              <w:t>Natural hazards</w:t>
            </w:r>
          </w:p>
        </w:tc>
        <w:tc>
          <w:tcPr>
            <w:tcW w:w="1514" w:type="dxa"/>
            <w:shd w:val="clear" w:color="auto" w:fill="1C2B39" w:themeFill="accent1"/>
            <w:vAlign w:val="center"/>
            <w:hideMark/>
          </w:tcPr>
          <w:p w14:paraId="640FC171" w14:textId="77777777" w:rsidR="00AD1096" w:rsidRPr="00B16E6B" w:rsidRDefault="00AD1096" w:rsidP="009613E1">
            <w:pPr>
              <w:tabs>
                <w:tab w:val="left" w:pos="4620"/>
              </w:tabs>
              <w:spacing w:after="0" w:line="271"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color w:val="auto"/>
                <w:sz w:val="18"/>
                <w:szCs w:val="16"/>
              </w:rPr>
            </w:pPr>
            <w:r w:rsidRPr="00B16E6B">
              <w:rPr>
                <w:rFonts w:asciiTheme="minorHAnsi" w:hAnsiTheme="minorHAnsi" w:cstheme="majorHAnsi"/>
                <w:color w:val="auto"/>
                <w:sz w:val="18"/>
                <w:szCs w:val="16"/>
              </w:rPr>
              <w:t>Supply chain</w:t>
            </w:r>
          </w:p>
        </w:tc>
      </w:tr>
      <w:tr w:rsidR="00AD1096" w:rsidRPr="00B16E6B" w14:paraId="5232D1F5" w14:textId="77777777" w:rsidTr="00636E0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E1E9F0" w:themeFill="accent1" w:themeFillTint="1A"/>
            <w:vAlign w:val="center"/>
            <w:hideMark/>
          </w:tcPr>
          <w:p w14:paraId="1332BA7E" w14:textId="77777777" w:rsidR="00AD1096" w:rsidRPr="00B16E6B" w:rsidRDefault="00AD1096" w:rsidP="009613E1">
            <w:pPr>
              <w:spacing w:after="0" w:line="271" w:lineRule="auto"/>
              <w:rPr>
                <w:rFonts w:asciiTheme="minorHAnsi" w:hAnsiTheme="minorHAnsi" w:cstheme="majorHAnsi"/>
                <w:sz w:val="18"/>
                <w:szCs w:val="16"/>
              </w:rPr>
            </w:pPr>
            <w:r w:rsidRPr="00B16E6B">
              <w:rPr>
                <w:rFonts w:asciiTheme="minorHAnsi" w:hAnsiTheme="minorHAnsi" w:cstheme="majorHAnsi"/>
                <w:b w:val="0"/>
                <w:sz w:val="18"/>
                <w:szCs w:val="16"/>
              </w:rPr>
              <w:t> </w:t>
            </w:r>
            <w:r w:rsidRPr="00B16E6B">
              <w:rPr>
                <w:rFonts w:asciiTheme="minorHAnsi" w:hAnsiTheme="minorHAnsi" w:cstheme="majorHAnsi"/>
                <w:sz w:val="18"/>
                <w:szCs w:val="16"/>
              </w:rPr>
              <w:t>Aviation</w:t>
            </w:r>
          </w:p>
        </w:tc>
        <w:tc>
          <w:tcPr>
            <w:tcW w:w="1514" w:type="dxa"/>
            <w:shd w:val="clear" w:color="auto" w:fill="E1E9F0" w:themeFill="accent1" w:themeFillTint="1A"/>
          </w:tcPr>
          <w:p w14:paraId="1C292ED2" w14:textId="77777777" w:rsidR="00AD1096" w:rsidRPr="00B16E6B" w:rsidRDefault="00AD1096" w:rsidP="009613E1">
            <w:pPr>
              <w:tabs>
                <w:tab w:val="left" w:pos="4620"/>
              </w:tabs>
              <w:spacing w:after="0" w:line="271"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p>
        </w:tc>
        <w:tc>
          <w:tcPr>
            <w:tcW w:w="1514" w:type="dxa"/>
            <w:shd w:val="clear" w:color="auto" w:fill="E1E9F0" w:themeFill="accent1" w:themeFillTint="1A"/>
          </w:tcPr>
          <w:p w14:paraId="72F5E6DB" w14:textId="77777777" w:rsidR="00AD1096" w:rsidRPr="00B16E6B" w:rsidRDefault="00AD1096" w:rsidP="009613E1">
            <w:pPr>
              <w:tabs>
                <w:tab w:val="left" w:pos="4620"/>
              </w:tabs>
              <w:spacing w:after="0" w:line="271"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p>
        </w:tc>
        <w:tc>
          <w:tcPr>
            <w:tcW w:w="1514" w:type="dxa"/>
            <w:shd w:val="clear" w:color="auto" w:fill="E1E9F0" w:themeFill="accent1" w:themeFillTint="1A"/>
          </w:tcPr>
          <w:p w14:paraId="5EA66514" w14:textId="77777777" w:rsidR="00AD1096" w:rsidRPr="00B16E6B" w:rsidRDefault="00AD1096" w:rsidP="009613E1">
            <w:pPr>
              <w:tabs>
                <w:tab w:val="left" w:pos="4620"/>
              </w:tabs>
              <w:spacing w:after="0" w:line="271"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p>
        </w:tc>
        <w:tc>
          <w:tcPr>
            <w:tcW w:w="1514" w:type="dxa"/>
            <w:shd w:val="clear" w:color="auto" w:fill="E1E9F0" w:themeFill="accent1" w:themeFillTint="1A"/>
          </w:tcPr>
          <w:p w14:paraId="3080A47B" w14:textId="77777777" w:rsidR="00AD1096" w:rsidRPr="00B16E6B" w:rsidRDefault="00AD1096" w:rsidP="009613E1">
            <w:pPr>
              <w:tabs>
                <w:tab w:val="left" w:pos="4620"/>
              </w:tabs>
              <w:spacing w:after="0" w:line="271"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p>
        </w:tc>
      </w:tr>
      <w:tr w:rsidR="000C7A5A" w:rsidRPr="00B16E6B" w14:paraId="539897FC" w14:textId="77777777" w:rsidTr="00AD109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vAlign w:val="center"/>
            <w:hideMark/>
          </w:tcPr>
          <w:p w14:paraId="02AD8497" w14:textId="77777777" w:rsidR="00AD1096" w:rsidRPr="00B16E6B" w:rsidRDefault="00AD1096" w:rsidP="009613E1">
            <w:pPr>
              <w:spacing w:after="0" w:line="271" w:lineRule="auto"/>
              <w:rPr>
                <w:rFonts w:asciiTheme="minorHAnsi" w:hAnsiTheme="minorHAnsi" w:cstheme="majorHAnsi"/>
                <w:b w:val="0"/>
                <w:sz w:val="18"/>
                <w:szCs w:val="16"/>
              </w:rPr>
            </w:pPr>
            <w:r w:rsidRPr="00B16E6B">
              <w:rPr>
                <w:rFonts w:asciiTheme="minorHAnsi" w:hAnsiTheme="minorHAnsi" w:cstheme="majorHAnsi"/>
                <w:b w:val="0"/>
                <w:sz w:val="18"/>
                <w:szCs w:val="16"/>
              </w:rPr>
              <w:t xml:space="preserve">Airservices Australia </w:t>
            </w:r>
          </w:p>
        </w:tc>
        <w:tc>
          <w:tcPr>
            <w:tcW w:w="1514" w:type="dxa"/>
            <w:shd w:val="clear" w:color="auto" w:fill="auto"/>
            <w:vAlign w:val="center"/>
            <w:hideMark/>
          </w:tcPr>
          <w:p w14:paraId="55C44D80"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66DE0DA1"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6FBDBA11"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5C98238C"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r>
      <w:tr w:rsidR="000C7A5A" w:rsidRPr="00B16E6B" w14:paraId="5884360E" w14:textId="77777777" w:rsidTr="00AD109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vAlign w:val="center"/>
            <w:hideMark/>
          </w:tcPr>
          <w:p w14:paraId="200B8E7E" w14:textId="77777777" w:rsidR="00AD1096" w:rsidRPr="00B16E6B" w:rsidRDefault="00AD1096" w:rsidP="009613E1">
            <w:pPr>
              <w:spacing w:after="0" w:line="271" w:lineRule="auto"/>
              <w:rPr>
                <w:rFonts w:asciiTheme="minorHAnsi" w:hAnsiTheme="minorHAnsi" w:cstheme="majorHAnsi"/>
                <w:b w:val="0"/>
                <w:sz w:val="18"/>
                <w:szCs w:val="16"/>
              </w:rPr>
            </w:pPr>
            <w:r w:rsidRPr="00B16E6B">
              <w:rPr>
                <w:rFonts w:asciiTheme="minorHAnsi" w:hAnsiTheme="minorHAnsi" w:cstheme="majorHAnsi"/>
                <w:b w:val="0"/>
                <w:sz w:val="18"/>
                <w:szCs w:val="16"/>
              </w:rPr>
              <w:t>Designated airports</w:t>
            </w:r>
          </w:p>
        </w:tc>
        <w:tc>
          <w:tcPr>
            <w:tcW w:w="1514" w:type="dxa"/>
            <w:shd w:val="clear" w:color="auto" w:fill="auto"/>
            <w:vAlign w:val="center"/>
            <w:hideMark/>
          </w:tcPr>
          <w:p w14:paraId="7666397C"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4AB82F59"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16FD595A"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10599A61"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r>
      <w:tr w:rsidR="000C7A5A" w:rsidRPr="00B16E6B" w14:paraId="6DB4D740" w14:textId="77777777" w:rsidTr="00AD109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vAlign w:val="center"/>
            <w:hideMark/>
          </w:tcPr>
          <w:p w14:paraId="631AA77A" w14:textId="77777777" w:rsidR="00AD1096" w:rsidRPr="00B16E6B" w:rsidRDefault="00AD1096" w:rsidP="009613E1">
            <w:pPr>
              <w:spacing w:after="0" w:line="271" w:lineRule="auto"/>
              <w:rPr>
                <w:rFonts w:asciiTheme="minorHAnsi" w:hAnsiTheme="minorHAnsi" w:cstheme="majorHAnsi"/>
                <w:b w:val="0"/>
                <w:sz w:val="18"/>
                <w:szCs w:val="16"/>
              </w:rPr>
            </w:pPr>
            <w:r w:rsidRPr="00B16E6B">
              <w:rPr>
                <w:rFonts w:asciiTheme="minorHAnsi" w:hAnsiTheme="minorHAnsi" w:cstheme="majorHAnsi"/>
                <w:b w:val="0"/>
                <w:sz w:val="18"/>
                <w:szCs w:val="16"/>
              </w:rPr>
              <w:t>Tier 1 airport</w:t>
            </w:r>
          </w:p>
        </w:tc>
        <w:tc>
          <w:tcPr>
            <w:tcW w:w="1514" w:type="dxa"/>
            <w:shd w:val="clear" w:color="auto" w:fill="auto"/>
            <w:vAlign w:val="center"/>
            <w:hideMark/>
          </w:tcPr>
          <w:p w14:paraId="1097DED8"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2D4CD10C"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76FC8542"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50913541"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r>
      <w:tr w:rsidR="000C7A5A" w:rsidRPr="00B16E6B" w14:paraId="129417D8" w14:textId="77777777" w:rsidTr="00AD109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vAlign w:val="center"/>
            <w:hideMark/>
          </w:tcPr>
          <w:p w14:paraId="4DB2ADE2" w14:textId="77777777" w:rsidR="00AD1096" w:rsidRPr="00B16E6B" w:rsidRDefault="00AD1096" w:rsidP="009613E1">
            <w:pPr>
              <w:spacing w:after="0" w:line="271" w:lineRule="auto"/>
              <w:rPr>
                <w:rFonts w:asciiTheme="minorHAnsi" w:hAnsiTheme="minorHAnsi" w:cstheme="majorHAnsi"/>
                <w:b w:val="0"/>
                <w:sz w:val="18"/>
                <w:szCs w:val="16"/>
                <w:lang w:eastAsia="en-AU"/>
              </w:rPr>
            </w:pPr>
            <w:r w:rsidRPr="00B16E6B">
              <w:rPr>
                <w:rFonts w:asciiTheme="minorHAnsi" w:hAnsiTheme="minorHAnsi" w:cstheme="majorHAnsi"/>
                <w:b w:val="0"/>
                <w:sz w:val="18"/>
                <w:szCs w:val="16"/>
              </w:rPr>
              <w:t>Aircraft operators operating regular public transport (RPT) services</w:t>
            </w:r>
            <w:r w:rsidRPr="00B16E6B">
              <w:rPr>
                <w:rFonts w:asciiTheme="minorHAnsi" w:hAnsiTheme="minorHAnsi" w:cstheme="majorHAnsi"/>
                <w:b w:val="0"/>
                <w:sz w:val="18"/>
                <w:szCs w:val="16"/>
                <w:lang w:eastAsia="en-AU"/>
              </w:rPr>
              <w:t xml:space="preserve"> </w:t>
            </w:r>
          </w:p>
        </w:tc>
        <w:tc>
          <w:tcPr>
            <w:tcW w:w="1514" w:type="dxa"/>
            <w:shd w:val="clear" w:color="auto" w:fill="auto"/>
            <w:vAlign w:val="center"/>
            <w:hideMark/>
          </w:tcPr>
          <w:p w14:paraId="5AC585DA"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66ACD25C"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0F0F0F48"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4FC9FA4C"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r>
      <w:tr w:rsidR="000C7A5A" w:rsidRPr="00B16E6B" w14:paraId="4CABEBA5" w14:textId="77777777" w:rsidTr="00AD109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vAlign w:val="center"/>
            <w:hideMark/>
          </w:tcPr>
          <w:p w14:paraId="566371F7" w14:textId="77777777" w:rsidR="00AD1096" w:rsidRPr="00B16E6B" w:rsidRDefault="00AD1096" w:rsidP="009613E1">
            <w:pPr>
              <w:spacing w:after="0" w:line="271" w:lineRule="auto"/>
              <w:rPr>
                <w:rFonts w:asciiTheme="minorHAnsi" w:hAnsiTheme="minorHAnsi" w:cstheme="majorHAnsi"/>
                <w:b w:val="0"/>
                <w:sz w:val="18"/>
                <w:szCs w:val="16"/>
              </w:rPr>
            </w:pPr>
            <w:r w:rsidRPr="00B16E6B">
              <w:rPr>
                <w:rFonts w:asciiTheme="minorHAnsi" w:hAnsiTheme="minorHAnsi" w:cstheme="majorHAnsi"/>
                <w:b w:val="0"/>
                <w:sz w:val="18"/>
                <w:szCs w:val="16"/>
              </w:rPr>
              <w:t>Registered Air Cargo Agents (RACAs) operating at designated/tier 1 airports</w:t>
            </w:r>
          </w:p>
        </w:tc>
        <w:tc>
          <w:tcPr>
            <w:tcW w:w="1514" w:type="dxa"/>
            <w:shd w:val="clear" w:color="auto" w:fill="auto"/>
            <w:vAlign w:val="center"/>
            <w:hideMark/>
          </w:tcPr>
          <w:p w14:paraId="4017E8EC"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704F778E"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33AA69EA"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2BADFC11"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r>
      <w:tr w:rsidR="000C7A5A" w:rsidRPr="00B16E6B" w14:paraId="6EE395CD" w14:textId="77777777" w:rsidTr="00AD109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vAlign w:val="center"/>
            <w:hideMark/>
          </w:tcPr>
          <w:p w14:paraId="7A7C001D" w14:textId="77777777" w:rsidR="00AD1096" w:rsidRPr="00B16E6B" w:rsidRDefault="00AD1096" w:rsidP="009613E1">
            <w:pPr>
              <w:spacing w:after="0" w:line="271" w:lineRule="auto"/>
              <w:rPr>
                <w:rFonts w:asciiTheme="minorHAnsi" w:hAnsiTheme="minorHAnsi" w:cstheme="majorHAnsi"/>
                <w:b w:val="0"/>
                <w:sz w:val="18"/>
                <w:szCs w:val="16"/>
                <w:lang w:eastAsia="en-AU"/>
              </w:rPr>
            </w:pPr>
            <w:r w:rsidRPr="00B16E6B">
              <w:rPr>
                <w:rFonts w:asciiTheme="minorHAnsi" w:hAnsiTheme="minorHAnsi" w:cstheme="majorHAnsi"/>
                <w:b w:val="0"/>
                <w:sz w:val="18"/>
                <w:szCs w:val="16"/>
              </w:rPr>
              <w:t xml:space="preserve">Australian aircraft operators operating airfreight services at designated and tier 1 airports </w:t>
            </w:r>
          </w:p>
        </w:tc>
        <w:tc>
          <w:tcPr>
            <w:tcW w:w="1514" w:type="dxa"/>
            <w:shd w:val="clear" w:color="auto" w:fill="auto"/>
            <w:vAlign w:val="center"/>
            <w:hideMark/>
          </w:tcPr>
          <w:p w14:paraId="021D5D50"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3B917472"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562CFD9A" w14:textId="77777777" w:rsidR="00AD1096" w:rsidRPr="00B16E6B" w:rsidRDefault="00AD1096" w:rsidP="009613E1">
            <w:pPr>
              <w:spacing w:after="0" w:line="271"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p>
        </w:tc>
        <w:tc>
          <w:tcPr>
            <w:tcW w:w="1514" w:type="dxa"/>
            <w:shd w:val="clear" w:color="auto" w:fill="auto"/>
            <w:vAlign w:val="center"/>
            <w:hideMark/>
          </w:tcPr>
          <w:p w14:paraId="1709D2AB"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r>
      <w:tr w:rsidR="000C7A5A" w:rsidRPr="00B16E6B" w14:paraId="496A5ADC" w14:textId="77777777" w:rsidTr="00AD109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vAlign w:val="center"/>
            <w:hideMark/>
          </w:tcPr>
          <w:p w14:paraId="2BF6D5B5" w14:textId="77777777" w:rsidR="00AD1096" w:rsidRPr="00B16E6B" w:rsidRDefault="00AD1096" w:rsidP="009613E1">
            <w:pPr>
              <w:spacing w:after="0" w:line="271" w:lineRule="auto"/>
              <w:rPr>
                <w:rFonts w:asciiTheme="minorHAnsi" w:hAnsiTheme="minorHAnsi" w:cstheme="majorHAnsi"/>
                <w:b w:val="0"/>
                <w:sz w:val="18"/>
                <w:szCs w:val="16"/>
                <w:lang w:eastAsia="en-AU"/>
              </w:rPr>
            </w:pPr>
            <w:r w:rsidRPr="00B16E6B">
              <w:rPr>
                <w:rFonts w:asciiTheme="minorHAnsi" w:hAnsiTheme="minorHAnsi" w:cstheme="majorHAnsi"/>
                <w:b w:val="0"/>
                <w:sz w:val="18"/>
                <w:szCs w:val="16"/>
              </w:rPr>
              <w:t>Tier 2 airports</w:t>
            </w:r>
            <w:r w:rsidRPr="00B16E6B">
              <w:rPr>
                <w:rFonts w:asciiTheme="minorHAnsi" w:hAnsiTheme="minorHAnsi" w:cstheme="majorHAnsi"/>
                <w:b w:val="0"/>
                <w:sz w:val="18"/>
                <w:szCs w:val="16"/>
                <w:lang w:eastAsia="en-AU"/>
              </w:rPr>
              <w:t xml:space="preserve"> </w:t>
            </w:r>
          </w:p>
        </w:tc>
        <w:tc>
          <w:tcPr>
            <w:tcW w:w="1514" w:type="dxa"/>
            <w:shd w:val="clear" w:color="auto" w:fill="auto"/>
            <w:vAlign w:val="center"/>
            <w:hideMark/>
          </w:tcPr>
          <w:p w14:paraId="37713A86"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0DDF023F"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tcPr>
          <w:p w14:paraId="3F65DD04"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tcPr>
          <w:p w14:paraId="41DCA9C9"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p>
        </w:tc>
      </w:tr>
      <w:tr w:rsidR="000C7A5A" w:rsidRPr="00B16E6B" w14:paraId="1B86EC8E" w14:textId="77777777" w:rsidTr="00AD109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vAlign w:val="center"/>
            <w:hideMark/>
          </w:tcPr>
          <w:p w14:paraId="102C97C5" w14:textId="77777777" w:rsidR="00AD1096" w:rsidRPr="00B16E6B" w:rsidRDefault="00AD1096" w:rsidP="009613E1">
            <w:pPr>
              <w:spacing w:after="0" w:line="271" w:lineRule="auto"/>
              <w:rPr>
                <w:rFonts w:asciiTheme="minorHAnsi" w:hAnsiTheme="minorHAnsi" w:cstheme="majorHAnsi"/>
                <w:b w:val="0"/>
                <w:sz w:val="18"/>
                <w:szCs w:val="16"/>
              </w:rPr>
            </w:pPr>
            <w:r w:rsidRPr="00B16E6B">
              <w:rPr>
                <w:rFonts w:asciiTheme="minorHAnsi" w:hAnsiTheme="minorHAnsi" w:cstheme="majorHAnsi"/>
                <w:b w:val="0"/>
                <w:sz w:val="18"/>
                <w:szCs w:val="16"/>
              </w:rPr>
              <w:t>Operators of airfreight services not captured as Australian operators  in ATSA</w:t>
            </w:r>
          </w:p>
        </w:tc>
        <w:tc>
          <w:tcPr>
            <w:tcW w:w="1514" w:type="dxa"/>
            <w:shd w:val="clear" w:color="auto" w:fill="auto"/>
            <w:vAlign w:val="center"/>
            <w:hideMark/>
          </w:tcPr>
          <w:p w14:paraId="19C71EFC"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hideMark/>
          </w:tcPr>
          <w:p w14:paraId="06FC68CA"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tcPr>
          <w:p w14:paraId="1C4CCC8D"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p>
        </w:tc>
        <w:tc>
          <w:tcPr>
            <w:tcW w:w="1514" w:type="dxa"/>
            <w:shd w:val="clear" w:color="auto" w:fill="auto"/>
            <w:vAlign w:val="center"/>
          </w:tcPr>
          <w:p w14:paraId="494FF56B"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p>
        </w:tc>
      </w:tr>
      <w:tr w:rsidR="000C7A5A" w:rsidRPr="00B16E6B" w14:paraId="0624971F" w14:textId="77777777" w:rsidTr="00AD109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vAlign w:val="center"/>
            <w:hideMark/>
          </w:tcPr>
          <w:p w14:paraId="222DBF88" w14:textId="77777777" w:rsidR="00AD1096" w:rsidRPr="00B16E6B" w:rsidRDefault="00AD1096" w:rsidP="009613E1">
            <w:pPr>
              <w:spacing w:after="0" w:line="271" w:lineRule="auto"/>
              <w:rPr>
                <w:rFonts w:asciiTheme="minorHAnsi" w:hAnsiTheme="minorHAnsi" w:cstheme="majorHAnsi"/>
                <w:b w:val="0"/>
                <w:sz w:val="18"/>
                <w:szCs w:val="16"/>
                <w:lang w:eastAsia="en-AU"/>
              </w:rPr>
            </w:pPr>
            <w:r w:rsidRPr="00B16E6B">
              <w:rPr>
                <w:rFonts w:asciiTheme="minorHAnsi" w:hAnsiTheme="minorHAnsi" w:cstheme="majorHAnsi"/>
                <w:b w:val="0"/>
                <w:sz w:val="18"/>
                <w:szCs w:val="16"/>
              </w:rPr>
              <w:t>Tier 3 airports</w:t>
            </w:r>
            <w:r w:rsidRPr="00B16E6B">
              <w:rPr>
                <w:rFonts w:asciiTheme="minorHAnsi" w:hAnsiTheme="minorHAnsi" w:cstheme="majorHAnsi"/>
                <w:b w:val="0"/>
                <w:sz w:val="18"/>
                <w:szCs w:val="16"/>
                <w:lang w:eastAsia="en-AU"/>
              </w:rPr>
              <w:t xml:space="preserve"> </w:t>
            </w:r>
          </w:p>
        </w:tc>
        <w:tc>
          <w:tcPr>
            <w:tcW w:w="1514" w:type="dxa"/>
            <w:shd w:val="clear" w:color="auto" w:fill="auto"/>
            <w:vAlign w:val="center"/>
            <w:hideMark/>
          </w:tcPr>
          <w:p w14:paraId="501983DF"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tcPr>
          <w:p w14:paraId="7DE4D614"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p>
        </w:tc>
        <w:tc>
          <w:tcPr>
            <w:tcW w:w="1514" w:type="dxa"/>
            <w:shd w:val="clear" w:color="auto" w:fill="auto"/>
            <w:vAlign w:val="center"/>
          </w:tcPr>
          <w:p w14:paraId="4EF5B5D3"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p>
        </w:tc>
        <w:tc>
          <w:tcPr>
            <w:tcW w:w="1514" w:type="dxa"/>
            <w:shd w:val="clear" w:color="auto" w:fill="auto"/>
            <w:vAlign w:val="center"/>
          </w:tcPr>
          <w:p w14:paraId="434D4388"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p>
        </w:tc>
      </w:tr>
      <w:tr w:rsidR="000C7A5A" w:rsidRPr="00B16E6B" w14:paraId="6D60319B" w14:textId="77777777" w:rsidTr="00AD109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vAlign w:val="center"/>
            <w:hideMark/>
          </w:tcPr>
          <w:p w14:paraId="44C62427" w14:textId="77777777" w:rsidR="00AD1096" w:rsidRPr="00B16E6B" w:rsidRDefault="00AD1096" w:rsidP="009613E1">
            <w:pPr>
              <w:spacing w:after="0" w:line="271" w:lineRule="auto"/>
              <w:rPr>
                <w:rFonts w:asciiTheme="minorHAnsi" w:hAnsiTheme="minorHAnsi" w:cstheme="majorHAnsi"/>
                <w:b w:val="0"/>
                <w:sz w:val="18"/>
                <w:szCs w:val="16"/>
                <w:lang w:eastAsia="en-AU"/>
              </w:rPr>
            </w:pPr>
            <w:r w:rsidRPr="00B16E6B">
              <w:rPr>
                <w:rFonts w:asciiTheme="minorHAnsi" w:hAnsiTheme="minorHAnsi" w:cstheme="majorHAnsi"/>
                <w:b w:val="0"/>
                <w:sz w:val="18"/>
                <w:szCs w:val="16"/>
              </w:rPr>
              <w:t>Accredited air cargo agents (AACAs)</w:t>
            </w:r>
          </w:p>
        </w:tc>
        <w:tc>
          <w:tcPr>
            <w:tcW w:w="1514" w:type="dxa"/>
            <w:shd w:val="clear" w:color="auto" w:fill="auto"/>
            <w:vAlign w:val="center"/>
            <w:hideMark/>
          </w:tcPr>
          <w:p w14:paraId="0065C63C"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tcPr>
          <w:p w14:paraId="5B72AC02"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p>
        </w:tc>
        <w:tc>
          <w:tcPr>
            <w:tcW w:w="1514" w:type="dxa"/>
            <w:shd w:val="clear" w:color="auto" w:fill="auto"/>
            <w:vAlign w:val="center"/>
          </w:tcPr>
          <w:p w14:paraId="593DBC1E"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p>
        </w:tc>
        <w:tc>
          <w:tcPr>
            <w:tcW w:w="1514" w:type="dxa"/>
            <w:shd w:val="clear" w:color="auto" w:fill="auto"/>
            <w:vAlign w:val="center"/>
          </w:tcPr>
          <w:p w14:paraId="3066A8A3"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p>
        </w:tc>
      </w:tr>
      <w:tr w:rsidR="000C7A5A" w:rsidRPr="00B16E6B" w14:paraId="6884DB26" w14:textId="77777777" w:rsidTr="00AD109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vAlign w:val="center"/>
            <w:hideMark/>
          </w:tcPr>
          <w:p w14:paraId="1E5BF096" w14:textId="77777777" w:rsidR="00AD1096" w:rsidRPr="00B16E6B" w:rsidRDefault="00AD1096" w:rsidP="009613E1">
            <w:pPr>
              <w:spacing w:after="0" w:line="271" w:lineRule="auto"/>
              <w:rPr>
                <w:rFonts w:asciiTheme="minorHAnsi" w:hAnsiTheme="minorHAnsi" w:cstheme="majorHAnsi"/>
                <w:b w:val="0"/>
                <w:sz w:val="18"/>
                <w:szCs w:val="16"/>
              </w:rPr>
            </w:pPr>
            <w:r w:rsidRPr="00B16E6B">
              <w:rPr>
                <w:rFonts w:asciiTheme="minorHAnsi" w:hAnsiTheme="minorHAnsi" w:cstheme="majorHAnsi"/>
                <w:b w:val="0"/>
                <w:sz w:val="18"/>
                <w:szCs w:val="16"/>
              </w:rPr>
              <w:t>RACAs operating at only tier 2, Essendon, and Bankstown airports</w:t>
            </w:r>
          </w:p>
        </w:tc>
        <w:tc>
          <w:tcPr>
            <w:tcW w:w="1514" w:type="dxa"/>
            <w:shd w:val="clear" w:color="auto" w:fill="auto"/>
            <w:vAlign w:val="center"/>
            <w:hideMark/>
          </w:tcPr>
          <w:p w14:paraId="482965E9"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tcPr>
          <w:p w14:paraId="7737770E"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p>
        </w:tc>
        <w:tc>
          <w:tcPr>
            <w:tcW w:w="1514" w:type="dxa"/>
            <w:shd w:val="clear" w:color="auto" w:fill="auto"/>
            <w:vAlign w:val="center"/>
          </w:tcPr>
          <w:p w14:paraId="25DF4501"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p>
        </w:tc>
        <w:tc>
          <w:tcPr>
            <w:tcW w:w="1514" w:type="dxa"/>
            <w:shd w:val="clear" w:color="auto" w:fill="auto"/>
            <w:vAlign w:val="center"/>
          </w:tcPr>
          <w:p w14:paraId="01670704"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p>
        </w:tc>
      </w:tr>
      <w:tr w:rsidR="00AD1096" w:rsidRPr="00B16E6B" w14:paraId="49807C96" w14:textId="77777777" w:rsidTr="00AD109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009" w:type="dxa"/>
            <w:shd w:val="clear" w:color="auto" w:fill="auto"/>
            <w:vAlign w:val="center"/>
            <w:hideMark/>
          </w:tcPr>
          <w:p w14:paraId="4BD83193" w14:textId="77777777" w:rsidR="00AD1096" w:rsidRPr="00B16E6B" w:rsidRDefault="00AD1096" w:rsidP="009613E1">
            <w:pPr>
              <w:spacing w:after="0" w:line="271" w:lineRule="auto"/>
              <w:rPr>
                <w:rFonts w:asciiTheme="minorHAnsi" w:hAnsiTheme="minorHAnsi" w:cstheme="majorHAnsi"/>
                <w:b w:val="0"/>
                <w:sz w:val="18"/>
                <w:szCs w:val="16"/>
              </w:rPr>
            </w:pPr>
            <w:r w:rsidRPr="00B16E6B">
              <w:rPr>
                <w:rFonts w:asciiTheme="minorHAnsi" w:hAnsiTheme="minorHAnsi" w:cstheme="majorHAnsi"/>
                <w:b w:val="0"/>
                <w:sz w:val="18"/>
                <w:szCs w:val="16"/>
              </w:rPr>
              <w:t>Known consignors (KCs)</w:t>
            </w:r>
          </w:p>
        </w:tc>
        <w:tc>
          <w:tcPr>
            <w:tcW w:w="1514" w:type="dxa"/>
            <w:shd w:val="clear" w:color="auto" w:fill="auto"/>
            <w:vAlign w:val="center"/>
            <w:hideMark/>
          </w:tcPr>
          <w:p w14:paraId="3FF2A181"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auto"/>
            <w:vAlign w:val="center"/>
          </w:tcPr>
          <w:p w14:paraId="5A2AA82E"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p>
        </w:tc>
        <w:tc>
          <w:tcPr>
            <w:tcW w:w="1514" w:type="dxa"/>
            <w:shd w:val="clear" w:color="auto" w:fill="auto"/>
            <w:vAlign w:val="center"/>
          </w:tcPr>
          <w:p w14:paraId="3182D024"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p>
        </w:tc>
        <w:tc>
          <w:tcPr>
            <w:tcW w:w="1514" w:type="dxa"/>
            <w:shd w:val="clear" w:color="auto" w:fill="auto"/>
            <w:vAlign w:val="center"/>
          </w:tcPr>
          <w:p w14:paraId="0277D058"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p>
        </w:tc>
      </w:tr>
      <w:tr w:rsidR="00AD1096" w:rsidRPr="00B16E6B" w14:paraId="242AC781" w14:textId="77777777" w:rsidTr="00636E0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E1E9F0" w:themeFill="accent1" w:themeFillTint="1A"/>
            <w:vAlign w:val="center"/>
            <w:hideMark/>
          </w:tcPr>
          <w:p w14:paraId="61385E4F" w14:textId="77777777" w:rsidR="00AD1096" w:rsidRPr="00B16E6B" w:rsidRDefault="00AD1096" w:rsidP="009613E1">
            <w:pPr>
              <w:spacing w:after="0" w:line="271" w:lineRule="auto"/>
              <w:rPr>
                <w:rFonts w:asciiTheme="minorHAnsi" w:hAnsiTheme="minorHAnsi" w:cstheme="majorHAnsi"/>
                <w:sz w:val="18"/>
                <w:szCs w:val="16"/>
              </w:rPr>
            </w:pPr>
            <w:r w:rsidRPr="00B16E6B">
              <w:rPr>
                <w:rFonts w:asciiTheme="minorHAnsi" w:hAnsiTheme="minorHAnsi" w:cstheme="majorHAnsi"/>
                <w:sz w:val="18"/>
                <w:szCs w:val="16"/>
              </w:rPr>
              <w:t>Maritime</w:t>
            </w:r>
          </w:p>
        </w:tc>
        <w:tc>
          <w:tcPr>
            <w:tcW w:w="1514" w:type="dxa"/>
            <w:shd w:val="clear" w:color="auto" w:fill="E1E9F0" w:themeFill="accent1" w:themeFillTint="1A"/>
            <w:vAlign w:val="center"/>
          </w:tcPr>
          <w:p w14:paraId="4A86E90C"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p>
        </w:tc>
        <w:tc>
          <w:tcPr>
            <w:tcW w:w="1514" w:type="dxa"/>
            <w:shd w:val="clear" w:color="auto" w:fill="E1E9F0" w:themeFill="accent1" w:themeFillTint="1A"/>
            <w:vAlign w:val="center"/>
          </w:tcPr>
          <w:p w14:paraId="34A73DDD"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p>
        </w:tc>
        <w:tc>
          <w:tcPr>
            <w:tcW w:w="1514" w:type="dxa"/>
            <w:shd w:val="clear" w:color="auto" w:fill="E1E9F0" w:themeFill="accent1" w:themeFillTint="1A"/>
            <w:vAlign w:val="center"/>
          </w:tcPr>
          <w:p w14:paraId="0EFD0C39"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p>
        </w:tc>
        <w:tc>
          <w:tcPr>
            <w:tcW w:w="1514" w:type="dxa"/>
            <w:shd w:val="clear" w:color="auto" w:fill="E1E9F0" w:themeFill="accent1" w:themeFillTint="1A"/>
            <w:vAlign w:val="center"/>
          </w:tcPr>
          <w:p w14:paraId="1CCA9E62"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p>
        </w:tc>
      </w:tr>
      <w:tr w:rsidR="00AD1096" w:rsidRPr="00B16E6B" w14:paraId="461127F4" w14:textId="77777777" w:rsidTr="00AD109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vAlign w:val="center"/>
            <w:hideMark/>
          </w:tcPr>
          <w:p w14:paraId="183478A8" w14:textId="77777777" w:rsidR="00AD1096" w:rsidRPr="00B16E6B" w:rsidRDefault="00AD1096" w:rsidP="009613E1">
            <w:pPr>
              <w:spacing w:after="0" w:line="271" w:lineRule="auto"/>
              <w:rPr>
                <w:rFonts w:asciiTheme="minorHAnsi" w:hAnsiTheme="minorHAnsi" w:cstheme="majorHAnsi"/>
                <w:b w:val="0"/>
                <w:sz w:val="18"/>
                <w:szCs w:val="16"/>
                <w:lang w:eastAsia="en-AU"/>
              </w:rPr>
            </w:pPr>
            <w:r w:rsidRPr="00B16E6B">
              <w:rPr>
                <w:rFonts w:asciiTheme="minorHAnsi" w:hAnsiTheme="minorHAnsi" w:cstheme="majorHAnsi"/>
                <w:b w:val="0"/>
                <w:sz w:val="18"/>
                <w:szCs w:val="16"/>
              </w:rPr>
              <w:t>Port Operators</w:t>
            </w:r>
          </w:p>
        </w:tc>
        <w:tc>
          <w:tcPr>
            <w:tcW w:w="1514" w:type="dxa"/>
            <w:vAlign w:val="center"/>
            <w:hideMark/>
          </w:tcPr>
          <w:p w14:paraId="300581E0"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vAlign w:val="center"/>
            <w:hideMark/>
          </w:tcPr>
          <w:p w14:paraId="5E5434BB"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vAlign w:val="center"/>
            <w:hideMark/>
          </w:tcPr>
          <w:p w14:paraId="5F77D947"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vAlign w:val="center"/>
            <w:hideMark/>
          </w:tcPr>
          <w:p w14:paraId="13D74F7D"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r>
      <w:tr w:rsidR="000C7A5A" w:rsidRPr="00B16E6B" w14:paraId="5F8793EC" w14:textId="77777777" w:rsidTr="007E1CC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FFFFFF" w:themeFill="background1"/>
            <w:vAlign w:val="center"/>
            <w:hideMark/>
          </w:tcPr>
          <w:p w14:paraId="1B36A8AA" w14:textId="77777777" w:rsidR="00AD1096" w:rsidRPr="00B16E6B" w:rsidRDefault="00AD1096" w:rsidP="009613E1">
            <w:pPr>
              <w:spacing w:after="0" w:line="271" w:lineRule="auto"/>
              <w:rPr>
                <w:rFonts w:asciiTheme="minorHAnsi" w:hAnsiTheme="minorHAnsi" w:cstheme="majorHAnsi"/>
                <w:b w:val="0"/>
                <w:sz w:val="18"/>
                <w:szCs w:val="16"/>
              </w:rPr>
            </w:pPr>
            <w:r w:rsidRPr="00B16E6B">
              <w:rPr>
                <w:rFonts w:asciiTheme="minorHAnsi" w:hAnsiTheme="minorHAnsi" w:cstheme="majorHAnsi"/>
                <w:b w:val="0"/>
                <w:sz w:val="18"/>
                <w:szCs w:val="16"/>
              </w:rPr>
              <w:t>Port facility operators</w:t>
            </w:r>
          </w:p>
        </w:tc>
        <w:tc>
          <w:tcPr>
            <w:tcW w:w="1514" w:type="dxa"/>
            <w:shd w:val="clear" w:color="auto" w:fill="FFFFFF" w:themeFill="background1"/>
            <w:vAlign w:val="center"/>
            <w:hideMark/>
          </w:tcPr>
          <w:p w14:paraId="1AF14040"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FFFFFF" w:themeFill="background1"/>
            <w:vAlign w:val="center"/>
            <w:hideMark/>
          </w:tcPr>
          <w:p w14:paraId="343A9D75"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FFFFFF" w:themeFill="background1"/>
            <w:vAlign w:val="center"/>
            <w:hideMark/>
          </w:tcPr>
          <w:p w14:paraId="47B772E9"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FFFFFF" w:themeFill="background1"/>
            <w:vAlign w:val="center"/>
            <w:hideMark/>
          </w:tcPr>
          <w:p w14:paraId="63C03394"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r>
      <w:tr w:rsidR="00AD1096" w:rsidRPr="00B16E6B" w14:paraId="4F7C9A3D" w14:textId="77777777" w:rsidTr="007E1C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FFFFFF" w:themeFill="background1"/>
            <w:vAlign w:val="center"/>
            <w:hideMark/>
          </w:tcPr>
          <w:p w14:paraId="6F42B8CC" w14:textId="77777777" w:rsidR="00AD1096" w:rsidRPr="00B16E6B" w:rsidRDefault="00AD1096" w:rsidP="009613E1">
            <w:pPr>
              <w:spacing w:after="0" w:line="271" w:lineRule="auto"/>
              <w:rPr>
                <w:rFonts w:asciiTheme="minorHAnsi" w:hAnsiTheme="minorHAnsi" w:cstheme="majorHAnsi"/>
                <w:b w:val="0"/>
                <w:sz w:val="18"/>
                <w:szCs w:val="16"/>
              </w:rPr>
            </w:pPr>
            <w:r w:rsidRPr="00B16E6B">
              <w:rPr>
                <w:rFonts w:asciiTheme="minorHAnsi" w:hAnsiTheme="minorHAnsi" w:cstheme="majorHAnsi"/>
                <w:b w:val="0"/>
                <w:sz w:val="18"/>
                <w:szCs w:val="16"/>
              </w:rPr>
              <w:t>Ship operators</w:t>
            </w:r>
          </w:p>
        </w:tc>
        <w:tc>
          <w:tcPr>
            <w:tcW w:w="1514" w:type="dxa"/>
            <w:shd w:val="clear" w:color="auto" w:fill="FFFFFF" w:themeFill="background1"/>
            <w:vAlign w:val="center"/>
            <w:hideMark/>
          </w:tcPr>
          <w:p w14:paraId="6DB851CF"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FFFFFF" w:themeFill="background1"/>
            <w:vAlign w:val="center"/>
            <w:hideMark/>
          </w:tcPr>
          <w:p w14:paraId="53275B06"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FFFFFF" w:themeFill="background1"/>
            <w:vAlign w:val="center"/>
            <w:hideMark/>
          </w:tcPr>
          <w:p w14:paraId="27DBD384"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FFFFFF" w:themeFill="background1"/>
            <w:vAlign w:val="center"/>
            <w:hideMark/>
          </w:tcPr>
          <w:p w14:paraId="374E3CBB"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r>
      <w:tr w:rsidR="000C7A5A" w:rsidRPr="00B16E6B" w14:paraId="42C35AA4" w14:textId="77777777" w:rsidTr="007E1CC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09" w:type="dxa"/>
            <w:shd w:val="clear" w:color="auto" w:fill="FFFFFF" w:themeFill="background1"/>
            <w:vAlign w:val="bottom"/>
            <w:hideMark/>
          </w:tcPr>
          <w:p w14:paraId="7A35FADC" w14:textId="77777777" w:rsidR="00AD1096" w:rsidRPr="00B16E6B" w:rsidRDefault="00AD1096" w:rsidP="009613E1">
            <w:pPr>
              <w:spacing w:after="0" w:line="271" w:lineRule="auto"/>
              <w:rPr>
                <w:rFonts w:asciiTheme="minorHAnsi" w:hAnsiTheme="minorHAnsi" w:cstheme="majorHAnsi"/>
                <w:b w:val="0"/>
                <w:sz w:val="18"/>
                <w:szCs w:val="16"/>
              </w:rPr>
            </w:pPr>
            <w:r w:rsidRPr="00B16E6B">
              <w:rPr>
                <w:rFonts w:asciiTheme="minorHAnsi" w:hAnsiTheme="minorHAnsi" w:cstheme="majorHAnsi"/>
                <w:b w:val="0"/>
                <w:sz w:val="18"/>
                <w:szCs w:val="16"/>
              </w:rPr>
              <w:t>Offshore facility operators</w:t>
            </w:r>
          </w:p>
        </w:tc>
        <w:tc>
          <w:tcPr>
            <w:tcW w:w="1514" w:type="dxa"/>
            <w:shd w:val="clear" w:color="auto" w:fill="FFFFFF" w:themeFill="background1"/>
            <w:vAlign w:val="center"/>
            <w:hideMark/>
          </w:tcPr>
          <w:p w14:paraId="03E5CEEC"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FFFFFF" w:themeFill="background1"/>
            <w:vAlign w:val="center"/>
            <w:hideMark/>
          </w:tcPr>
          <w:p w14:paraId="223FF719"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FFFFFF" w:themeFill="background1"/>
            <w:vAlign w:val="center"/>
            <w:hideMark/>
          </w:tcPr>
          <w:p w14:paraId="0AF738E0"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shd w:val="clear" w:color="auto" w:fill="FFFFFF" w:themeFill="background1"/>
            <w:vAlign w:val="center"/>
            <w:hideMark/>
          </w:tcPr>
          <w:p w14:paraId="494DA518" w14:textId="77777777" w:rsidR="00AD1096" w:rsidRPr="00B16E6B" w:rsidRDefault="00AD1096" w:rsidP="009613E1">
            <w:pPr>
              <w:tabs>
                <w:tab w:val="left" w:pos="4620"/>
              </w:tabs>
              <w:spacing w:after="0" w:line="271"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r>
      <w:tr w:rsidR="00AD1096" w:rsidRPr="00B16E6B" w14:paraId="68719ED4" w14:textId="77777777" w:rsidTr="00AD109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09" w:type="dxa"/>
            <w:vAlign w:val="bottom"/>
            <w:hideMark/>
          </w:tcPr>
          <w:p w14:paraId="5B792602" w14:textId="77777777" w:rsidR="00AD1096" w:rsidRPr="00B16E6B" w:rsidRDefault="00AD1096" w:rsidP="009613E1">
            <w:pPr>
              <w:spacing w:after="0" w:line="271" w:lineRule="auto"/>
              <w:rPr>
                <w:rFonts w:asciiTheme="minorHAnsi" w:hAnsiTheme="minorHAnsi" w:cstheme="majorHAnsi"/>
                <w:b w:val="0"/>
                <w:sz w:val="18"/>
                <w:szCs w:val="16"/>
              </w:rPr>
            </w:pPr>
            <w:r w:rsidRPr="00B16E6B">
              <w:rPr>
                <w:rFonts w:asciiTheme="minorHAnsi" w:hAnsiTheme="minorHAnsi" w:cstheme="majorHAnsi"/>
                <w:b w:val="0"/>
                <w:sz w:val="18"/>
                <w:szCs w:val="16"/>
              </w:rPr>
              <w:t>Offshore service providers</w:t>
            </w:r>
          </w:p>
        </w:tc>
        <w:tc>
          <w:tcPr>
            <w:tcW w:w="1514" w:type="dxa"/>
            <w:vAlign w:val="center"/>
            <w:hideMark/>
          </w:tcPr>
          <w:p w14:paraId="51B41229"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vAlign w:val="center"/>
            <w:hideMark/>
          </w:tcPr>
          <w:p w14:paraId="04299D45"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vAlign w:val="center"/>
            <w:hideMark/>
          </w:tcPr>
          <w:p w14:paraId="4B830288"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c>
          <w:tcPr>
            <w:tcW w:w="1514" w:type="dxa"/>
            <w:vAlign w:val="center"/>
            <w:hideMark/>
          </w:tcPr>
          <w:p w14:paraId="7C050A86" w14:textId="77777777" w:rsidR="00AD1096" w:rsidRPr="00B16E6B" w:rsidRDefault="00AD1096" w:rsidP="009613E1">
            <w:pPr>
              <w:tabs>
                <w:tab w:val="left" w:pos="4620"/>
              </w:tabs>
              <w:spacing w:after="0" w:line="271"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18"/>
                <w:szCs w:val="16"/>
              </w:rPr>
            </w:pPr>
            <w:r w:rsidRPr="00B16E6B">
              <w:rPr>
                <w:rFonts w:asciiTheme="minorHAnsi" w:hAnsiTheme="minorHAnsi" w:cs="Segoe UI Symbol"/>
                <w:sz w:val="18"/>
                <w:szCs w:val="16"/>
              </w:rPr>
              <w:t>✔</w:t>
            </w:r>
          </w:p>
        </w:tc>
      </w:tr>
    </w:tbl>
    <w:p w14:paraId="69E7176F" w14:textId="77777777" w:rsidR="00AD1096" w:rsidRPr="00B16E6B" w:rsidRDefault="00AD1096" w:rsidP="009613E1">
      <w:pPr>
        <w:spacing w:line="271" w:lineRule="auto"/>
      </w:pPr>
    </w:p>
    <w:p w14:paraId="617AF728" w14:textId="77777777" w:rsidR="0016512F" w:rsidRPr="00B16E6B" w:rsidRDefault="0016512F" w:rsidP="009613E1">
      <w:pPr>
        <w:spacing w:after="200" w:line="271" w:lineRule="auto"/>
      </w:pPr>
      <w:r w:rsidRPr="00B16E6B">
        <w:br w:type="page"/>
      </w:r>
    </w:p>
    <w:p w14:paraId="4568A0B5" w14:textId="018448CD" w:rsidR="0016512F" w:rsidRPr="00B16E6B" w:rsidRDefault="0016512F" w:rsidP="009613E1">
      <w:pPr>
        <w:pStyle w:val="Heading1"/>
        <w:spacing w:line="271" w:lineRule="auto"/>
      </w:pPr>
      <w:r w:rsidRPr="00B16E6B">
        <w:lastRenderedPageBreak/>
        <w:t xml:space="preserve">Appendix </w:t>
      </w:r>
      <w:r w:rsidR="00DE3EF7" w:rsidRPr="00B16E6B">
        <w:t>C</w:t>
      </w:r>
      <w:r w:rsidRPr="00B16E6B">
        <w:t>: List of acronyms</w:t>
      </w:r>
    </w:p>
    <w:tbl>
      <w:tblPr>
        <w:tblStyle w:val="Custom1"/>
        <w:tblW w:w="0" w:type="auto"/>
        <w:tblLook w:val="04A0" w:firstRow="1" w:lastRow="0" w:firstColumn="1" w:lastColumn="0" w:noHBand="0" w:noVBand="1"/>
      </w:tblPr>
      <w:tblGrid>
        <w:gridCol w:w="2410"/>
        <w:gridCol w:w="7218"/>
      </w:tblGrid>
      <w:tr w:rsidR="00502C52" w:rsidRPr="00B16E6B" w14:paraId="1AB7188D" w14:textId="77777777" w:rsidTr="001973C3">
        <w:trPr>
          <w:cnfStyle w:val="100000000000" w:firstRow="1" w:lastRow="0" w:firstColumn="0" w:lastColumn="0" w:oddVBand="0" w:evenVBand="0" w:oddHBand="0" w:evenHBand="0" w:firstRowFirstColumn="0" w:firstRowLastColumn="0" w:lastRowFirstColumn="0" w:lastRowLastColumn="0"/>
        </w:trPr>
        <w:tc>
          <w:tcPr>
            <w:tcW w:w="2410" w:type="dxa"/>
          </w:tcPr>
          <w:p w14:paraId="59EA1E2A" w14:textId="77777777" w:rsidR="00502C52" w:rsidRPr="00B16E6B" w:rsidRDefault="00C32B22" w:rsidP="009613E1">
            <w:pPr>
              <w:spacing w:line="271" w:lineRule="auto"/>
            </w:pPr>
            <w:r w:rsidRPr="00B16E6B">
              <w:t>Acronym</w:t>
            </w:r>
          </w:p>
        </w:tc>
        <w:tc>
          <w:tcPr>
            <w:tcW w:w="7218" w:type="dxa"/>
          </w:tcPr>
          <w:p w14:paraId="05940601" w14:textId="77777777" w:rsidR="00502C52" w:rsidRPr="00B16E6B" w:rsidRDefault="00C32B22" w:rsidP="009613E1">
            <w:pPr>
              <w:spacing w:line="271" w:lineRule="auto"/>
            </w:pPr>
            <w:r w:rsidRPr="00B16E6B">
              <w:t>Meaning</w:t>
            </w:r>
          </w:p>
        </w:tc>
      </w:tr>
      <w:tr w:rsidR="001973C3" w:rsidRPr="00B16E6B" w14:paraId="438F3804" w14:textId="77777777" w:rsidTr="001973C3">
        <w:trPr>
          <w:cnfStyle w:val="000000100000" w:firstRow="0" w:lastRow="0" w:firstColumn="0" w:lastColumn="0" w:oddVBand="0" w:evenVBand="0" w:oddHBand="1" w:evenHBand="0" w:firstRowFirstColumn="0" w:firstRowLastColumn="0" w:lastRowFirstColumn="0" w:lastRowLastColumn="0"/>
        </w:trPr>
        <w:tc>
          <w:tcPr>
            <w:tcW w:w="2410" w:type="dxa"/>
          </w:tcPr>
          <w:p w14:paraId="7D3597EF" w14:textId="77777777" w:rsidR="001973C3" w:rsidRPr="00B16E6B" w:rsidRDefault="001973C3" w:rsidP="009613E1">
            <w:pPr>
              <w:spacing w:line="271" w:lineRule="auto"/>
            </w:pPr>
            <w:r w:rsidRPr="00B16E6B">
              <w:t>ASD’s ACSC</w:t>
            </w:r>
          </w:p>
        </w:tc>
        <w:tc>
          <w:tcPr>
            <w:tcW w:w="7218" w:type="dxa"/>
          </w:tcPr>
          <w:p w14:paraId="0C12AD4E" w14:textId="77777777" w:rsidR="001973C3" w:rsidRPr="00B16E6B" w:rsidRDefault="001973C3" w:rsidP="009613E1">
            <w:pPr>
              <w:spacing w:line="271" w:lineRule="auto"/>
            </w:pPr>
            <w:r w:rsidRPr="00B16E6B">
              <w:t>Australian Signals Directorate’s Australian Cyber Security Centre</w:t>
            </w:r>
          </w:p>
        </w:tc>
      </w:tr>
      <w:tr w:rsidR="001973C3" w:rsidRPr="00B16E6B" w14:paraId="1BD7DEB0" w14:textId="77777777" w:rsidTr="001973C3">
        <w:tc>
          <w:tcPr>
            <w:tcW w:w="2410" w:type="dxa"/>
          </w:tcPr>
          <w:p w14:paraId="6864D182" w14:textId="77777777" w:rsidR="001973C3" w:rsidRPr="00B16E6B" w:rsidRDefault="001973C3" w:rsidP="009613E1">
            <w:pPr>
              <w:spacing w:line="271" w:lineRule="auto"/>
            </w:pPr>
            <w:r w:rsidRPr="00B16E6B">
              <w:t>ASIC/MSIC</w:t>
            </w:r>
          </w:p>
        </w:tc>
        <w:tc>
          <w:tcPr>
            <w:tcW w:w="7218" w:type="dxa"/>
          </w:tcPr>
          <w:p w14:paraId="7EC6632E" w14:textId="77777777" w:rsidR="001973C3" w:rsidRPr="00B16E6B" w:rsidRDefault="001973C3" w:rsidP="009613E1">
            <w:pPr>
              <w:spacing w:line="271" w:lineRule="auto"/>
            </w:pPr>
            <w:r w:rsidRPr="00B16E6B">
              <w:t>Aviation/maritime security identification card</w:t>
            </w:r>
          </w:p>
        </w:tc>
      </w:tr>
      <w:tr w:rsidR="00502C52" w:rsidRPr="00B16E6B" w14:paraId="3918EEAC" w14:textId="77777777" w:rsidTr="001973C3">
        <w:trPr>
          <w:cnfStyle w:val="000000100000" w:firstRow="0" w:lastRow="0" w:firstColumn="0" w:lastColumn="0" w:oddVBand="0" w:evenVBand="0" w:oddHBand="1" w:evenHBand="0" w:firstRowFirstColumn="0" w:firstRowLastColumn="0" w:lastRowFirstColumn="0" w:lastRowLastColumn="0"/>
        </w:trPr>
        <w:tc>
          <w:tcPr>
            <w:tcW w:w="2410" w:type="dxa"/>
          </w:tcPr>
          <w:p w14:paraId="4386CCE5" w14:textId="77777777" w:rsidR="00502C52" w:rsidRPr="00B16E6B" w:rsidRDefault="00C32B22" w:rsidP="009613E1">
            <w:pPr>
              <w:spacing w:line="271" w:lineRule="auto"/>
            </w:pPr>
            <w:r w:rsidRPr="00B16E6B">
              <w:t>ATSA</w:t>
            </w:r>
          </w:p>
        </w:tc>
        <w:tc>
          <w:tcPr>
            <w:tcW w:w="7218" w:type="dxa"/>
          </w:tcPr>
          <w:p w14:paraId="256F478F" w14:textId="77777777" w:rsidR="00502C52" w:rsidRPr="00B16E6B" w:rsidRDefault="00C32B22" w:rsidP="009613E1">
            <w:pPr>
              <w:spacing w:line="271" w:lineRule="auto"/>
            </w:pPr>
            <w:r w:rsidRPr="00B16E6B">
              <w:rPr>
                <w:i/>
              </w:rPr>
              <w:t>Aviation Transport Security Act 2004</w:t>
            </w:r>
          </w:p>
        </w:tc>
      </w:tr>
      <w:tr w:rsidR="00502C52" w:rsidRPr="00B16E6B" w14:paraId="492767D0" w14:textId="77777777" w:rsidTr="001973C3">
        <w:tc>
          <w:tcPr>
            <w:tcW w:w="2410" w:type="dxa"/>
          </w:tcPr>
          <w:p w14:paraId="0C891F65" w14:textId="77777777" w:rsidR="00502C52" w:rsidRPr="00B16E6B" w:rsidRDefault="00C32B22" w:rsidP="009613E1">
            <w:pPr>
              <w:spacing w:line="271" w:lineRule="auto"/>
            </w:pPr>
            <w:r w:rsidRPr="00B16E6B">
              <w:t>ATSR</w:t>
            </w:r>
          </w:p>
        </w:tc>
        <w:tc>
          <w:tcPr>
            <w:tcW w:w="7218" w:type="dxa"/>
          </w:tcPr>
          <w:p w14:paraId="0386102E" w14:textId="77777777" w:rsidR="00502C52" w:rsidRPr="00B16E6B" w:rsidRDefault="001973C3" w:rsidP="009613E1">
            <w:pPr>
              <w:spacing w:line="271" w:lineRule="auto"/>
            </w:pPr>
            <w:r w:rsidRPr="00B16E6B">
              <w:t>Aviation Transport Security Regulations 2005</w:t>
            </w:r>
          </w:p>
        </w:tc>
      </w:tr>
      <w:tr w:rsidR="001973C3" w:rsidRPr="00B16E6B" w14:paraId="1C6A3387" w14:textId="77777777" w:rsidTr="001973C3">
        <w:trPr>
          <w:cnfStyle w:val="000000100000" w:firstRow="0" w:lastRow="0" w:firstColumn="0" w:lastColumn="0" w:oddVBand="0" w:evenVBand="0" w:oddHBand="1" w:evenHBand="0" w:firstRowFirstColumn="0" w:firstRowLastColumn="0" w:lastRowFirstColumn="0" w:lastRowLastColumn="0"/>
        </w:trPr>
        <w:tc>
          <w:tcPr>
            <w:tcW w:w="2410" w:type="dxa"/>
          </w:tcPr>
          <w:p w14:paraId="07C66BC2" w14:textId="77777777" w:rsidR="001973C3" w:rsidRPr="00B16E6B" w:rsidRDefault="001973C3" w:rsidP="009613E1">
            <w:pPr>
              <w:spacing w:line="271" w:lineRule="auto"/>
            </w:pPr>
            <w:r w:rsidRPr="00B16E6B">
              <w:t>CIRMP</w:t>
            </w:r>
          </w:p>
        </w:tc>
        <w:tc>
          <w:tcPr>
            <w:tcW w:w="7218" w:type="dxa"/>
          </w:tcPr>
          <w:p w14:paraId="6220B91B" w14:textId="77777777" w:rsidR="001973C3" w:rsidRPr="00B16E6B" w:rsidRDefault="001973C3" w:rsidP="009613E1">
            <w:pPr>
              <w:spacing w:line="271" w:lineRule="auto"/>
            </w:pPr>
            <w:r w:rsidRPr="00B16E6B">
              <w:t>Critical Infrastructure Risk Management Program</w:t>
            </w:r>
          </w:p>
        </w:tc>
      </w:tr>
      <w:tr w:rsidR="001973C3" w:rsidRPr="00B16E6B" w14:paraId="4EDB7429" w14:textId="77777777" w:rsidTr="001973C3">
        <w:tc>
          <w:tcPr>
            <w:tcW w:w="2410" w:type="dxa"/>
          </w:tcPr>
          <w:p w14:paraId="3147790B" w14:textId="77777777" w:rsidR="001973C3" w:rsidRPr="00B16E6B" w:rsidRDefault="001973C3" w:rsidP="009613E1">
            <w:pPr>
              <w:spacing w:line="271" w:lineRule="auto"/>
            </w:pPr>
            <w:r w:rsidRPr="00B16E6B">
              <w:t>CISC</w:t>
            </w:r>
          </w:p>
        </w:tc>
        <w:tc>
          <w:tcPr>
            <w:tcW w:w="7218" w:type="dxa"/>
          </w:tcPr>
          <w:p w14:paraId="1DFB5AEA" w14:textId="77777777" w:rsidR="001973C3" w:rsidRPr="00B16E6B" w:rsidRDefault="001973C3" w:rsidP="009613E1">
            <w:pPr>
              <w:spacing w:line="271" w:lineRule="auto"/>
            </w:pPr>
            <w:r w:rsidRPr="00B16E6B">
              <w:t>Cyber and Infrastructure Security Centre</w:t>
            </w:r>
          </w:p>
        </w:tc>
      </w:tr>
      <w:tr w:rsidR="00502C52" w:rsidRPr="00B16E6B" w14:paraId="66FDB5BC" w14:textId="77777777" w:rsidTr="001973C3">
        <w:trPr>
          <w:cnfStyle w:val="000000100000" w:firstRow="0" w:lastRow="0" w:firstColumn="0" w:lastColumn="0" w:oddVBand="0" w:evenVBand="0" w:oddHBand="1" w:evenHBand="0" w:firstRowFirstColumn="0" w:firstRowLastColumn="0" w:lastRowFirstColumn="0" w:lastRowLastColumn="0"/>
        </w:trPr>
        <w:tc>
          <w:tcPr>
            <w:tcW w:w="2410" w:type="dxa"/>
          </w:tcPr>
          <w:p w14:paraId="540428BA" w14:textId="77777777" w:rsidR="00502C52" w:rsidRPr="00B16E6B" w:rsidRDefault="00C32B22" w:rsidP="009613E1">
            <w:pPr>
              <w:spacing w:line="271" w:lineRule="auto"/>
            </w:pPr>
            <w:r w:rsidRPr="00B16E6B">
              <w:t>DDoS</w:t>
            </w:r>
          </w:p>
        </w:tc>
        <w:tc>
          <w:tcPr>
            <w:tcW w:w="7218" w:type="dxa"/>
          </w:tcPr>
          <w:p w14:paraId="3E9B4DA0" w14:textId="77777777" w:rsidR="00502C52" w:rsidRPr="00B16E6B" w:rsidRDefault="001973C3" w:rsidP="009613E1">
            <w:pPr>
              <w:spacing w:line="271" w:lineRule="auto"/>
            </w:pPr>
            <w:r w:rsidRPr="00B16E6B">
              <w:t>Distributed Denial of Service</w:t>
            </w:r>
          </w:p>
        </w:tc>
      </w:tr>
      <w:tr w:rsidR="00502C52" w:rsidRPr="00B16E6B" w14:paraId="266F1592" w14:textId="77777777" w:rsidTr="001973C3">
        <w:tc>
          <w:tcPr>
            <w:tcW w:w="2410" w:type="dxa"/>
          </w:tcPr>
          <w:p w14:paraId="2E31D97F" w14:textId="77777777" w:rsidR="00502C52" w:rsidRPr="00B16E6B" w:rsidRDefault="001973C3" w:rsidP="009613E1">
            <w:pPr>
              <w:spacing w:line="271" w:lineRule="auto"/>
            </w:pPr>
            <w:r w:rsidRPr="00B16E6B">
              <w:t>Independent Review</w:t>
            </w:r>
          </w:p>
        </w:tc>
        <w:tc>
          <w:tcPr>
            <w:tcW w:w="7218" w:type="dxa"/>
          </w:tcPr>
          <w:p w14:paraId="49719BB4" w14:textId="77777777" w:rsidR="00502C52" w:rsidRPr="00B16E6B" w:rsidRDefault="001973C3" w:rsidP="009613E1">
            <w:pPr>
              <w:spacing w:line="271" w:lineRule="auto"/>
            </w:pPr>
            <w:r w:rsidRPr="00B16E6B">
              <w:t>Independent Review into Australia’s Aviation and Maritime Security Settings</w:t>
            </w:r>
          </w:p>
        </w:tc>
      </w:tr>
      <w:tr w:rsidR="00502C52" w:rsidRPr="00B16E6B" w14:paraId="36570C7C" w14:textId="77777777" w:rsidTr="001973C3">
        <w:trPr>
          <w:cnfStyle w:val="000000100000" w:firstRow="0" w:lastRow="0" w:firstColumn="0" w:lastColumn="0" w:oddVBand="0" w:evenVBand="0" w:oddHBand="1" w:evenHBand="0" w:firstRowFirstColumn="0" w:firstRowLastColumn="0" w:lastRowFirstColumn="0" w:lastRowLastColumn="0"/>
        </w:trPr>
        <w:tc>
          <w:tcPr>
            <w:tcW w:w="2410" w:type="dxa"/>
          </w:tcPr>
          <w:p w14:paraId="0E9B38F7" w14:textId="77777777" w:rsidR="00502C52" w:rsidRPr="00B16E6B" w:rsidRDefault="00C32B22" w:rsidP="009613E1">
            <w:pPr>
              <w:spacing w:line="271" w:lineRule="auto"/>
            </w:pPr>
            <w:r w:rsidRPr="00B16E6B">
              <w:t>MTOFSA</w:t>
            </w:r>
          </w:p>
        </w:tc>
        <w:tc>
          <w:tcPr>
            <w:tcW w:w="7218" w:type="dxa"/>
          </w:tcPr>
          <w:p w14:paraId="73E514AC" w14:textId="77777777" w:rsidR="00502C52" w:rsidRPr="00B16E6B" w:rsidRDefault="001973C3" w:rsidP="009613E1">
            <w:pPr>
              <w:spacing w:line="271" w:lineRule="auto"/>
              <w:rPr>
                <w:i/>
              </w:rPr>
            </w:pPr>
            <w:r w:rsidRPr="00B16E6B">
              <w:rPr>
                <w:i/>
              </w:rPr>
              <w:t>Maritime Transport and Offshore Facilities Security Act 2003</w:t>
            </w:r>
          </w:p>
        </w:tc>
      </w:tr>
      <w:tr w:rsidR="00C32B22" w:rsidRPr="00B16E6B" w14:paraId="32B7DFCC" w14:textId="77777777" w:rsidTr="001973C3">
        <w:tc>
          <w:tcPr>
            <w:tcW w:w="2410" w:type="dxa"/>
          </w:tcPr>
          <w:p w14:paraId="4486D095" w14:textId="77777777" w:rsidR="00C32B22" w:rsidRPr="00B16E6B" w:rsidRDefault="00C32B22" w:rsidP="009613E1">
            <w:pPr>
              <w:spacing w:line="271" w:lineRule="auto"/>
            </w:pPr>
            <w:r w:rsidRPr="00B16E6B">
              <w:t>MTOFSR</w:t>
            </w:r>
          </w:p>
        </w:tc>
        <w:tc>
          <w:tcPr>
            <w:tcW w:w="7218" w:type="dxa"/>
          </w:tcPr>
          <w:p w14:paraId="02FCAE50" w14:textId="77777777" w:rsidR="00C32B22" w:rsidRPr="00B16E6B" w:rsidRDefault="001973C3" w:rsidP="009613E1">
            <w:pPr>
              <w:spacing w:line="271" w:lineRule="auto"/>
            </w:pPr>
            <w:r w:rsidRPr="00B16E6B">
              <w:t>Maritime Transport and Offshore Facilities Security Regulations 2003</w:t>
            </w:r>
          </w:p>
        </w:tc>
        <w:bookmarkStart w:id="41" w:name="_GoBack"/>
        <w:bookmarkEnd w:id="41"/>
      </w:tr>
      <w:tr w:rsidR="001973C3" w:rsidRPr="00B16E6B" w14:paraId="563CD258" w14:textId="77777777" w:rsidTr="001973C3">
        <w:trPr>
          <w:cnfStyle w:val="000000100000" w:firstRow="0" w:lastRow="0" w:firstColumn="0" w:lastColumn="0" w:oddVBand="0" w:evenVBand="0" w:oddHBand="1" w:evenHBand="0" w:firstRowFirstColumn="0" w:firstRowLastColumn="0" w:lastRowFirstColumn="0" w:lastRowLastColumn="0"/>
        </w:trPr>
        <w:tc>
          <w:tcPr>
            <w:tcW w:w="2410" w:type="dxa"/>
          </w:tcPr>
          <w:p w14:paraId="53115972" w14:textId="77777777" w:rsidR="001973C3" w:rsidRPr="00B16E6B" w:rsidRDefault="001973C3" w:rsidP="009613E1">
            <w:pPr>
              <w:spacing w:line="271" w:lineRule="auto"/>
            </w:pPr>
            <w:r w:rsidRPr="00B16E6B">
              <w:t>SOCI Act</w:t>
            </w:r>
          </w:p>
        </w:tc>
        <w:tc>
          <w:tcPr>
            <w:tcW w:w="7218" w:type="dxa"/>
          </w:tcPr>
          <w:p w14:paraId="5BA14E11" w14:textId="77777777" w:rsidR="001973C3" w:rsidRPr="00B16E6B" w:rsidRDefault="001973C3" w:rsidP="009613E1">
            <w:pPr>
              <w:spacing w:line="271" w:lineRule="auto"/>
              <w:rPr>
                <w:i/>
              </w:rPr>
            </w:pPr>
            <w:r w:rsidRPr="00B16E6B">
              <w:rPr>
                <w:i/>
              </w:rPr>
              <w:t>Security of Critical Infrastructure Act 2018</w:t>
            </w:r>
          </w:p>
        </w:tc>
      </w:tr>
      <w:tr w:rsidR="00C32B22" w:rsidRPr="00B16E6B" w14:paraId="7661642D" w14:textId="77777777" w:rsidTr="001973C3">
        <w:tc>
          <w:tcPr>
            <w:tcW w:w="2410" w:type="dxa"/>
          </w:tcPr>
          <w:p w14:paraId="765E5095" w14:textId="77777777" w:rsidR="00C32B22" w:rsidRPr="00B16E6B" w:rsidRDefault="00C32B22" w:rsidP="009613E1">
            <w:pPr>
              <w:spacing w:line="271" w:lineRule="auto"/>
            </w:pPr>
            <w:r w:rsidRPr="00B16E6B">
              <w:t>SCA</w:t>
            </w:r>
          </w:p>
        </w:tc>
        <w:tc>
          <w:tcPr>
            <w:tcW w:w="7218" w:type="dxa"/>
          </w:tcPr>
          <w:p w14:paraId="1B46636F" w14:textId="77777777" w:rsidR="00C32B22" w:rsidRPr="00B16E6B" w:rsidRDefault="001973C3" w:rsidP="009613E1">
            <w:pPr>
              <w:spacing w:line="271" w:lineRule="auto"/>
            </w:pPr>
            <w:r w:rsidRPr="00B16E6B">
              <w:t>Security controlled activities</w:t>
            </w:r>
          </w:p>
        </w:tc>
      </w:tr>
      <w:tr w:rsidR="00C32B22" w:rsidRPr="00B16E6B" w14:paraId="1812629C" w14:textId="77777777" w:rsidTr="001973C3">
        <w:trPr>
          <w:cnfStyle w:val="000000100000" w:firstRow="0" w:lastRow="0" w:firstColumn="0" w:lastColumn="0" w:oddVBand="0" w:evenVBand="0" w:oddHBand="1" w:evenHBand="0" w:firstRowFirstColumn="0" w:firstRowLastColumn="0" w:lastRowFirstColumn="0" w:lastRowLastColumn="0"/>
        </w:trPr>
        <w:tc>
          <w:tcPr>
            <w:tcW w:w="2410" w:type="dxa"/>
          </w:tcPr>
          <w:p w14:paraId="114CFDCC" w14:textId="77777777" w:rsidR="00C32B22" w:rsidRPr="00B16E6B" w:rsidRDefault="00C32B22" w:rsidP="009613E1">
            <w:pPr>
              <w:spacing w:line="271" w:lineRule="auto"/>
            </w:pPr>
            <w:r w:rsidRPr="00B16E6B">
              <w:t>SSD</w:t>
            </w:r>
          </w:p>
        </w:tc>
        <w:tc>
          <w:tcPr>
            <w:tcW w:w="7218" w:type="dxa"/>
          </w:tcPr>
          <w:p w14:paraId="51B140DE" w14:textId="77777777" w:rsidR="00C32B22" w:rsidRPr="00B16E6B" w:rsidRDefault="001973C3" w:rsidP="009613E1">
            <w:pPr>
              <w:spacing w:line="271" w:lineRule="auto"/>
            </w:pPr>
            <w:r w:rsidRPr="00B16E6B">
              <w:t>Special security direction</w:t>
            </w:r>
          </w:p>
        </w:tc>
      </w:tr>
      <w:tr w:rsidR="001973C3" w:rsidRPr="00B16E6B" w14:paraId="1AC6F732" w14:textId="77777777" w:rsidTr="001973C3">
        <w:tc>
          <w:tcPr>
            <w:tcW w:w="2410" w:type="dxa"/>
          </w:tcPr>
          <w:p w14:paraId="145DCBF9" w14:textId="77777777" w:rsidR="001973C3" w:rsidRPr="00B16E6B" w:rsidRDefault="001973C3" w:rsidP="009613E1">
            <w:pPr>
              <w:spacing w:line="271" w:lineRule="auto"/>
            </w:pPr>
            <w:r w:rsidRPr="00B16E6B">
              <w:t>Transport sector</w:t>
            </w:r>
          </w:p>
        </w:tc>
        <w:tc>
          <w:tcPr>
            <w:tcW w:w="7218" w:type="dxa"/>
          </w:tcPr>
          <w:p w14:paraId="6D66C601" w14:textId="77777777" w:rsidR="001973C3" w:rsidRPr="00B16E6B" w:rsidRDefault="001973C3" w:rsidP="009613E1">
            <w:pPr>
              <w:spacing w:line="271" w:lineRule="auto"/>
            </w:pPr>
            <w:r w:rsidRPr="00B16E6B">
              <w:t>Aviation, maritime and offshore facility sectors</w:t>
            </w:r>
          </w:p>
        </w:tc>
      </w:tr>
      <w:tr w:rsidR="00C32B22" w14:paraId="051084D8" w14:textId="77777777" w:rsidTr="001973C3">
        <w:trPr>
          <w:cnfStyle w:val="000000100000" w:firstRow="0" w:lastRow="0" w:firstColumn="0" w:lastColumn="0" w:oddVBand="0" w:evenVBand="0" w:oddHBand="1" w:evenHBand="0" w:firstRowFirstColumn="0" w:firstRowLastColumn="0" w:lastRowFirstColumn="0" w:lastRowLastColumn="0"/>
        </w:trPr>
        <w:tc>
          <w:tcPr>
            <w:tcW w:w="2410" w:type="dxa"/>
          </w:tcPr>
          <w:p w14:paraId="5E06031E" w14:textId="77777777" w:rsidR="00C32B22" w:rsidRPr="00B16E6B" w:rsidRDefault="00C32B22" w:rsidP="009613E1">
            <w:pPr>
              <w:spacing w:line="271" w:lineRule="auto"/>
            </w:pPr>
            <w:r w:rsidRPr="00B16E6B">
              <w:t>Transport security legislative frameworks</w:t>
            </w:r>
          </w:p>
        </w:tc>
        <w:tc>
          <w:tcPr>
            <w:tcW w:w="7218" w:type="dxa"/>
          </w:tcPr>
          <w:p w14:paraId="27B27A74" w14:textId="77777777" w:rsidR="00C32B22" w:rsidRDefault="00C32B22" w:rsidP="009613E1">
            <w:pPr>
              <w:spacing w:line="271" w:lineRule="auto"/>
            </w:pPr>
            <w:r w:rsidRPr="00B16E6B">
              <w:t>ATSA, ATSR, MTOFSA, MTOFSR</w:t>
            </w:r>
          </w:p>
        </w:tc>
      </w:tr>
    </w:tbl>
    <w:p w14:paraId="65C4F7A2" w14:textId="77777777" w:rsidR="0016512F" w:rsidRDefault="00C32B22" w:rsidP="009613E1">
      <w:pPr>
        <w:spacing w:line="271" w:lineRule="auto"/>
      </w:pPr>
      <w:r>
        <w:tab/>
      </w:r>
    </w:p>
    <w:p w14:paraId="505CDF49" w14:textId="77777777" w:rsidR="001973C3" w:rsidRDefault="001973C3" w:rsidP="009613E1">
      <w:pPr>
        <w:spacing w:line="271" w:lineRule="auto"/>
      </w:pPr>
    </w:p>
    <w:p w14:paraId="15EEE0C5" w14:textId="77777777" w:rsidR="0016512F" w:rsidRPr="00AD1096" w:rsidRDefault="0016512F" w:rsidP="009613E1">
      <w:pPr>
        <w:pStyle w:val="Heading1"/>
        <w:spacing w:line="271" w:lineRule="auto"/>
      </w:pPr>
    </w:p>
    <w:sectPr w:rsidR="0016512F" w:rsidRPr="00AD1096" w:rsidSect="005A381C">
      <w:pgSz w:w="11906" w:h="16838"/>
      <w:pgMar w:top="1135" w:right="566" w:bottom="1276" w:left="1134" w:header="993"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CD156" w14:textId="77777777" w:rsidR="009E63B7" w:rsidRDefault="009E63B7" w:rsidP="00F957C6">
      <w:pPr>
        <w:spacing w:after="0" w:line="240" w:lineRule="auto"/>
      </w:pPr>
      <w:r>
        <w:separator/>
      </w:r>
    </w:p>
  </w:endnote>
  <w:endnote w:type="continuationSeparator" w:id="0">
    <w:p w14:paraId="3983F675" w14:textId="77777777" w:rsidR="009E63B7" w:rsidRDefault="009E63B7"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08A5" w14:textId="77777777" w:rsidR="001331B1" w:rsidRDefault="00133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7FA8" w14:textId="61A689E4" w:rsidR="00730ACC" w:rsidRPr="00CB7098" w:rsidRDefault="00730ACC" w:rsidP="00031FF6">
    <w:pPr>
      <w:pStyle w:val="Footer"/>
      <w:tabs>
        <w:tab w:val="clear" w:pos="9026"/>
      </w:tabs>
      <w:rPr>
        <w:noProof/>
      </w:rPr>
    </w:pPr>
    <w:r w:rsidRPr="0025773C">
      <w:rPr>
        <w:sz w:val="16"/>
        <w:szCs w:val="16"/>
      </w:rPr>
      <w:t xml:space="preserve">Department of Home Affairs | </w:t>
    </w:r>
    <w:r w:rsidRPr="00B36BC3">
      <w:rPr>
        <w:sz w:val="16"/>
        <w:szCs w:val="16"/>
      </w:rPr>
      <w:t>Transport Security Amendment (Security of Australia’s Transport Sector) Bill 2024</w:t>
    </w:r>
    <w:r w:rsidRPr="0025773C">
      <w:rPr>
        <w:sz w:val="16"/>
        <w:szCs w:val="16"/>
      </w:rPr>
      <w:t xml:space="preserve"> | Impact Analysis</w:t>
    </w:r>
    <w:r>
      <w:rPr>
        <w:sz w:val="16"/>
        <w:szCs w:val="16"/>
      </w:rPr>
      <w:t xml:space="preserve">    </w:t>
    </w:r>
    <w:r>
      <w:rPr>
        <w:sz w:val="16"/>
        <w:szCs w:val="16"/>
      </w:rPr>
      <w:ptab w:relativeTo="margin" w:alignment="right" w:leader="none"/>
    </w:r>
    <w:r>
      <w:rPr>
        <w:sz w:val="16"/>
        <w:szCs w:val="16"/>
      </w:rPr>
      <w:fldChar w:fldCharType="begin"/>
    </w:r>
    <w:r>
      <w:rPr>
        <w:sz w:val="16"/>
        <w:szCs w:val="16"/>
      </w:rPr>
      <w:instrText xml:space="preserve"> PAGE  \* Arabic  \* MERGEFORMAT </w:instrText>
    </w:r>
    <w:r>
      <w:rPr>
        <w:sz w:val="16"/>
        <w:szCs w:val="16"/>
      </w:rPr>
      <w:fldChar w:fldCharType="separate"/>
    </w:r>
    <w:r w:rsidR="00EB554E">
      <w:rPr>
        <w:noProof/>
        <w:sz w:val="16"/>
        <w:szCs w:val="16"/>
      </w:rPr>
      <w:t>89</w:t>
    </w:r>
    <w:r>
      <w:rPr>
        <w:sz w:val="16"/>
        <w:szCs w:val="16"/>
      </w:rPr>
      <w:fldChar w:fldCharType="end"/>
    </w:r>
    <w:r>
      <w:rPr>
        <w:sz w:val="16"/>
        <w:szCs w:val="16"/>
      </w:rP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5234E" w14:textId="689220C7" w:rsidR="00730ACC" w:rsidRDefault="00730ACC" w:rsidP="00031FF6">
    <w:pPr>
      <w:pStyle w:val="Footer"/>
    </w:pPr>
    <w:r w:rsidRPr="0025773C">
      <w:rPr>
        <w:sz w:val="16"/>
        <w:szCs w:val="16"/>
      </w:rPr>
      <w:t xml:space="preserve">Department of Home Affairs | </w:t>
    </w:r>
    <w:r w:rsidRPr="00B36BC3">
      <w:rPr>
        <w:sz w:val="16"/>
        <w:szCs w:val="16"/>
      </w:rPr>
      <w:t xml:space="preserve">Transport Security Amendment (Security of Australia’s Transport Sector) Bill 2024 </w:t>
    </w:r>
    <w:r w:rsidRPr="0025773C">
      <w:rPr>
        <w:sz w:val="16"/>
        <w:szCs w:val="16"/>
      </w:rPr>
      <w:t>| Impact Analysis</w:t>
    </w:r>
    <w:r>
      <w:t xml:space="preserve"> </w:t>
    </w:r>
    <w:r>
      <w:ptab w:relativeTo="margin" w:alignment="right" w:leader="none"/>
    </w:r>
    <w:r w:rsidRPr="00CD3687">
      <w:rPr>
        <w:sz w:val="18"/>
        <w:szCs w:val="18"/>
      </w:rPr>
      <w:fldChar w:fldCharType="begin"/>
    </w:r>
    <w:r w:rsidRPr="00CD3687">
      <w:rPr>
        <w:sz w:val="18"/>
        <w:szCs w:val="18"/>
      </w:rPr>
      <w:instrText xml:space="preserve"> PAGE   \* MERGEFORMAT </w:instrText>
    </w:r>
    <w:r w:rsidRPr="00CD3687">
      <w:rPr>
        <w:sz w:val="18"/>
        <w:szCs w:val="18"/>
      </w:rPr>
      <w:fldChar w:fldCharType="separate"/>
    </w:r>
    <w:r w:rsidR="00EB554E">
      <w:rPr>
        <w:noProof/>
        <w:sz w:val="18"/>
        <w:szCs w:val="18"/>
      </w:rPr>
      <w:t>65</w:t>
    </w:r>
    <w:r w:rsidRPr="00CD3687">
      <w:rPr>
        <w:sz w:val="18"/>
        <w:szCs w:val="18"/>
      </w:rPr>
      <w:fldChar w:fldCharType="end"/>
    </w:r>
  </w:p>
  <w:p w14:paraId="06283EC8" w14:textId="77777777" w:rsidR="00730ACC" w:rsidRDefault="00730ACC" w:rsidP="00784965">
    <w:pPr>
      <w:pStyle w:val="Footer"/>
    </w:pPr>
    <w:r>
      <w:rP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7E9DE" w14:textId="77777777" w:rsidR="009E63B7" w:rsidRDefault="009E63B7" w:rsidP="00F957C6">
      <w:pPr>
        <w:spacing w:after="0" w:line="240" w:lineRule="auto"/>
      </w:pPr>
      <w:r>
        <w:separator/>
      </w:r>
    </w:p>
  </w:footnote>
  <w:footnote w:type="continuationSeparator" w:id="0">
    <w:p w14:paraId="0F926510" w14:textId="77777777" w:rsidR="009E63B7" w:rsidRDefault="009E63B7" w:rsidP="00F957C6">
      <w:pPr>
        <w:spacing w:after="0" w:line="240" w:lineRule="auto"/>
      </w:pPr>
      <w:r>
        <w:continuationSeparator/>
      </w:r>
    </w:p>
  </w:footnote>
  <w:footnote w:id="1">
    <w:p w14:paraId="526EA2FD" w14:textId="481C9DDB" w:rsidR="00730ACC" w:rsidRPr="00B002E4" w:rsidRDefault="00730ACC">
      <w:pPr>
        <w:pStyle w:val="FootnoteText"/>
        <w:rPr>
          <w:rFonts w:cstheme="majorHAnsi"/>
        </w:rPr>
      </w:pPr>
      <w:r w:rsidRPr="00E34C79">
        <w:rPr>
          <w:rStyle w:val="FootnoteReference"/>
          <w:rFonts w:cs="Arial"/>
          <w:sz w:val="18"/>
          <w:szCs w:val="18"/>
        </w:rPr>
        <w:footnoteRef/>
      </w:r>
      <w:r w:rsidRPr="00E34C79">
        <w:rPr>
          <w:rFonts w:cs="Arial"/>
          <w:sz w:val="18"/>
          <w:szCs w:val="18"/>
        </w:rPr>
        <w:t xml:space="preserve"> Critical Infrastructure Resilience Strategy</w:t>
      </w:r>
      <w:r>
        <w:rPr>
          <w:rFonts w:cs="Arial"/>
          <w:sz w:val="18"/>
          <w:szCs w:val="18"/>
        </w:rPr>
        <w:t>,</w:t>
      </w:r>
      <w:r w:rsidRPr="00E34C79">
        <w:rPr>
          <w:rFonts w:cs="Arial"/>
          <w:sz w:val="18"/>
          <w:szCs w:val="18"/>
        </w:rPr>
        <w:t xml:space="preserve"> CISC, 2023, </w:t>
      </w:r>
      <w:hyperlink r:id="rId1" w:history="1">
        <w:r w:rsidRPr="00F228FA">
          <w:rPr>
            <w:rStyle w:val="Hyperlink"/>
            <w:rFonts w:cs="Arial"/>
            <w:sz w:val="18"/>
            <w:szCs w:val="18"/>
          </w:rPr>
          <w:t>cisc.gov.au/critical-infrastructure-resilience-strategy</w:t>
        </w:r>
      </w:hyperlink>
    </w:p>
  </w:footnote>
  <w:footnote w:id="2">
    <w:p w14:paraId="796FB3A0" w14:textId="77777777" w:rsidR="00730ACC" w:rsidRPr="00877704" w:rsidRDefault="00730ACC" w:rsidP="00004066">
      <w:pPr>
        <w:pStyle w:val="FootnoteText"/>
        <w:rPr>
          <w:rFonts w:cs="Arial"/>
          <w:sz w:val="18"/>
          <w:szCs w:val="18"/>
        </w:rPr>
      </w:pPr>
      <w:r w:rsidRPr="00877704">
        <w:rPr>
          <w:rStyle w:val="FootnoteReference"/>
          <w:rFonts w:cs="Arial"/>
          <w:sz w:val="18"/>
          <w:szCs w:val="18"/>
        </w:rPr>
        <w:footnoteRef/>
      </w:r>
      <w:r>
        <w:rPr>
          <w:rFonts w:cs="Arial"/>
          <w:sz w:val="18"/>
          <w:szCs w:val="18"/>
        </w:rPr>
        <w:t xml:space="preserve"> Assets that are: </w:t>
      </w:r>
      <w:r w:rsidRPr="0051407D">
        <w:rPr>
          <w:rFonts w:cs="Arial"/>
          <w:sz w:val="18"/>
          <w:szCs w:val="18"/>
        </w:rPr>
        <w:t>used in connection with the provision of an air service and owned or o</w:t>
      </w:r>
      <w:r>
        <w:rPr>
          <w:rFonts w:cs="Arial"/>
          <w:sz w:val="18"/>
          <w:szCs w:val="18"/>
        </w:rPr>
        <w:t xml:space="preserve">perated by an aircraft operator; </w:t>
      </w:r>
      <w:r w:rsidRPr="0051407D">
        <w:rPr>
          <w:rFonts w:cs="Arial"/>
          <w:sz w:val="18"/>
          <w:szCs w:val="18"/>
        </w:rPr>
        <w:t>used in connection with the provision of an air service and is owned or operated by a regulated air cargo agent</w:t>
      </w:r>
      <w:r>
        <w:rPr>
          <w:rFonts w:cs="Arial"/>
          <w:sz w:val="18"/>
          <w:szCs w:val="18"/>
        </w:rPr>
        <w:t xml:space="preserve">; </w:t>
      </w:r>
      <w:r w:rsidRPr="0051407D">
        <w:rPr>
          <w:rFonts w:cs="Arial"/>
          <w:sz w:val="18"/>
          <w:szCs w:val="18"/>
        </w:rPr>
        <w:t>used by an airport operator in connection with the operation of an airport.</w:t>
      </w:r>
    </w:p>
  </w:footnote>
  <w:footnote w:id="3">
    <w:p w14:paraId="4D4AFAA9" w14:textId="77777777" w:rsidR="00730ACC" w:rsidRDefault="00730ACC" w:rsidP="00004066">
      <w:pPr>
        <w:pStyle w:val="FootnoteText"/>
        <w:rPr>
          <w:rFonts w:ascii="Arial" w:hAnsi="Arial" w:cs="Arial"/>
          <w:sz w:val="18"/>
          <w:szCs w:val="18"/>
        </w:rPr>
      </w:pPr>
      <w:r w:rsidRPr="00877704">
        <w:rPr>
          <w:rStyle w:val="FootnoteReference"/>
          <w:rFonts w:cs="Arial"/>
          <w:sz w:val="18"/>
          <w:szCs w:val="18"/>
        </w:rPr>
        <w:footnoteRef/>
      </w:r>
      <w:r w:rsidRPr="00877704">
        <w:rPr>
          <w:rFonts w:cs="Arial"/>
          <w:sz w:val="18"/>
          <w:szCs w:val="18"/>
        </w:rPr>
        <w:t xml:space="preserve"> Broome Port; Port Adelaide; Port of Brisbane; Port of Cairns; Port of Christmas Island; Port of Dampier; Port of Darwin; Port of Eden; Port of Fremantle; Port of Geelong; Port of Gladstone; Port of Hay Point; Port of Hobart; Port of Melbourne; Port of Newcastle; Port of Port Botany; Port of Port Hedland; Port of Rockhampton; Port of Sydney Harbour and Port of Townsville.</w:t>
      </w:r>
    </w:p>
  </w:footnote>
  <w:footnote w:id="4">
    <w:p w14:paraId="507EF0D9" w14:textId="77777777" w:rsidR="00730ACC" w:rsidRDefault="00730ACC">
      <w:pPr>
        <w:pStyle w:val="FootnoteText"/>
      </w:pPr>
      <w:r>
        <w:rPr>
          <w:rStyle w:val="FootnoteReference"/>
        </w:rPr>
        <w:footnoteRef/>
      </w:r>
      <w:r>
        <w:t xml:space="preserve"> </w:t>
      </w:r>
      <w:r w:rsidRPr="0051407D">
        <w:rPr>
          <w:rFonts w:cs="Arial"/>
          <w:sz w:val="18"/>
          <w:szCs w:val="18"/>
        </w:rPr>
        <w:t xml:space="preserve">This obligations applies to a smaller subset of aviation assets, being: </w:t>
      </w:r>
      <w:r>
        <w:rPr>
          <w:rFonts w:cs="Arial"/>
          <w:sz w:val="18"/>
          <w:szCs w:val="18"/>
        </w:rPr>
        <w:t>a</w:t>
      </w:r>
      <w:r w:rsidRPr="00877704">
        <w:rPr>
          <w:rFonts w:cs="Arial"/>
          <w:sz w:val="18"/>
          <w:szCs w:val="18"/>
        </w:rPr>
        <w:t xml:space="preserve"> designated airport; an Australian prescribed air service operating screened air services that depart from a designated airport, or a regulated air cargo agent that is also a cargo terminal operator at a designated airport</w:t>
      </w:r>
    </w:p>
  </w:footnote>
  <w:footnote w:id="5">
    <w:p w14:paraId="36203559" w14:textId="48A50E8E" w:rsidR="00730ACC" w:rsidRDefault="00730ACC">
      <w:pPr>
        <w:pStyle w:val="FootnoteText"/>
      </w:pPr>
      <w:r>
        <w:rPr>
          <w:rStyle w:val="FootnoteReference"/>
        </w:rPr>
        <w:footnoteRef/>
      </w:r>
      <w:r>
        <w:t xml:space="preserve"> </w:t>
      </w:r>
      <w:r>
        <w:rPr>
          <w:sz w:val="18"/>
          <w:szCs w:val="18"/>
        </w:rPr>
        <w:t xml:space="preserve">Cyber Security and Resilience Symposium, </w:t>
      </w:r>
      <w:r w:rsidRPr="003E68E0">
        <w:rPr>
          <w:sz w:val="18"/>
          <w:szCs w:val="18"/>
        </w:rPr>
        <w:t xml:space="preserve">ICAO, </w:t>
      </w:r>
      <w:r>
        <w:rPr>
          <w:sz w:val="18"/>
          <w:szCs w:val="18"/>
        </w:rPr>
        <w:t>2023,</w:t>
      </w:r>
      <w:r w:rsidRPr="00E97350">
        <w:rPr>
          <w:rStyle w:val="Hyperlink"/>
          <w:sz w:val="18"/>
          <w:szCs w:val="18"/>
        </w:rPr>
        <w:t xml:space="preserve"> </w:t>
      </w:r>
      <w:hyperlink r:id="rId2" w:history="1">
        <w:r w:rsidRPr="00E97350">
          <w:rPr>
            <w:rStyle w:val="Hyperlink"/>
            <w:sz w:val="18"/>
            <w:szCs w:val="18"/>
          </w:rPr>
          <w:t>http://www.icao.net/cybersecurity-and-resilience-symposism-presentation</w:t>
        </w:r>
      </w:hyperlink>
      <w:r>
        <w:rPr>
          <w:rStyle w:val="Hyperlink"/>
          <w:sz w:val="18"/>
          <w:szCs w:val="18"/>
        </w:rPr>
        <w:t>,</w:t>
      </w:r>
      <w:r w:rsidRPr="00697BE2">
        <w:rPr>
          <w:rStyle w:val="Hyperlink"/>
          <w:sz w:val="18"/>
          <w:szCs w:val="18"/>
          <w:u w:val="none"/>
        </w:rPr>
        <w:t xml:space="preserve"> </w:t>
      </w:r>
      <w:r>
        <w:rPr>
          <w:sz w:val="18"/>
        </w:rPr>
        <w:t>p</w:t>
      </w:r>
      <w:r w:rsidRPr="003E68E0">
        <w:rPr>
          <w:sz w:val="18"/>
        </w:rPr>
        <w:t>. 7</w:t>
      </w:r>
    </w:p>
  </w:footnote>
  <w:footnote w:id="6">
    <w:p w14:paraId="48BE77C8" w14:textId="13959191" w:rsidR="00730ACC" w:rsidRDefault="00730ACC">
      <w:pPr>
        <w:pStyle w:val="FootnoteText"/>
      </w:pPr>
      <w:r>
        <w:rPr>
          <w:rStyle w:val="FootnoteReference"/>
        </w:rPr>
        <w:footnoteRef/>
      </w:r>
      <w:r>
        <w:t xml:space="preserve"> </w:t>
      </w:r>
      <w:r>
        <w:rPr>
          <w:sz w:val="18"/>
          <w:szCs w:val="18"/>
        </w:rPr>
        <w:t xml:space="preserve">Update on ground handling matters, </w:t>
      </w:r>
      <w:r w:rsidRPr="003E68E0">
        <w:rPr>
          <w:sz w:val="18"/>
          <w:szCs w:val="18"/>
        </w:rPr>
        <w:t>E</w:t>
      </w:r>
      <w:r>
        <w:rPr>
          <w:sz w:val="18"/>
          <w:szCs w:val="18"/>
        </w:rPr>
        <w:t xml:space="preserve">uropean </w:t>
      </w:r>
      <w:r w:rsidRPr="003E68E0">
        <w:rPr>
          <w:sz w:val="18"/>
          <w:szCs w:val="18"/>
        </w:rPr>
        <w:t>A</w:t>
      </w:r>
      <w:r>
        <w:rPr>
          <w:sz w:val="18"/>
          <w:szCs w:val="18"/>
        </w:rPr>
        <w:t xml:space="preserve">ir </w:t>
      </w:r>
      <w:r w:rsidRPr="003E68E0">
        <w:rPr>
          <w:sz w:val="18"/>
          <w:szCs w:val="18"/>
        </w:rPr>
        <w:t>T</w:t>
      </w:r>
      <w:r>
        <w:rPr>
          <w:sz w:val="18"/>
          <w:szCs w:val="18"/>
        </w:rPr>
        <w:t xml:space="preserve">raffic </w:t>
      </w:r>
      <w:r w:rsidRPr="003E68E0">
        <w:rPr>
          <w:sz w:val="18"/>
          <w:szCs w:val="18"/>
        </w:rPr>
        <w:t>M</w:t>
      </w:r>
      <w:r>
        <w:rPr>
          <w:sz w:val="18"/>
          <w:szCs w:val="18"/>
        </w:rPr>
        <w:t>anagement</w:t>
      </w:r>
      <w:r w:rsidRPr="003E68E0">
        <w:rPr>
          <w:sz w:val="18"/>
          <w:szCs w:val="18"/>
        </w:rPr>
        <w:t xml:space="preserve">, </w:t>
      </w:r>
      <w:r>
        <w:rPr>
          <w:sz w:val="18"/>
          <w:szCs w:val="18"/>
        </w:rPr>
        <w:t xml:space="preserve">ERAA, 2024 </w:t>
      </w:r>
      <w:hyperlink r:id="rId3" w:anchor=":~:text=Reports%20from%20the%20aviation%20supply,%2C%20malware%2C%20hacking%20and%20ransomware." w:history="1">
        <w:r w:rsidRPr="00E97350">
          <w:rPr>
            <w:rStyle w:val="Hyperlink"/>
            <w:sz w:val="18"/>
            <w:szCs w:val="18"/>
          </w:rPr>
          <w:t>www.eraa.org/update-ground-handling-matters</w:t>
        </w:r>
      </w:hyperlink>
    </w:p>
  </w:footnote>
  <w:footnote w:id="7">
    <w:p w14:paraId="1D924BD6" w14:textId="789AF901" w:rsidR="00730ACC" w:rsidRPr="003E68E0" w:rsidRDefault="00730ACC" w:rsidP="003E68E0">
      <w:pPr>
        <w:pStyle w:val="CommentText"/>
        <w:spacing w:after="0"/>
        <w:rPr>
          <w:sz w:val="18"/>
          <w:szCs w:val="18"/>
        </w:rPr>
      </w:pPr>
      <w:r w:rsidRPr="003E68E0">
        <w:rPr>
          <w:rStyle w:val="FootnoteReference"/>
          <w:sz w:val="18"/>
          <w:szCs w:val="18"/>
        </w:rPr>
        <w:footnoteRef/>
      </w:r>
      <w:r>
        <w:rPr>
          <w:sz w:val="18"/>
          <w:szCs w:val="18"/>
        </w:rPr>
        <w:t xml:space="preserve"> </w:t>
      </w:r>
      <w:r w:rsidRPr="003E68E0">
        <w:rPr>
          <w:sz w:val="18"/>
          <w:szCs w:val="18"/>
        </w:rPr>
        <w:t>World Economic Forum,</w:t>
      </w:r>
      <w:r>
        <w:rPr>
          <w:sz w:val="18"/>
          <w:szCs w:val="18"/>
        </w:rPr>
        <w:t xml:space="preserve"> 2024,</w:t>
      </w:r>
      <w:r w:rsidRPr="003E68E0">
        <w:rPr>
          <w:sz w:val="18"/>
          <w:szCs w:val="18"/>
        </w:rPr>
        <w:t xml:space="preserve"> </w:t>
      </w:r>
      <w:hyperlink r:id="rId4" w:history="1">
        <w:r w:rsidRPr="00E97350">
          <w:rPr>
            <w:rStyle w:val="Hyperlink"/>
            <w:sz w:val="18"/>
            <w:szCs w:val="18"/>
          </w:rPr>
          <w:t>www.weforum.org/transport-supply-chain-resilience</w:t>
        </w:r>
      </w:hyperlink>
      <w:r w:rsidRPr="003E68E0">
        <w:rPr>
          <w:sz w:val="18"/>
          <w:szCs w:val="18"/>
        </w:rPr>
        <w:t xml:space="preserve"> </w:t>
      </w:r>
    </w:p>
  </w:footnote>
  <w:footnote w:id="8">
    <w:p w14:paraId="10742185" w14:textId="3CD03BFE" w:rsidR="00730ACC" w:rsidRPr="0064327F" w:rsidRDefault="00730ACC">
      <w:pPr>
        <w:pStyle w:val="FootnoteText"/>
        <w:rPr>
          <w:sz w:val="18"/>
          <w:szCs w:val="18"/>
        </w:rPr>
      </w:pPr>
      <w:r w:rsidRPr="0064327F">
        <w:rPr>
          <w:rStyle w:val="FootnoteReference"/>
          <w:sz w:val="18"/>
          <w:szCs w:val="18"/>
        </w:rPr>
        <w:footnoteRef/>
      </w:r>
      <w:r w:rsidRPr="003E68E0">
        <w:rPr>
          <w:sz w:val="18"/>
          <w:szCs w:val="18"/>
        </w:rPr>
        <w:t xml:space="preserve"> </w:t>
      </w:r>
      <w:r>
        <w:rPr>
          <w:sz w:val="18"/>
          <w:szCs w:val="18"/>
        </w:rPr>
        <w:t xml:space="preserve">Cyber Trends and Insights, </w:t>
      </w:r>
      <w:r w:rsidRPr="003E68E0">
        <w:rPr>
          <w:sz w:val="18"/>
          <w:szCs w:val="18"/>
        </w:rPr>
        <w:t>US Coast Guard,</w:t>
      </w:r>
      <w:r>
        <w:rPr>
          <w:sz w:val="18"/>
          <w:szCs w:val="18"/>
        </w:rPr>
        <w:t xml:space="preserve"> 2023,</w:t>
      </w:r>
      <w:r w:rsidRPr="003E68E0">
        <w:rPr>
          <w:sz w:val="18"/>
          <w:szCs w:val="18"/>
        </w:rPr>
        <w:t xml:space="preserve"> </w:t>
      </w:r>
      <w:hyperlink r:id="rId5" w:history="1">
        <w:r w:rsidRPr="00284CB9">
          <w:rPr>
            <w:rStyle w:val="Hyperlink"/>
            <w:sz w:val="18"/>
            <w:szCs w:val="18"/>
          </w:rPr>
          <w:t>www.uscg.mil</w:t>
        </w:r>
        <w:r w:rsidRPr="00B7739C">
          <w:rPr>
            <w:rStyle w:val="Hyperlink"/>
            <w:sz w:val="18"/>
            <w:szCs w:val="18"/>
          </w:rPr>
          <w:t>/cyber-trends-and-insights</w:t>
        </w:r>
      </w:hyperlink>
      <w:r w:rsidRPr="003E68E0">
        <w:rPr>
          <w:rStyle w:val="Hyperlink"/>
          <w:sz w:val="18"/>
          <w:szCs w:val="18"/>
          <w:u w:val="none"/>
        </w:rPr>
        <w:t xml:space="preserve"> </w:t>
      </w:r>
      <w:r>
        <w:rPr>
          <w:sz w:val="18"/>
        </w:rPr>
        <w:t>p.</w:t>
      </w:r>
      <w:r w:rsidRPr="003E68E0">
        <w:rPr>
          <w:sz w:val="18"/>
        </w:rPr>
        <w:t xml:space="preserve"> 13</w:t>
      </w:r>
    </w:p>
  </w:footnote>
  <w:footnote w:id="9">
    <w:p w14:paraId="62737AE2" w14:textId="77777777" w:rsidR="00730ACC" w:rsidRPr="00EF0055" w:rsidRDefault="00730ACC" w:rsidP="0076081D">
      <w:pPr>
        <w:pStyle w:val="FootnoteText"/>
        <w:rPr>
          <w:sz w:val="18"/>
          <w:szCs w:val="18"/>
        </w:rPr>
      </w:pPr>
      <w:r w:rsidRPr="00EF0055">
        <w:rPr>
          <w:rStyle w:val="FootnoteReference"/>
          <w:sz w:val="18"/>
          <w:szCs w:val="18"/>
        </w:rPr>
        <w:footnoteRef/>
      </w:r>
      <w:r w:rsidRPr="00EF0055">
        <w:rPr>
          <w:sz w:val="18"/>
          <w:szCs w:val="18"/>
        </w:rPr>
        <w:t xml:space="preserve"> </w:t>
      </w:r>
      <w:r>
        <w:rPr>
          <w:sz w:val="18"/>
          <w:szCs w:val="18"/>
        </w:rPr>
        <w:t xml:space="preserve">Airport worker arrested for drug trafficking, </w:t>
      </w:r>
      <w:r w:rsidRPr="00EF0055">
        <w:rPr>
          <w:sz w:val="18"/>
          <w:szCs w:val="18"/>
        </w:rPr>
        <w:t xml:space="preserve">The Sydney Morning Herald, 2021, </w:t>
      </w:r>
      <w:hyperlink r:id="rId6" w:history="1">
        <w:r w:rsidRPr="00284CB9">
          <w:rPr>
            <w:rStyle w:val="Hyperlink"/>
            <w:rFonts w:cs="Arial"/>
            <w:sz w:val="18"/>
            <w:szCs w:val="18"/>
          </w:rPr>
          <w:t>smh.com.au</w:t>
        </w:r>
        <w:r w:rsidRPr="00B7739C">
          <w:rPr>
            <w:rStyle w:val="Hyperlink"/>
            <w:rFonts w:cs="Arial"/>
            <w:sz w:val="18"/>
            <w:szCs w:val="18"/>
          </w:rPr>
          <w:t>/airport-worker-arrested-charged-with-drug-trafficking</w:t>
        </w:r>
      </w:hyperlink>
    </w:p>
  </w:footnote>
  <w:footnote w:id="10">
    <w:p w14:paraId="033E0DB1" w14:textId="77777777" w:rsidR="00730ACC" w:rsidRPr="00EF0055" w:rsidRDefault="00730ACC" w:rsidP="0076081D">
      <w:pPr>
        <w:pStyle w:val="FootnoteText"/>
        <w:rPr>
          <w:sz w:val="18"/>
          <w:szCs w:val="18"/>
        </w:rPr>
      </w:pPr>
      <w:r w:rsidRPr="00EF0055">
        <w:rPr>
          <w:rStyle w:val="FootnoteReference"/>
          <w:sz w:val="18"/>
          <w:szCs w:val="18"/>
        </w:rPr>
        <w:footnoteRef/>
      </w:r>
      <w:r w:rsidRPr="00EF0055">
        <w:rPr>
          <w:sz w:val="18"/>
          <w:szCs w:val="18"/>
        </w:rPr>
        <w:t xml:space="preserve"> 2023–2030 Australian Cyber Security Strategy, </w:t>
      </w:r>
      <w:hyperlink r:id="rId7" w:history="1">
        <w:r w:rsidRPr="00284CB9">
          <w:rPr>
            <w:rStyle w:val="Hyperlink"/>
            <w:rFonts w:cs="Arial"/>
            <w:sz w:val="18"/>
            <w:szCs w:val="18"/>
          </w:rPr>
          <w:t>homeaffairs.gov.au</w:t>
        </w:r>
        <w:r w:rsidRPr="00B7739C">
          <w:rPr>
            <w:rStyle w:val="Hyperlink"/>
            <w:rFonts w:cs="Arial"/>
            <w:sz w:val="18"/>
            <w:szCs w:val="18"/>
          </w:rPr>
          <w:t>/cyber-security-strategy-legislative-reforms</w:t>
        </w:r>
      </w:hyperlink>
      <w:r w:rsidRPr="00EF0055">
        <w:rPr>
          <w:sz w:val="18"/>
          <w:szCs w:val="18"/>
        </w:rPr>
        <w:t>,</w:t>
      </w:r>
      <w:r w:rsidRPr="00EF0055">
        <w:rPr>
          <w:rFonts w:cs="Arial"/>
          <w:sz w:val="18"/>
          <w:szCs w:val="18"/>
        </w:rPr>
        <w:t xml:space="preserve"> p. 33</w:t>
      </w:r>
    </w:p>
  </w:footnote>
  <w:footnote w:id="11">
    <w:p w14:paraId="75E30375" w14:textId="77777777" w:rsidR="00730ACC" w:rsidRPr="00EF0055" w:rsidRDefault="00730ACC" w:rsidP="0076081D">
      <w:pPr>
        <w:pStyle w:val="FootnoteText"/>
        <w:rPr>
          <w:sz w:val="18"/>
          <w:szCs w:val="18"/>
        </w:rPr>
      </w:pPr>
      <w:r w:rsidRPr="00EF0055">
        <w:rPr>
          <w:rStyle w:val="FootnoteReference"/>
          <w:sz w:val="18"/>
          <w:szCs w:val="18"/>
        </w:rPr>
        <w:footnoteRef/>
      </w:r>
      <w:r w:rsidRPr="00EF0055">
        <w:rPr>
          <w:sz w:val="18"/>
          <w:szCs w:val="18"/>
        </w:rPr>
        <w:t xml:space="preserve"> </w:t>
      </w:r>
      <w:r>
        <w:rPr>
          <w:sz w:val="18"/>
          <w:szCs w:val="18"/>
        </w:rPr>
        <w:t xml:space="preserve">Safe Shipping: A forgotten aspect of maritime security, </w:t>
      </w:r>
      <w:r w:rsidRPr="00EF0055">
        <w:rPr>
          <w:sz w:val="18"/>
          <w:szCs w:val="18"/>
        </w:rPr>
        <w:t>A</w:t>
      </w:r>
      <w:r>
        <w:rPr>
          <w:sz w:val="18"/>
          <w:szCs w:val="18"/>
        </w:rPr>
        <w:t xml:space="preserve">ustralian </w:t>
      </w:r>
      <w:r w:rsidRPr="00EF0055">
        <w:rPr>
          <w:sz w:val="18"/>
          <w:szCs w:val="18"/>
        </w:rPr>
        <w:t>S</w:t>
      </w:r>
      <w:r>
        <w:rPr>
          <w:sz w:val="18"/>
          <w:szCs w:val="18"/>
        </w:rPr>
        <w:t xml:space="preserve">trategic </w:t>
      </w:r>
      <w:r w:rsidRPr="00EF0055">
        <w:rPr>
          <w:sz w:val="18"/>
          <w:szCs w:val="18"/>
        </w:rPr>
        <w:t>P</w:t>
      </w:r>
      <w:r>
        <w:rPr>
          <w:sz w:val="18"/>
          <w:szCs w:val="18"/>
        </w:rPr>
        <w:t xml:space="preserve">olicy </w:t>
      </w:r>
      <w:r w:rsidRPr="00EF0055">
        <w:rPr>
          <w:sz w:val="18"/>
          <w:szCs w:val="18"/>
        </w:rPr>
        <w:t>I</w:t>
      </w:r>
      <w:r>
        <w:rPr>
          <w:sz w:val="18"/>
          <w:szCs w:val="18"/>
        </w:rPr>
        <w:t>nstitute</w:t>
      </w:r>
      <w:r w:rsidRPr="00EF0055">
        <w:rPr>
          <w:sz w:val="18"/>
          <w:szCs w:val="18"/>
        </w:rPr>
        <w:t xml:space="preserve">, </w:t>
      </w:r>
      <w:r>
        <w:rPr>
          <w:sz w:val="18"/>
          <w:szCs w:val="18"/>
        </w:rPr>
        <w:t xml:space="preserve">8 November </w:t>
      </w:r>
      <w:r w:rsidRPr="00EF0055">
        <w:rPr>
          <w:sz w:val="18"/>
          <w:szCs w:val="18"/>
        </w:rPr>
        <w:t xml:space="preserve">2023, </w:t>
      </w:r>
      <w:hyperlink r:id="rId8" w:history="1">
        <w:r w:rsidRPr="00284CB9">
          <w:rPr>
            <w:rStyle w:val="Hyperlink"/>
            <w:rFonts w:cs="Arial"/>
            <w:sz w:val="18"/>
            <w:szCs w:val="18"/>
          </w:rPr>
          <w:t>aspistrategist.org.au</w:t>
        </w:r>
        <w:r w:rsidRPr="00B7739C">
          <w:rPr>
            <w:rStyle w:val="Hyperlink"/>
            <w:rFonts w:cs="Arial"/>
            <w:sz w:val="18"/>
            <w:szCs w:val="18"/>
          </w:rPr>
          <w:t>/safe-shipping-a-forgotten-aspect-of-maritime-security-in-the-pacific</w:t>
        </w:r>
      </w:hyperlink>
    </w:p>
  </w:footnote>
  <w:footnote w:id="12">
    <w:p w14:paraId="3F6739B2" w14:textId="03B88110" w:rsidR="00730ACC" w:rsidRDefault="00730ACC" w:rsidP="00BA3CF3">
      <w:pPr>
        <w:pStyle w:val="FootnoteText"/>
        <w:rPr>
          <w:rFonts w:ascii="Arial" w:hAnsi="Arial" w:cs="Arial"/>
          <w:sz w:val="18"/>
          <w:szCs w:val="18"/>
        </w:rPr>
      </w:pPr>
      <w:r w:rsidRPr="00EF0055">
        <w:rPr>
          <w:rStyle w:val="FootnoteReference"/>
          <w:rFonts w:cs="Arial"/>
          <w:sz w:val="18"/>
          <w:szCs w:val="18"/>
        </w:rPr>
        <w:footnoteRef/>
      </w:r>
      <w:r w:rsidRPr="00EF0055">
        <w:rPr>
          <w:rFonts w:cs="Arial"/>
          <w:sz w:val="18"/>
          <w:szCs w:val="18"/>
        </w:rPr>
        <w:t xml:space="preserve"> Royal Australian Navy, 2021, </w:t>
      </w:r>
      <w:hyperlink r:id="rId9" w:history="1">
        <w:r w:rsidRPr="00284CB9">
          <w:rPr>
            <w:rStyle w:val="Hyperlink"/>
            <w:rFonts w:cs="Arial"/>
            <w:sz w:val="18"/>
            <w:szCs w:val="18"/>
          </w:rPr>
          <w:t>seapower.</w:t>
        </w:r>
        <w:r w:rsidRPr="00697BE2">
          <w:rPr>
            <w:rStyle w:val="Hyperlink"/>
            <w:rFonts w:cs="Arial"/>
            <w:sz w:val="18"/>
            <w:szCs w:val="18"/>
          </w:rPr>
          <w:t>navy.gov.au</w:t>
        </w:r>
        <w:r w:rsidRPr="00284CB9">
          <w:rPr>
            <w:rStyle w:val="Hyperlink"/>
            <w:rFonts w:cs="Arial"/>
            <w:sz w:val="18"/>
            <w:szCs w:val="18"/>
          </w:rPr>
          <w:t>/media-room/publications/soundings-42</w:t>
        </w:r>
      </w:hyperlink>
    </w:p>
  </w:footnote>
  <w:footnote w:id="13">
    <w:p w14:paraId="761D2D6A" w14:textId="52E47428" w:rsidR="00730ACC" w:rsidRPr="00EF0055" w:rsidRDefault="00730ACC" w:rsidP="00BA3CF3">
      <w:pPr>
        <w:pStyle w:val="FootnoteText"/>
        <w:rPr>
          <w:sz w:val="18"/>
          <w:szCs w:val="18"/>
        </w:rPr>
      </w:pPr>
      <w:r w:rsidRPr="00EF0055">
        <w:rPr>
          <w:rStyle w:val="FootnoteReference"/>
          <w:rFonts w:cs="Arial"/>
          <w:sz w:val="18"/>
          <w:szCs w:val="18"/>
        </w:rPr>
        <w:footnoteRef/>
      </w:r>
      <w:r w:rsidRPr="00EF0055">
        <w:rPr>
          <w:rFonts w:cs="Arial"/>
          <w:sz w:val="18"/>
          <w:szCs w:val="18"/>
        </w:rPr>
        <w:t xml:space="preserve"> Defence Teaming Centre, Submission 61, </w:t>
      </w:r>
      <w:hyperlink r:id="rId10" w:history="1">
        <w:r w:rsidRPr="00284CB9">
          <w:rPr>
            <w:rStyle w:val="Hyperlink"/>
            <w:rFonts w:cs="Arial"/>
            <w:sz w:val="18"/>
            <w:szCs w:val="18"/>
          </w:rPr>
          <w:t>aph.gov.au/implications-of-covid-19/supply-chain-integrity</w:t>
        </w:r>
      </w:hyperlink>
      <w:r w:rsidRPr="00EF0055">
        <w:rPr>
          <w:rFonts w:cs="Arial"/>
          <w:sz w:val="18"/>
          <w:szCs w:val="18"/>
        </w:rPr>
        <w:t>, p. 3</w:t>
      </w:r>
    </w:p>
  </w:footnote>
  <w:footnote w:id="14">
    <w:p w14:paraId="58642DD9" w14:textId="54CE1EB4" w:rsidR="00730ACC" w:rsidRDefault="00730ACC">
      <w:pPr>
        <w:pStyle w:val="FootnoteText"/>
      </w:pPr>
      <w:r>
        <w:rPr>
          <w:rStyle w:val="FootnoteReference"/>
        </w:rPr>
        <w:footnoteRef/>
      </w:r>
      <w:r>
        <w:t xml:space="preserve"> </w:t>
      </w:r>
      <w:r w:rsidRPr="00697BE2">
        <w:rPr>
          <w:sz w:val="18"/>
        </w:rPr>
        <w:t xml:space="preserve">Climate change synthesis report, Intergovernmental Panel on Climate Change, 2023, </w:t>
      </w:r>
      <w:hyperlink r:id="rId11" w:history="1">
        <w:r w:rsidRPr="00697BE2">
          <w:rPr>
            <w:rStyle w:val="Hyperlink"/>
            <w:sz w:val="18"/>
          </w:rPr>
          <w:t>www.ipcc.ch/climate-change-synthesis-report</w:t>
        </w:r>
      </w:hyperlink>
      <w:r>
        <w:rPr>
          <w:sz w:val="18"/>
        </w:rPr>
        <w:t xml:space="preserve"> p</w:t>
      </w:r>
      <w:r w:rsidRPr="00697BE2">
        <w:rPr>
          <w:sz w:val="18"/>
        </w:rPr>
        <w:t>. 7</w:t>
      </w:r>
    </w:p>
  </w:footnote>
  <w:footnote w:id="15">
    <w:p w14:paraId="163FBEDE" w14:textId="5BE21942" w:rsidR="00730ACC" w:rsidRDefault="00730ACC">
      <w:pPr>
        <w:pStyle w:val="FootnoteText"/>
      </w:pPr>
      <w:r>
        <w:rPr>
          <w:rStyle w:val="FootnoteReference"/>
        </w:rPr>
        <w:footnoteRef/>
      </w:r>
      <w:r>
        <w:t xml:space="preserve"> </w:t>
      </w:r>
      <w:r w:rsidRPr="00697BE2">
        <w:rPr>
          <w:sz w:val="18"/>
        </w:rPr>
        <w:t xml:space="preserve">Climate change synthesis report, Intergovernmental Panel on Climate Change, 2023, </w:t>
      </w:r>
      <w:hyperlink r:id="rId12" w:history="1">
        <w:r w:rsidRPr="00697BE2">
          <w:rPr>
            <w:rStyle w:val="Hyperlink"/>
            <w:sz w:val="18"/>
          </w:rPr>
          <w:t>www.ipcc.ch/climate-change-synthesis-report</w:t>
        </w:r>
      </w:hyperlink>
      <w:r>
        <w:rPr>
          <w:sz w:val="18"/>
        </w:rPr>
        <w:t xml:space="preserve"> p</w:t>
      </w:r>
      <w:r w:rsidRPr="00697BE2">
        <w:rPr>
          <w:sz w:val="18"/>
        </w:rPr>
        <w:t>. 7</w:t>
      </w:r>
    </w:p>
  </w:footnote>
  <w:footnote w:id="16">
    <w:p w14:paraId="268A06BE" w14:textId="5AE0E920" w:rsidR="00730ACC" w:rsidRDefault="00730ACC">
      <w:pPr>
        <w:pStyle w:val="FootnoteText"/>
      </w:pPr>
      <w:r>
        <w:rPr>
          <w:rStyle w:val="FootnoteReference"/>
        </w:rPr>
        <w:footnoteRef/>
      </w:r>
      <w:r>
        <w:t xml:space="preserve"> </w:t>
      </w:r>
      <w:r w:rsidRPr="00697BE2">
        <w:rPr>
          <w:sz w:val="18"/>
        </w:rPr>
        <w:t xml:space="preserve">Climate change synthesis report, Intergovernmental Panel on Climate Change, 2023, </w:t>
      </w:r>
      <w:hyperlink r:id="rId13" w:history="1">
        <w:r w:rsidRPr="00697BE2">
          <w:rPr>
            <w:rStyle w:val="Hyperlink"/>
            <w:sz w:val="18"/>
          </w:rPr>
          <w:t>www.ipcc.ch/climate-change-synthesis-report</w:t>
        </w:r>
      </w:hyperlink>
      <w:r>
        <w:rPr>
          <w:sz w:val="18"/>
        </w:rPr>
        <w:t xml:space="preserve"> p. 6</w:t>
      </w:r>
    </w:p>
  </w:footnote>
  <w:footnote w:id="17">
    <w:p w14:paraId="1831746D" w14:textId="59DACC10" w:rsidR="00730ACC" w:rsidRPr="00205026" w:rsidRDefault="00730ACC" w:rsidP="00D852AA">
      <w:pPr>
        <w:pStyle w:val="FootnoteText"/>
        <w:rPr>
          <w:sz w:val="18"/>
        </w:rPr>
      </w:pPr>
      <w:r w:rsidRPr="00205026">
        <w:rPr>
          <w:rStyle w:val="FootnoteReference"/>
          <w:sz w:val="18"/>
        </w:rPr>
        <w:footnoteRef/>
      </w:r>
      <w:r w:rsidRPr="00205026">
        <w:rPr>
          <w:sz w:val="18"/>
        </w:rPr>
        <w:t xml:space="preserve"> </w:t>
      </w:r>
      <w:r>
        <w:rPr>
          <w:sz w:val="18"/>
        </w:rPr>
        <w:t xml:space="preserve">Cyber threat report 2023, </w:t>
      </w:r>
      <w:r w:rsidRPr="00205026">
        <w:rPr>
          <w:sz w:val="18"/>
        </w:rPr>
        <w:t>ASD</w:t>
      </w:r>
      <w:r>
        <w:rPr>
          <w:sz w:val="18"/>
        </w:rPr>
        <w:t>’s</w:t>
      </w:r>
      <w:r w:rsidRPr="00205026">
        <w:rPr>
          <w:sz w:val="18"/>
        </w:rPr>
        <w:t xml:space="preserve"> ACSC,</w:t>
      </w:r>
      <w:r>
        <w:rPr>
          <w:sz w:val="18"/>
        </w:rPr>
        <w:t xml:space="preserve"> 2023,</w:t>
      </w:r>
      <w:r w:rsidRPr="00205026">
        <w:rPr>
          <w:sz w:val="18"/>
        </w:rPr>
        <w:t xml:space="preserve"> </w:t>
      </w:r>
      <w:hyperlink r:id="rId14" w:history="1">
        <w:r w:rsidRPr="00AF12BD">
          <w:rPr>
            <w:rStyle w:val="Hyperlink"/>
            <w:rFonts w:cs="Arial"/>
            <w:sz w:val="16"/>
            <w:szCs w:val="18"/>
          </w:rPr>
          <w:t>www.cyber.gov.au/cyber-threat-report-2023</w:t>
        </w:r>
      </w:hyperlink>
    </w:p>
  </w:footnote>
  <w:footnote w:id="18">
    <w:p w14:paraId="3C4C456D" w14:textId="7B2E62B2" w:rsidR="00730ACC" w:rsidRDefault="00730ACC" w:rsidP="00D852AA">
      <w:pPr>
        <w:pStyle w:val="FootnoteText"/>
      </w:pPr>
      <w:r w:rsidRPr="00205026">
        <w:rPr>
          <w:rStyle w:val="FootnoteReference"/>
          <w:sz w:val="18"/>
        </w:rPr>
        <w:footnoteRef/>
      </w:r>
      <w:r w:rsidRPr="00205026">
        <w:rPr>
          <w:sz w:val="18"/>
        </w:rPr>
        <w:t xml:space="preserve"> </w:t>
      </w:r>
      <w:r>
        <w:rPr>
          <w:sz w:val="18"/>
        </w:rPr>
        <w:t xml:space="preserve">Cyber threat report 2023, </w:t>
      </w:r>
      <w:r w:rsidRPr="00205026">
        <w:rPr>
          <w:sz w:val="18"/>
        </w:rPr>
        <w:t>ASD</w:t>
      </w:r>
      <w:r>
        <w:rPr>
          <w:sz w:val="18"/>
        </w:rPr>
        <w:t>’s</w:t>
      </w:r>
      <w:r w:rsidRPr="00205026">
        <w:rPr>
          <w:sz w:val="18"/>
        </w:rPr>
        <w:t xml:space="preserve"> ACSC,</w:t>
      </w:r>
      <w:r>
        <w:rPr>
          <w:sz w:val="18"/>
        </w:rPr>
        <w:t xml:space="preserve"> 2023,</w:t>
      </w:r>
      <w:r w:rsidRPr="00205026">
        <w:rPr>
          <w:sz w:val="18"/>
        </w:rPr>
        <w:t xml:space="preserve"> </w:t>
      </w:r>
      <w:hyperlink r:id="rId15" w:history="1">
        <w:r w:rsidRPr="00AF12BD">
          <w:rPr>
            <w:rStyle w:val="Hyperlink"/>
            <w:rFonts w:cs="Arial"/>
            <w:sz w:val="16"/>
            <w:szCs w:val="18"/>
          </w:rPr>
          <w:t>www.cyber.gov.au/cyber-threat-report-2023</w:t>
        </w:r>
      </w:hyperlink>
    </w:p>
  </w:footnote>
  <w:footnote w:id="19">
    <w:p w14:paraId="5510398B" w14:textId="37436279" w:rsidR="00730ACC" w:rsidRDefault="00730ACC">
      <w:pPr>
        <w:pStyle w:val="FootnoteText"/>
      </w:pPr>
      <w:r>
        <w:rPr>
          <w:rStyle w:val="FootnoteReference"/>
        </w:rPr>
        <w:footnoteRef/>
      </w:r>
      <w:r>
        <w:t xml:space="preserve"> </w:t>
      </w:r>
      <w:r w:rsidRPr="00EF0055">
        <w:rPr>
          <w:rStyle w:val="normaltextrun"/>
          <w:rFonts w:cs="Arial"/>
          <w:sz w:val="18"/>
          <w:szCs w:val="18"/>
          <w:shd w:val="clear" w:color="auto" w:fill="FFFFFF"/>
        </w:rPr>
        <w:t xml:space="preserve">Critical Infrastructure Annual Risk Review </w:t>
      </w:r>
      <w:r>
        <w:rPr>
          <w:rStyle w:val="normaltextrun"/>
          <w:rFonts w:cs="Arial"/>
          <w:sz w:val="18"/>
          <w:szCs w:val="18"/>
          <w:shd w:val="clear" w:color="auto" w:fill="FFFFFF"/>
        </w:rPr>
        <w:t>,</w:t>
      </w:r>
      <w:r w:rsidRPr="00EF0055">
        <w:rPr>
          <w:rStyle w:val="normaltextrun"/>
          <w:rFonts w:cs="Arial"/>
          <w:sz w:val="18"/>
          <w:szCs w:val="18"/>
          <w:shd w:val="clear" w:color="auto" w:fill="FFFFFF"/>
        </w:rPr>
        <w:t>CISC, 2023, </w:t>
      </w:r>
      <w:hyperlink r:id="rId16" w:tgtFrame="_blank" w:history="1">
        <w:r w:rsidRPr="00AF12BD">
          <w:rPr>
            <w:rStyle w:val="Hyperlink"/>
            <w:rFonts w:cs="Arial"/>
            <w:sz w:val="18"/>
            <w:szCs w:val="18"/>
            <w:shd w:val="clear" w:color="auto" w:fill="FFFFFF"/>
          </w:rPr>
          <w:t>cisc.gov.au/critical-infrastructure-annual-risk-review</w:t>
        </w:r>
      </w:hyperlink>
    </w:p>
  </w:footnote>
  <w:footnote w:id="20">
    <w:p w14:paraId="6A7C6641" w14:textId="5CC327C1" w:rsidR="00730ACC" w:rsidRPr="00EF0055" w:rsidRDefault="00730ACC" w:rsidP="00681647">
      <w:pPr>
        <w:pStyle w:val="FootnoteText"/>
        <w:rPr>
          <w:rFonts w:cs="Arial"/>
          <w:sz w:val="18"/>
          <w:szCs w:val="18"/>
        </w:rPr>
      </w:pPr>
      <w:r w:rsidRPr="00EF0055">
        <w:rPr>
          <w:rStyle w:val="FootnoteReference"/>
          <w:rFonts w:cs="Arial"/>
          <w:sz w:val="18"/>
          <w:szCs w:val="18"/>
        </w:rPr>
        <w:footnoteRef/>
      </w:r>
      <w:r w:rsidRPr="00EF0055">
        <w:rPr>
          <w:rFonts w:cs="Arial"/>
          <w:sz w:val="18"/>
          <w:szCs w:val="18"/>
        </w:rPr>
        <w:t xml:space="preserve"> </w:t>
      </w:r>
      <w:r w:rsidRPr="00EF0055">
        <w:rPr>
          <w:rStyle w:val="normaltextrun"/>
          <w:rFonts w:cs="Arial"/>
          <w:sz w:val="18"/>
          <w:szCs w:val="18"/>
          <w:shd w:val="clear" w:color="auto" w:fill="FFFFFF"/>
        </w:rPr>
        <w:t xml:space="preserve">Critical Infrastructure Annual Risk Review </w:t>
      </w:r>
      <w:r>
        <w:rPr>
          <w:rStyle w:val="normaltextrun"/>
          <w:rFonts w:cs="Arial"/>
          <w:sz w:val="18"/>
          <w:szCs w:val="18"/>
          <w:shd w:val="clear" w:color="auto" w:fill="FFFFFF"/>
        </w:rPr>
        <w:t>,</w:t>
      </w:r>
      <w:r w:rsidRPr="00EF0055">
        <w:rPr>
          <w:rStyle w:val="normaltextrun"/>
          <w:rFonts w:cs="Arial"/>
          <w:sz w:val="18"/>
          <w:szCs w:val="18"/>
          <w:shd w:val="clear" w:color="auto" w:fill="FFFFFF"/>
        </w:rPr>
        <w:t>CISC, 2023, </w:t>
      </w:r>
      <w:hyperlink r:id="rId17" w:tgtFrame="_blank" w:history="1">
        <w:r w:rsidRPr="00AF12BD">
          <w:rPr>
            <w:rStyle w:val="Hyperlink"/>
            <w:rFonts w:cs="Arial"/>
            <w:sz w:val="18"/>
            <w:szCs w:val="18"/>
            <w:shd w:val="clear" w:color="auto" w:fill="FFFFFF"/>
          </w:rPr>
          <w:t>cisc.gov.au/critical-infrastructure-annual-risk-review</w:t>
        </w:r>
      </w:hyperlink>
    </w:p>
  </w:footnote>
  <w:footnote w:id="21">
    <w:p w14:paraId="416BC6DF" w14:textId="7F35AEAB" w:rsidR="00730ACC" w:rsidRPr="00EF0055" w:rsidRDefault="00730ACC" w:rsidP="00681647">
      <w:pPr>
        <w:pStyle w:val="FootnoteText"/>
        <w:rPr>
          <w:rFonts w:cs="Arial"/>
          <w:sz w:val="18"/>
          <w:szCs w:val="18"/>
        </w:rPr>
      </w:pPr>
      <w:r w:rsidRPr="00EF0055">
        <w:rPr>
          <w:rStyle w:val="FootnoteReference"/>
          <w:rFonts w:cs="Arial"/>
          <w:sz w:val="18"/>
          <w:szCs w:val="18"/>
        </w:rPr>
        <w:footnoteRef/>
      </w:r>
      <w:r w:rsidRPr="00EF0055">
        <w:rPr>
          <w:rFonts w:cs="Arial"/>
          <w:sz w:val="18"/>
          <w:szCs w:val="18"/>
        </w:rPr>
        <w:t xml:space="preserve"> </w:t>
      </w:r>
      <w:r>
        <w:rPr>
          <w:rFonts w:cs="Arial"/>
          <w:sz w:val="18"/>
          <w:szCs w:val="18"/>
        </w:rPr>
        <w:t xml:space="preserve">Trends and issues in crime and criminal justice, </w:t>
      </w:r>
      <w:r>
        <w:rPr>
          <w:rStyle w:val="normaltextrun"/>
          <w:rFonts w:cs="Arial"/>
          <w:sz w:val="18"/>
          <w:szCs w:val="18"/>
          <w:shd w:val="clear" w:color="auto" w:fill="FFFFFF"/>
        </w:rPr>
        <w:t>AIC, 2023,</w:t>
      </w:r>
      <w:r w:rsidRPr="00EF0055">
        <w:rPr>
          <w:rStyle w:val="normaltextrun"/>
          <w:rFonts w:cs="Arial"/>
          <w:sz w:val="18"/>
          <w:szCs w:val="18"/>
          <w:shd w:val="clear" w:color="auto" w:fill="FFFFFF"/>
        </w:rPr>
        <w:t> </w:t>
      </w:r>
      <w:hyperlink r:id="rId18" w:tgtFrame="_blank" w:history="1">
        <w:r w:rsidRPr="00BA0778">
          <w:rPr>
            <w:rStyle w:val="Hyperlink"/>
            <w:rFonts w:cs="Arial"/>
            <w:sz w:val="18"/>
            <w:szCs w:val="18"/>
            <w:shd w:val="clear" w:color="auto" w:fill="FFFFFF"/>
          </w:rPr>
          <w:t>aic.gov.au/trends-and-issues-in-crime-and-criminal-justice</w:t>
        </w:r>
      </w:hyperlink>
      <w:r w:rsidRPr="00EF0055">
        <w:rPr>
          <w:rStyle w:val="eop"/>
          <w:rFonts w:cs="Arial"/>
          <w:sz w:val="18"/>
          <w:szCs w:val="18"/>
          <w:shd w:val="clear" w:color="auto" w:fill="FFFFFF"/>
        </w:rPr>
        <w:t> </w:t>
      </w:r>
    </w:p>
  </w:footnote>
  <w:footnote w:id="22">
    <w:p w14:paraId="5EB92B22" w14:textId="67BE01E2" w:rsidR="00730ACC" w:rsidRPr="00EF0055" w:rsidRDefault="00730ACC" w:rsidP="00681647">
      <w:pPr>
        <w:pStyle w:val="FootnoteText"/>
        <w:rPr>
          <w:rFonts w:cs="Arial"/>
          <w:sz w:val="18"/>
          <w:szCs w:val="18"/>
        </w:rPr>
      </w:pPr>
      <w:r w:rsidRPr="00EF0055">
        <w:rPr>
          <w:rStyle w:val="FootnoteReference"/>
          <w:rFonts w:cs="Arial"/>
          <w:sz w:val="18"/>
          <w:szCs w:val="18"/>
        </w:rPr>
        <w:footnoteRef/>
      </w:r>
      <w:r w:rsidRPr="00EF0055">
        <w:rPr>
          <w:rFonts w:cs="Arial"/>
          <w:sz w:val="18"/>
          <w:szCs w:val="18"/>
        </w:rPr>
        <w:t xml:space="preserve"> Protective Security Policy Framework</w:t>
      </w:r>
      <w:r>
        <w:rPr>
          <w:rFonts w:cs="Arial"/>
          <w:sz w:val="18"/>
          <w:szCs w:val="18"/>
        </w:rPr>
        <w:t xml:space="preserve">, </w:t>
      </w:r>
      <w:r w:rsidRPr="00EF0055">
        <w:rPr>
          <w:rFonts w:cs="Arial"/>
          <w:sz w:val="18"/>
          <w:szCs w:val="18"/>
        </w:rPr>
        <w:t>AGD</w:t>
      </w:r>
      <w:r>
        <w:rPr>
          <w:rFonts w:cs="Arial"/>
          <w:sz w:val="18"/>
          <w:szCs w:val="18"/>
        </w:rPr>
        <w:t xml:space="preserve">, </w:t>
      </w:r>
      <w:hyperlink r:id="rId19" w:history="1">
        <w:r w:rsidRPr="00697BE2">
          <w:rPr>
            <w:rStyle w:val="Hyperlink"/>
            <w:rFonts w:cs="Arial"/>
            <w:sz w:val="18"/>
            <w:szCs w:val="18"/>
          </w:rPr>
          <w:t>protectivesecurity.gov.au</w:t>
        </w:r>
        <w:r w:rsidRPr="00BA0778">
          <w:rPr>
            <w:rStyle w:val="Hyperlink"/>
            <w:rFonts w:cs="Arial"/>
            <w:sz w:val="18"/>
            <w:szCs w:val="18"/>
          </w:rPr>
          <w:t>/protective-security-policy-framework</w:t>
        </w:r>
      </w:hyperlink>
    </w:p>
  </w:footnote>
  <w:footnote w:id="23">
    <w:p w14:paraId="00B89431" w14:textId="602A5EB7" w:rsidR="00730ACC" w:rsidRPr="00EF0055" w:rsidRDefault="00730ACC" w:rsidP="00681647">
      <w:pPr>
        <w:pStyle w:val="FootnoteText"/>
        <w:rPr>
          <w:rFonts w:cs="Arial"/>
          <w:sz w:val="18"/>
          <w:szCs w:val="18"/>
        </w:rPr>
      </w:pPr>
      <w:r w:rsidRPr="00EF0055">
        <w:rPr>
          <w:rStyle w:val="FootnoteReference"/>
          <w:rFonts w:cs="Arial"/>
          <w:sz w:val="18"/>
          <w:szCs w:val="18"/>
        </w:rPr>
        <w:footnoteRef/>
      </w:r>
      <w:r>
        <w:rPr>
          <w:rFonts w:cs="Arial"/>
          <w:sz w:val="18"/>
          <w:szCs w:val="18"/>
        </w:rPr>
        <w:t xml:space="preserve"> Transport and Supply chain ecosystems, World Economic Forum, 2024, </w:t>
      </w:r>
      <w:hyperlink r:id="rId20" w:anchor=":~:text=Transport%20plays%20a%20vital%20role%20in%20connecting%20global%20economies%2C%20with,for%20organizations%20and%20entire%20economies." w:history="1">
        <w:r w:rsidRPr="009019BB">
          <w:rPr>
            <w:rStyle w:val="Hyperlink"/>
            <w:rFonts w:cs="Arial"/>
            <w:sz w:val="18"/>
            <w:szCs w:val="18"/>
          </w:rPr>
          <w:t>weforum.org/transport-and-supply-chain-ecosystems-increasingly-digitized-and-automated</w:t>
        </w:r>
      </w:hyperlink>
    </w:p>
  </w:footnote>
  <w:footnote w:id="24">
    <w:p w14:paraId="4419D14D" w14:textId="5615450A" w:rsidR="00730ACC" w:rsidRPr="0022690C" w:rsidRDefault="00730ACC">
      <w:pPr>
        <w:pStyle w:val="FootnoteText"/>
        <w:rPr>
          <w:rFonts w:cs="Arial"/>
          <w:sz w:val="18"/>
          <w:szCs w:val="18"/>
        </w:rPr>
      </w:pPr>
      <w:r w:rsidRPr="007719A0">
        <w:rPr>
          <w:rStyle w:val="FootnoteReference"/>
          <w:sz w:val="18"/>
        </w:rPr>
        <w:footnoteRef/>
      </w:r>
      <w:r>
        <w:t xml:space="preserve"> </w:t>
      </w:r>
      <w:r>
        <w:rPr>
          <w:sz w:val="18"/>
          <w:szCs w:val="18"/>
        </w:rPr>
        <w:t xml:space="preserve">Cyber Security and Resilience Symposium, </w:t>
      </w:r>
      <w:r w:rsidRPr="003E68E0">
        <w:rPr>
          <w:sz w:val="18"/>
          <w:szCs w:val="18"/>
        </w:rPr>
        <w:t xml:space="preserve">ICAO, </w:t>
      </w:r>
      <w:r>
        <w:rPr>
          <w:sz w:val="18"/>
          <w:szCs w:val="18"/>
        </w:rPr>
        <w:t>2023,</w:t>
      </w:r>
      <w:r w:rsidRPr="00E97350">
        <w:rPr>
          <w:rStyle w:val="Hyperlink"/>
          <w:sz w:val="18"/>
          <w:szCs w:val="18"/>
        </w:rPr>
        <w:t xml:space="preserve"> </w:t>
      </w:r>
      <w:hyperlink r:id="rId21" w:history="1">
        <w:r w:rsidRPr="00E97350">
          <w:rPr>
            <w:rStyle w:val="Hyperlink"/>
            <w:sz w:val="18"/>
            <w:szCs w:val="18"/>
          </w:rPr>
          <w:t>http://www.icao.net/cybersecurity-and-resilience-symposism-presentation</w:t>
        </w:r>
      </w:hyperlink>
      <w:r>
        <w:rPr>
          <w:rStyle w:val="Hyperlink"/>
          <w:sz w:val="18"/>
          <w:szCs w:val="18"/>
        </w:rPr>
        <w:t>,</w:t>
      </w:r>
      <w:r w:rsidRPr="00DF7F28">
        <w:rPr>
          <w:rStyle w:val="Hyperlink"/>
          <w:sz w:val="18"/>
          <w:szCs w:val="18"/>
          <w:u w:val="none"/>
        </w:rPr>
        <w:t xml:space="preserve"> </w:t>
      </w:r>
      <w:r>
        <w:rPr>
          <w:sz w:val="18"/>
        </w:rPr>
        <w:t>p</w:t>
      </w:r>
      <w:r w:rsidRPr="003E68E0">
        <w:rPr>
          <w:sz w:val="18"/>
        </w:rPr>
        <w:t>. 7</w:t>
      </w:r>
      <w:r w:rsidRPr="00EF0055">
        <w:rPr>
          <w:rStyle w:val="eop"/>
          <w:rFonts w:cs="Arial"/>
          <w:sz w:val="18"/>
          <w:szCs w:val="18"/>
          <w:shd w:val="clear" w:color="auto" w:fill="FFFFFF"/>
        </w:rPr>
        <w:t> </w:t>
      </w:r>
    </w:p>
  </w:footnote>
  <w:footnote w:id="25">
    <w:p w14:paraId="0685ED23" w14:textId="3B090D33" w:rsidR="00730ACC" w:rsidRPr="00D92F36" w:rsidRDefault="00730ACC" w:rsidP="00D145CC">
      <w:pPr>
        <w:pStyle w:val="FootnoteText"/>
        <w:rPr>
          <w:rFonts w:ascii="Arial" w:hAnsi="Arial" w:cs="Arial"/>
          <w:sz w:val="18"/>
          <w:szCs w:val="18"/>
        </w:rPr>
      </w:pPr>
      <w:r w:rsidRPr="00D92F36">
        <w:rPr>
          <w:rStyle w:val="FootnoteReference"/>
          <w:rFonts w:cs="Arial"/>
          <w:sz w:val="18"/>
          <w:szCs w:val="18"/>
        </w:rPr>
        <w:footnoteRef/>
      </w:r>
      <w:r w:rsidRPr="00D92F36">
        <w:rPr>
          <w:rFonts w:cs="Arial"/>
          <w:sz w:val="18"/>
          <w:szCs w:val="18"/>
        </w:rPr>
        <w:t xml:space="preserve"> The World Bank, </w:t>
      </w:r>
      <w:r>
        <w:rPr>
          <w:rFonts w:cs="Arial"/>
          <w:sz w:val="18"/>
          <w:szCs w:val="18"/>
        </w:rPr>
        <w:t>2021,</w:t>
      </w:r>
      <w:r w:rsidRPr="00D92F36">
        <w:rPr>
          <w:rFonts w:cs="Arial"/>
          <w:sz w:val="18"/>
          <w:szCs w:val="18"/>
        </w:rPr>
        <w:t xml:space="preserve"> </w:t>
      </w:r>
      <w:hyperlink r:id="rId22" w:history="1">
        <w:r>
          <w:rPr>
            <w:rStyle w:val="Hyperlink"/>
            <w:sz w:val="18"/>
            <w:szCs w:val="18"/>
          </w:rPr>
          <w:t>https://databank.worldbank.org/source/world-development-indicators</w:t>
        </w:r>
      </w:hyperlink>
    </w:p>
  </w:footnote>
  <w:footnote w:id="26">
    <w:p w14:paraId="5AE701AC" w14:textId="6267AADF" w:rsidR="00730ACC" w:rsidRPr="00E34C79" w:rsidRDefault="00730ACC" w:rsidP="00BA3CF3">
      <w:pPr>
        <w:pStyle w:val="FootnoteText"/>
        <w:rPr>
          <w:rFonts w:cs="Arial"/>
          <w:sz w:val="18"/>
          <w:szCs w:val="18"/>
        </w:rPr>
      </w:pPr>
      <w:r w:rsidRPr="00E34C79">
        <w:rPr>
          <w:rStyle w:val="FootnoteReference"/>
          <w:rFonts w:cs="Arial"/>
          <w:sz w:val="18"/>
          <w:szCs w:val="18"/>
        </w:rPr>
        <w:footnoteRef/>
      </w:r>
      <w:r w:rsidRPr="00E34C79">
        <w:rPr>
          <w:rFonts w:cs="Arial"/>
          <w:sz w:val="18"/>
          <w:szCs w:val="18"/>
        </w:rPr>
        <w:t xml:space="preserve"> </w:t>
      </w:r>
      <w:r>
        <w:rPr>
          <w:rFonts w:cs="Arial"/>
          <w:sz w:val="18"/>
          <w:szCs w:val="18"/>
        </w:rPr>
        <w:t xml:space="preserve">World development indicators data series, </w:t>
      </w:r>
      <w:r w:rsidRPr="00D92F36">
        <w:rPr>
          <w:rFonts w:cs="Arial"/>
          <w:sz w:val="18"/>
          <w:szCs w:val="18"/>
        </w:rPr>
        <w:t xml:space="preserve">The World Bank, </w:t>
      </w:r>
      <w:r>
        <w:rPr>
          <w:rFonts w:cs="Arial"/>
          <w:sz w:val="18"/>
          <w:szCs w:val="18"/>
        </w:rPr>
        <w:t>2021,</w:t>
      </w:r>
      <w:r w:rsidRPr="00D92F36">
        <w:rPr>
          <w:rFonts w:cs="Arial"/>
          <w:sz w:val="18"/>
          <w:szCs w:val="18"/>
        </w:rPr>
        <w:t xml:space="preserve"> </w:t>
      </w:r>
      <w:hyperlink r:id="rId23" w:history="1">
        <w:r w:rsidRPr="009019BB">
          <w:rPr>
            <w:rStyle w:val="Hyperlink"/>
            <w:sz w:val="18"/>
            <w:szCs w:val="18"/>
          </w:rPr>
          <w:t>worldbank.org/world-development-indicators</w:t>
        </w:r>
      </w:hyperlink>
    </w:p>
  </w:footnote>
  <w:footnote w:id="27">
    <w:p w14:paraId="6B3818E5" w14:textId="2C4D2D5D" w:rsidR="00730ACC" w:rsidRDefault="00730ACC" w:rsidP="00BA3CF3">
      <w:pPr>
        <w:pStyle w:val="FootnoteText"/>
      </w:pPr>
      <w:r w:rsidRPr="00E34C79">
        <w:rPr>
          <w:rStyle w:val="FootnoteReference"/>
          <w:rFonts w:cs="Arial"/>
          <w:sz w:val="18"/>
          <w:szCs w:val="18"/>
        </w:rPr>
        <w:footnoteRef/>
      </w:r>
      <w:r w:rsidRPr="00E34C79">
        <w:rPr>
          <w:rFonts w:cs="Arial"/>
          <w:sz w:val="18"/>
          <w:szCs w:val="18"/>
        </w:rPr>
        <w:t xml:space="preserve"> </w:t>
      </w:r>
      <w:r>
        <w:rPr>
          <w:rFonts w:cs="Arial"/>
          <w:sz w:val="18"/>
          <w:szCs w:val="18"/>
        </w:rPr>
        <w:t xml:space="preserve">Port State Control Annual Report, </w:t>
      </w:r>
      <w:r w:rsidRPr="00D92F36">
        <w:rPr>
          <w:rFonts w:cs="Arial"/>
          <w:sz w:val="18"/>
          <w:szCs w:val="18"/>
        </w:rPr>
        <w:t>A</w:t>
      </w:r>
      <w:r>
        <w:rPr>
          <w:rFonts w:cs="Arial"/>
          <w:sz w:val="18"/>
          <w:szCs w:val="18"/>
        </w:rPr>
        <w:t xml:space="preserve">ustralian </w:t>
      </w:r>
      <w:r w:rsidRPr="00D92F36">
        <w:rPr>
          <w:rFonts w:cs="Arial"/>
          <w:sz w:val="18"/>
          <w:szCs w:val="18"/>
        </w:rPr>
        <w:t>M</w:t>
      </w:r>
      <w:r>
        <w:rPr>
          <w:rFonts w:cs="Arial"/>
          <w:sz w:val="18"/>
          <w:szCs w:val="18"/>
        </w:rPr>
        <w:t xml:space="preserve">aritime </w:t>
      </w:r>
      <w:r w:rsidRPr="00D92F36">
        <w:rPr>
          <w:rFonts w:cs="Arial"/>
          <w:sz w:val="18"/>
          <w:szCs w:val="18"/>
        </w:rPr>
        <w:t>S</w:t>
      </w:r>
      <w:r>
        <w:rPr>
          <w:rFonts w:cs="Arial"/>
          <w:sz w:val="18"/>
          <w:szCs w:val="18"/>
        </w:rPr>
        <w:t xml:space="preserve">afety </w:t>
      </w:r>
      <w:r w:rsidRPr="00D92F36">
        <w:rPr>
          <w:rFonts w:cs="Arial"/>
          <w:sz w:val="18"/>
          <w:szCs w:val="18"/>
        </w:rPr>
        <w:t>A</w:t>
      </w:r>
      <w:r>
        <w:rPr>
          <w:rFonts w:cs="Arial"/>
          <w:sz w:val="18"/>
          <w:szCs w:val="18"/>
        </w:rPr>
        <w:t>uthority</w:t>
      </w:r>
      <w:r w:rsidRPr="00D92F36">
        <w:rPr>
          <w:rFonts w:cs="Arial"/>
          <w:sz w:val="18"/>
          <w:szCs w:val="18"/>
        </w:rPr>
        <w:t xml:space="preserve">, 2021, </w:t>
      </w:r>
      <w:hyperlink r:id="rId24" w:history="1">
        <w:r w:rsidRPr="006A700E">
          <w:rPr>
            <w:rStyle w:val="Hyperlink"/>
            <w:sz w:val="18"/>
            <w:szCs w:val="18"/>
          </w:rPr>
          <w:t>amsa.gov.au/port-state-control-australia-annual-report-2021</w:t>
        </w:r>
      </w:hyperlink>
    </w:p>
  </w:footnote>
  <w:footnote w:id="28">
    <w:p w14:paraId="26DA4E67" w14:textId="6ECEB4E8" w:rsidR="00730ACC" w:rsidRPr="00A76E48" w:rsidRDefault="00730ACC">
      <w:pPr>
        <w:pStyle w:val="FootnoteText"/>
        <w:rPr>
          <w:sz w:val="18"/>
          <w:szCs w:val="18"/>
        </w:rPr>
      </w:pPr>
      <w:r>
        <w:rPr>
          <w:rStyle w:val="FootnoteReference"/>
        </w:rPr>
        <w:footnoteRef/>
      </w:r>
      <w:r>
        <w:t xml:space="preserve"> </w:t>
      </w:r>
      <w:r>
        <w:rPr>
          <w:sz w:val="18"/>
          <w:szCs w:val="18"/>
        </w:rPr>
        <w:t xml:space="preserve">Cyber Trends and Insights, </w:t>
      </w:r>
      <w:r w:rsidRPr="003E68E0">
        <w:rPr>
          <w:sz w:val="18"/>
          <w:szCs w:val="18"/>
        </w:rPr>
        <w:t>US Coast Guard,</w:t>
      </w:r>
      <w:r>
        <w:rPr>
          <w:sz w:val="18"/>
          <w:szCs w:val="18"/>
        </w:rPr>
        <w:t xml:space="preserve"> 2023,</w:t>
      </w:r>
      <w:r w:rsidRPr="003E68E0">
        <w:rPr>
          <w:sz w:val="18"/>
          <w:szCs w:val="18"/>
        </w:rPr>
        <w:t xml:space="preserve"> </w:t>
      </w:r>
      <w:hyperlink r:id="rId25" w:history="1">
        <w:r w:rsidRPr="00DF7F28">
          <w:rPr>
            <w:rStyle w:val="Hyperlink"/>
            <w:sz w:val="18"/>
            <w:szCs w:val="18"/>
          </w:rPr>
          <w:t>www.uscg.mil</w:t>
        </w:r>
        <w:r w:rsidRPr="00B7739C">
          <w:rPr>
            <w:rStyle w:val="Hyperlink"/>
            <w:sz w:val="18"/>
            <w:szCs w:val="18"/>
          </w:rPr>
          <w:t>/cyber-trends-and-insights</w:t>
        </w:r>
      </w:hyperlink>
      <w:r w:rsidRPr="003E68E0">
        <w:rPr>
          <w:rStyle w:val="Hyperlink"/>
          <w:sz w:val="18"/>
          <w:szCs w:val="18"/>
          <w:u w:val="none"/>
        </w:rPr>
        <w:t xml:space="preserve"> </w:t>
      </w:r>
      <w:r>
        <w:rPr>
          <w:sz w:val="18"/>
        </w:rPr>
        <w:t>p</w:t>
      </w:r>
      <w:r w:rsidRPr="003E68E0">
        <w:rPr>
          <w:sz w:val="18"/>
        </w:rPr>
        <w:t>. 13</w:t>
      </w:r>
    </w:p>
  </w:footnote>
  <w:footnote w:id="29">
    <w:p w14:paraId="19501095" w14:textId="59DBD4FB" w:rsidR="00730ACC" w:rsidRDefault="00730ACC" w:rsidP="002166C7">
      <w:pPr>
        <w:pStyle w:val="FootnoteText"/>
        <w:rPr>
          <w:rFonts w:cs="Arial"/>
          <w:sz w:val="18"/>
          <w:szCs w:val="18"/>
        </w:rPr>
      </w:pPr>
      <w:r>
        <w:rPr>
          <w:rStyle w:val="FootnoteReference"/>
          <w:rFonts w:cs="Arial"/>
          <w:sz w:val="18"/>
          <w:szCs w:val="18"/>
        </w:rPr>
        <w:footnoteRef/>
      </w:r>
      <w:r>
        <w:rPr>
          <w:rFonts w:cs="Arial"/>
          <w:sz w:val="18"/>
          <w:szCs w:val="18"/>
        </w:rPr>
        <w:t xml:space="preserve"> </w:t>
      </w:r>
      <w:r w:rsidRPr="00EF0055">
        <w:rPr>
          <w:rStyle w:val="normaltextrun"/>
          <w:rFonts w:cs="Arial"/>
          <w:sz w:val="18"/>
          <w:szCs w:val="18"/>
          <w:shd w:val="clear" w:color="auto" w:fill="FFFFFF"/>
        </w:rPr>
        <w:t xml:space="preserve">Critical Infrastructure Annual Risk Review </w:t>
      </w:r>
      <w:r>
        <w:rPr>
          <w:rStyle w:val="normaltextrun"/>
          <w:rFonts w:cs="Arial"/>
          <w:sz w:val="18"/>
          <w:szCs w:val="18"/>
          <w:shd w:val="clear" w:color="auto" w:fill="FFFFFF"/>
        </w:rPr>
        <w:t>,</w:t>
      </w:r>
      <w:r w:rsidRPr="00EF0055">
        <w:rPr>
          <w:rStyle w:val="normaltextrun"/>
          <w:rFonts w:cs="Arial"/>
          <w:sz w:val="18"/>
          <w:szCs w:val="18"/>
          <w:shd w:val="clear" w:color="auto" w:fill="FFFFFF"/>
        </w:rPr>
        <w:t>CISC, 2023, </w:t>
      </w:r>
      <w:hyperlink r:id="rId26" w:tgtFrame="_blank" w:history="1">
        <w:r w:rsidRPr="00AF12BD">
          <w:rPr>
            <w:rStyle w:val="Hyperlink"/>
            <w:rFonts w:cs="Arial"/>
            <w:sz w:val="18"/>
            <w:szCs w:val="18"/>
            <w:shd w:val="clear" w:color="auto" w:fill="FFFFFF"/>
          </w:rPr>
          <w:t>cisc.gov.au/critical-infrastructure-annual-risk-review</w:t>
        </w:r>
      </w:hyperlink>
      <w:r>
        <w:rPr>
          <w:rStyle w:val="eop"/>
          <w:rFonts w:cs="Arial"/>
          <w:sz w:val="18"/>
          <w:szCs w:val="18"/>
          <w:shd w:val="clear" w:color="auto" w:fill="FFFFFF"/>
        </w:rPr>
        <w:t> </w:t>
      </w:r>
    </w:p>
  </w:footnote>
  <w:footnote w:id="30">
    <w:p w14:paraId="2F98F02F" w14:textId="6FA3350D" w:rsidR="00730ACC" w:rsidRPr="00E34C79" w:rsidRDefault="00730ACC" w:rsidP="00F3405B">
      <w:pPr>
        <w:pStyle w:val="FootnoteText"/>
        <w:rPr>
          <w:sz w:val="18"/>
          <w:szCs w:val="18"/>
        </w:rPr>
      </w:pPr>
      <w:r w:rsidRPr="00E34C79">
        <w:rPr>
          <w:rStyle w:val="FootnoteReference"/>
          <w:rFonts w:cs="Arial"/>
          <w:sz w:val="18"/>
          <w:szCs w:val="18"/>
        </w:rPr>
        <w:footnoteRef/>
      </w:r>
      <w:r w:rsidRPr="00E34C79">
        <w:rPr>
          <w:rFonts w:cs="Arial"/>
          <w:sz w:val="18"/>
          <w:szCs w:val="18"/>
        </w:rPr>
        <w:t xml:space="preserve"> </w:t>
      </w:r>
      <w:r>
        <w:rPr>
          <w:rFonts w:cs="Arial"/>
          <w:sz w:val="18"/>
          <w:szCs w:val="18"/>
        </w:rPr>
        <w:t xml:space="preserve">DP World data breach </w:t>
      </w:r>
      <w:r w:rsidRPr="00E34C79">
        <w:rPr>
          <w:rFonts w:cs="Arial"/>
          <w:sz w:val="18"/>
          <w:szCs w:val="18"/>
        </w:rPr>
        <w:t xml:space="preserve">Reuters, 2023, </w:t>
      </w:r>
      <w:hyperlink r:id="rId27" w:history="1">
        <w:r w:rsidRPr="00BA305C">
          <w:rPr>
            <w:rStyle w:val="Hyperlink"/>
            <w:rFonts w:cs="Arial"/>
            <w:sz w:val="18"/>
            <w:szCs w:val="18"/>
          </w:rPr>
          <w:t>reuters.com/</w:t>
        </w:r>
        <w:proofErr w:type="spellStart"/>
        <w:r w:rsidRPr="00BA305C">
          <w:rPr>
            <w:rStyle w:val="Hyperlink"/>
            <w:rFonts w:cs="Arial"/>
            <w:sz w:val="18"/>
            <w:szCs w:val="18"/>
          </w:rPr>
          <w:t>dp</w:t>
        </w:r>
        <w:proofErr w:type="spellEnd"/>
        <w:r w:rsidRPr="00BA305C">
          <w:rPr>
            <w:rStyle w:val="Hyperlink"/>
            <w:rFonts w:cs="Arial"/>
            <w:sz w:val="18"/>
            <w:szCs w:val="18"/>
          </w:rPr>
          <w:t>-world-data-breach</w:t>
        </w:r>
      </w:hyperlink>
      <w:r w:rsidRPr="00E34C79">
        <w:rPr>
          <w:sz w:val="18"/>
          <w:szCs w:val="18"/>
        </w:rPr>
        <w:t xml:space="preserve"> </w:t>
      </w:r>
    </w:p>
  </w:footnote>
  <w:footnote w:id="31">
    <w:p w14:paraId="1942FC90" w14:textId="38833C70" w:rsidR="00730ACC" w:rsidRPr="00E34C79" w:rsidRDefault="00730ACC" w:rsidP="00A40F90">
      <w:pPr>
        <w:pStyle w:val="FootnoteText"/>
        <w:rPr>
          <w:rFonts w:cs="Arial"/>
          <w:sz w:val="18"/>
          <w:szCs w:val="18"/>
        </w:rPr>
      </w:pPr>
      <w:r w:rsidRPr="00E34C79">
        <w:rPr>
          <w:rStyle w:val="FootnoteReference"/>
          <w:rFonts w:cs="Arial"/>
          <w:sz w:val="18"/>
          <w:szCs w:val="18"/>
        </w:rPr>
        <w:footnoteRef/>
      </w:r>
      <w:r w:rsidRPr="00E34C79">
        <w:rPr>
          <w:rFonts w:cs="Arial"/>
          <w:sz w:val="18"/>
          <w:szCs w:val="18"/>
        </w:rPr>
        <w:t xml:space="preserve"> CSIS, Significant Cyber Events List, 2024, </w:t>
      </w:r>
      <w:hyperlink r:id="rId28" w:history="1">
        <w:r w:rsidRPr="005B0006">
          <w:rPr>
            <w:rStyle w:val="Hyperlink"/>
            <w:sz w:val="18"/>
            <w:szCs w:val="18"/>
          </w:rPr>
          <w:t>csis.org/significant-cyber-incidents</w:t>
        </w:r>
      </w:hyperlink>
    </w:p>
  </w:footnote>
  <w:footnote w:id="32">
    <w:p w14:paraId="39DFF0B6" w14:textId="1A6EBE44" w:rsidR="00730ACC" w:rsidRDefault="00730ACC" w:rsidP="00F3405B">
      <w:pPr>
        <w:pStyle w:val="FootnoteText"/>
      </w:pPr>
      <w:r w:rsidRPr="00E34C79">
        <w:rPr>
          <w:rStyle w:val="FootnoteReference"/>
          <w:rFonts w:cs="Arial"/>
          <w:sz w:val="18"/>
          <w:szCs w:val="18"/>
        </w:rPr>
        <w:footnoteRef/>
      </w:r>
      <w:r w:rsidRPr="00E34C79">
        <w:rPr>
          <w:rFonts w:cs="Arial"/>
          <w:sz w:val="18"/>
          <w:szCs w:val="18"/>
        </w:rPr>
        <w:t xml:space="preserve"> </w:t>
      </w:r>
      <w:r>
        <w:rPr>
          <w:rFonts w:cs="Arial"/>
          <w:sz w:val="18"/>
          <w:szCs w:val="18"/>
        </w:rPr>
        <w:t>Cairns airport closure due to floods, Australian Financial Review, 2023,</w:t>
      </w:r>
      <w:r w:rsidRPr="00E34C79">
        <w:rPr>
          <w:rFonts w:cs="Arial"/>
          <w:sz w:val="18"/>
          <w:szCs w:val="18"/>
        </w:rPr>
        <w:t xml:space="preserve"> </w:t>
      </w:r>
      <w:hyperlink r:id="rId29" w:history="1">
        <w:r w:rsidRPr="005B0006">
          <w:rPr>
            <w:rStyle w:val="Hyperlink"/>
            <w:rFonts w:cs="Arial"/>
            <w:sz w:val="18"/>
            <w:szCs w:val="18"/>
          </w:rPr>
          <w:t>afr.com/cairns-airport-closure-due-to-floods</w:t>
        </w:r>
      </w:hyperlink>
    </w:p>
  </w:footnote>
  <w:footnote w:id="33">
    <w:p w14:paraId="576B2B73" w14:textId="77777777" w:rsidR="00730ACC" w:rsidRPr="00E34C79" w:rsidRDefault="00730ACC" w:rsidP="002A6F52">
      <w:pPr>
        <w:pStyle w:val="FootnoteText"/>
        <w:rPr>
          <w:rFonts w:cs="Arial"/>
          <w:sz w:val="18"/>
          <w:szCs w:val="18"/>
        </w:rPr>
      </w:pPr>
      <w:r w:rsidRPr="00E34C79">
        <w:rPr>
          <w:rStyle w:val="FootnoteReference"/>
          <w:rFonts w:cs="Arial"/>
          <w:sz w:val="18"/>
          <w:szCs w:val="18"/>
        </w:rPr>
        <w:footnoteRef/>
      </w:r>
      <w:r w:rsidRPr="00E34C79">
        <w:rPr>
          <w:rFonts w:cs="Arial"/>
          <w:sz w:val="18"/>
          <w:szCs w:val="18"/>
        </w:rPr>
        <w:t xml:space="preserve"> </w:t>
      </w:r>
      <w:r>
        <w:rPr>
          <w:rFonts w:cs="Arial"/>
          <w:sz w:val="18"/>
          <w:szCs w:val="18"/>
        </w:rPr>
        <w:t xml:space="preserve">British Airways fined $26 million, </w:t>
      </w:r>
      <w:r w:rsidRPr="00E34C79">
        <w:rPr>
          <w:rFonts w:cs="Arial"/>
          <w:sz w:val="18"/>
          <w:szCs w:val="18"/>
        </w:rPr>
        <w:t xml:space="preserve">BBC, 2020, </w:t>
      </w:r>
      <w:hyperlink r:id="rId30" w:history="1">
        <w:r w:rsidRPr="00C27727">
          <w:rPr>
            <w:rStyle w:val="Hyperlink"/>
            <w:rFonts w:cs="Arial"/>
            <w:sz w:val="18"/>
            <w:szCs w:val="18"/>
          </w:rPr>
          <w:t>bbc.com/</w:t>
        </w:r>
        <w:proofErr w:type="spellStart"/>
        <w:r w:rsidRPr="00C27727">
          <w:rPr>
            <w:rStyle w:val="Hyperlink"/>
            <w:rFonts w:cs="Arial"/>
            <w:sz w:val="18"/>
            <w:szCs w:val="18"/>
          </w:rPr>
          <w:t>british</w:t>
        </w:r>
        <w:proofErr w:type="spellEnd"/>
        <w:r w:rsidRPr="00C27727">
          <w:rPr>
            <w:rStyle w:val="Hyperlink"/>
            <w:rFonts w:cs="Arial"/>
            <w:sz w:val="18"/>
            <w:szCs w:val="18"/>
          </w:rPr>
          <w:t>-airways-fined-due-to-data-breach</w:t>
        </w:r>
      </w:hyperlink>
      <w:r w:rsidRPr="00E34C79">
        <w:rPr>
          <w:rFonts w:cs="Arial"/>
          <w:sz w:val="18"/>
          <w:szCs w:val="18"/>
        </w:rPr>
        <w:t xml:space="preserve"> </w:t>
      </w:r>
    </w:p>
  </w:footnote>
  <w:footnote w:id="34">
    <w:p w14:paraId="456EC1E1" w14:textId="77777777" w:rsidR="00730ACC" w:rsidRDefault="00730ACC" w:rsidP="002A6F52">
      <w:pPr>
        <w:pStyle w:val="FootnoteText"/>
      </w:pPr>
      <w:r w:rsidRPr="00376FB4">
        <w:rPr>
          <w:rStyle w:val="FootnoteReference"/>
          <w:sz w:val="18"/>
        </w:rPr>
        <w:footnoteRef/>
      </w:r>
      <w:r w:rsidRPr="00376FB4">
        <w:rPr>
          <w:sz w:val="18"/>
        </w:rPr>
        <w:t xml:space="preserve"> </w:t>
      </w:r>
      <w:r>
        <w:rPr>
          <w:sz w:val="18"/>
        </w:rPr>
        <w:t xml:space="preserve">British Airways data breach, </w:t>
      </w:r>
      <w:r w:rsidRPr="00376FB4">
        <w:rPr>
          <w:sz w:val="18"/>
        </w:rPr>
        <w:t>Independent UK,</w:t>
      </w:r>
      <w:r>
        <w:rPr>
          <w:sz w:val="18"/>
        </w:rPr>
        <w:t xml:space="preserve"> 2021,</w:t>
      </w:r>
      <w:r w:rsidRPr="00376FB4">
        <w:rPr>
          <w:sz w:val="18"/>
        </w:rPr>
        <w:t xml:space="preserve"> </w:t>
      </w:r>
      <w:hyperlink r:id="rId31" w:history="1">
        <w:r>
          <w:rPr>
            <w:rStyle w:val="Hyperlink"/>
            <w:sz w:val="18"/>
          </w:rPr>
          <w:t>www.independent.co.uk</w:t>
        </w:r>
      </w:hyperlink>
      <w:r>
        <w:rPr>
          <w:rStyle w:val="Hyperlink"/>
          <w:sz w:val="18"/>
        </w:rPr>
        <w:t>/british-airways-data-breach</w:t>
      </w:r>
    </w:p>
  </w:footnote>
  <w:footnote w:id="35">
    <w:p w14:paraId="4510AC2E" w14:textId="77777777" w:rsidR="00730ACC" w:rsidRPr="00376FB4" w:rsidRDefault="00730ACC" w:rsidP="002A6F52">
      <w:pPr>
        <w:pStyle w:val="FootnoteText"/>
        <w:rPr>
          <w:sz w:val="18"/>
        </w:rPr>
      </w:pPr>
      <w:r w:rsidRPr="00376FB4">
        <w:rPr>
          <w:rStyle w:val="FootnoteReference"/>
          <w:sz w:val="18"/>
        </w:rPr>
        <w:footnoteRef/>
      </w:r>
      <w:r w:rsidRPr="00376FB4">
        <w:rPr>
          <w:sz w:val="18"/>
        </w:rPr>
        <w:t xml:space="preserve"> </w:t>
      </w:r>
      <w:r>
        <w:rPr>
          <w:sz w:val="18"/>
        </w:rPr>
        <w:t xml:space="preserve">British Airways class action settles, </w:t>
      </w:r>
      <w:r w:rsidRPr="00376FB4">
        <w:rPr>
          <w:sz w:val="18"/>
        </w:rPr>
        <w:t>Herbert Smith Freehills,</w:t>
      </w:r>
      <w:r>
        <w:rPr>
          <w:sz w:val="18"/>
        </w:rPr>
        <w:t xml:space="preserve"> 2021</w:t>
      </w:r>
      <w:r w:rsidRPr="00376FB4">
        <w:rPr>
          <w:sz w:val="18"/>
        </w:rPr>
        <w:t xml:space="preserve"> </w:t>
      </w:r>
      <w:hyperlink r:id="rId32" w:history="1">
        <w:r>
          <w:rPr>
            <w:rStyle w:val="Hyperlink"/>
            <w:sz w:val="18"/>
          </w:rPr>
          <w:t>www.herbertsmithfreehills.com</w:t>
        </w:r>
      </w:hyperlink>
      <w:r>
        <w:rPr>
          <w:rStyle w:val="Hyperlink"/>
          <w:sz w:val="18"/>
        </w:rPr>
        <w:t>/british-airways-class-action</w:t>
      </w:r>
    </w:p>
  </w:footnote>
  <w:footnote w:id="36">
    <w:p w14:paraId="2BAA3994" w14:textId="77777777" w:rsidR="00730ACC" w:rsidRDefault="00730ACC" w:rsidP="002A6F52">
      <w:pPr>
        <w:pStyle w:val="FootnoteText"/>
      </w:pPr>
      <w:r>
        <w:rPr>
          <w:rStyle w:val="FootnoteReference"/>
        </w:rPr>
        <w:footnoteRef/>
      </w:r>
      <w:r>
        <w:rPr>
          <w:sz w:val="18"/>
        </w:rPr>
        <w:t xml:space="preserve"> British Airways data breach compensation, </w:t>
      </w:r>
      <w:r w:rsidRPr="00376FB4">
        <w:rPr>
          <w:sz w:val="18"/>
        </w:rPr>
        <w:t>Independent UK,</w:t>
      </w:r>
      <w:r>
        <w:rPr>
          <w:sz w:val="18"/>
        </w:rPr>
        <w:t xml:space="preserve"> 2021 </w:t>
      </w:r>
      <w:hyperlink r:id="rId33" w:history="1">
        <w:r w:rsidRPr="00C27727">
          <w:rPr>
            <w:rStyle w:val="Hyperlink"/>
            <w:sz w:val="18"/>
          </w:rPr>
          <w:t>www.independent.co.uk/travel/news-and-advice/british-airways-data-breach-compensation</w:t>
        </w:r>
      </w:hyperlink>
    </w:p>
  </w:footnote>
  <w:footnote w:id="37">
    <w:p w14:paraId="6F9BA6DD" w14:textId="45799B55" w:rsidR="00730ACC" w:rsidRPr="007719A0" w:rsidRDefault="00730ACC">
      <w:pPr>
        <w:pStyle w:val="FootnoteText"/>
        <w:rPr>
          <w:sz w:val="18"/>
          <w:szCs w:val="18"/>
        </w:rPr>
      </w:pPr>
      <w:r w:rsidRPr="007719A0">
        <w:rPr>
          <w:rStyle w:val="FootnoteReference"/>
          <w:sz w:val="18"/>
          <w:szCs w:val="18"/>
        </w:rPr>
        <w:footnoteRef/>
      </w:r>
      <w:r w:rsidRPr="007719A0">
        <w:rPr>
          <w:sz w:val="18"/>
          <w:szCs w:val="18"/>
        </w:rPr>
        <w:t xml:space="preserve"> Srinivas, J et al. Government regulations in cyber security: Framework, standards and recommendations. </w:t>
      </w:r>
      <w:r w:rsidRPr="007719A0">
        <w:rPr>
          <w:rStyle w:val="Hyperlink"/>
          <w:rFonts w:cs="Arial"/>
          <w:sz w:val="18"/>
          <w:szCs w:val="18"/>
        </w:rPr>
        <w:t>https://www.sciencedirect.com/science/article/abs/pii/S0167739X18316753</w:t>
      </w:r>
    </w:p>
  </w:footnote>
  <w:footnote w:id="38">
    <w:p w14:paraId="389840E6" w14:textId="27E9C753" w:rsidR="00730ACC" w:rsidRPr="00E34C79" w:rsidRDefault="00730ACC" w:rsidP="00FC5DE7">
      <w:pPr>
        <w:pStyle w:val="FootnoteText"/>
        <w:rPr>
          <w:rFonts w:cs="Arial"/>
          <w:sz w:val="18"/>
          <w:szCs w:val="18"/>
        </w:rPr>
      </w:pPr>
      <w:r w:rsidRPr="00E34C79">
        <w:rPr>
          <w:rStyle w:val="FootnoteReference"/>
          <w:rFonts w:cs="Arial"/>
          <w:sz w:val="18"/>
          <w:szCs w:val="18"/>
        </w:rPr>
        <w:footnoteRef/>
      </w:r>
      <w:r w:rsidRPr="00E34C79">
        <w:rPr>
          <w:rFonts w:cs="Arial"/>
          <w:sz w:val="18"/>
          <w:szCs w:val="18"/>
        </w:rPr>
        <w:t xml:space="preserve"> Critical Infrastructure Resilience Strategy</w:t>
      </w:r>
      <w:r>
        <w:rPr>
          <w:rFonts w:cs="Arial"/>
          <w:sz w:val="18"/>
          <w:szCs w:val="18"/>
        </w:rPr>
        <w:t>,</w:t>
      </w:r>
      <w:r w:rsidRPr="00E34C79">
        <w:rPr>
          <w:rFonts w:cs="Arial"/>
          <w:sz w:val="18"/>
          <w:szCs w:val="18"/>
        </w:rPr>
        <w:t xml:space="preserve"> CISC, 2023, </w:t>
      </w:r>
      <w:hyperlink r:id="rId34" w:history="1">
        <w:r w:rsidRPr="00F228FA">
          <w:rPr>
            <w:rStyle w:val="Hyperlink"/>
            <w:rFonts w:cs="Arial"/>
            <w:sz w:val="18"/>
            <w:szCs w:val="18"/>
          </w:rPr>
          <w:t>cisc.gov.au/critical-infrastructure-resilience-strategy</w:t>
        </w:r>
      </w:hyperlink>
    </w:p>
  </w:footnote>
  <w:footnote w:id="39">
    <w:p w14:paraId="43FE9298" w14:textId="6A36F9C7" w:rsidR="00730ACC" w:rsidRDefault="00730ACC" w:rsidP="00FC5DE7">
      <w:pPr>
        <w:pStyle w:val="FootnoteText"/>
        <w:rPr>
          <w:rFonts w:ascii="Arial" w:hAnsi="Arial" w:cs="Arial"/>
          <w:sz w:val="16"/>
          <w:szCs w:val="16"/>
        </w:rPr>
      </w:pPr>
      <w:r w:rsidRPr="00E34C79">
        <w:rPr>
          <w:rStyle w:val="FootnoteReference"/>
          <w:rFonts w:cs="Arial"/>
          <w:sz w:val="18"/>
          <w:szCs w:val="18"/>
        </w:rPr>
        <w:footnoteRef/>
      </w:r>
      <w:r w:rsidRPr="00E34C79">
        <w:rPr>
          <w:rFonts w:cs="Arial"/>
          <w:sz w:val="18"/>
          <w:szCs w:val="18"/>
        </w:rPr>
        <w:t xml:space="preserve"> Trusted Information Sharing Network</w:t>
      </w:r>
      <w:r>
        <w:rPr>
          <w:rFonts w:cs="Arial"/>
          <w:sz w:val="18"/>
          <w:szCs w:val="18"/>
        </w:rPr>
        <w:t>,</w:t>
      </w:r>
      <w:r w:rsidRPr="00E34C79">
        <w:rPr>
          <w:rFonts w:cs="Arial"/>
          <w:sz w:val="18"/>
          <w:szCs w:val="18"/>
        </w:rPr>
        <w:t xml:space="preserve"> CISC, 2024, </w:t>
      </w:r>
      <w:hyperlink r:id="rId35" w:history="1">
        <w:r w:rsidRPr="00F228FA">
          <w:rPr>
            <w:rStyle w:val="Hyperlink"/>
            <w:rFonts w:cs="Arial"/>
            <w:sz w:val="18"/>
            <w:szCs w:val="18"/>
          </w:rPr>
          <w:t>cisc.gov.au/trusted-information-sharing-network</w:t>
        </w:r>
      </w:hyperlink>
    </w:p>
  </w:footnote>
  <w:footnote w:id="40">
    <w:p w14:paraId="184A9F4C" w14:textId="3205BD7F" w:rsidR="00730ACC" w:rsidRPr="00E34C79" w:rsidRDefault="00730ACC" w:rsidP="00FC5DE7">
      <w:pPr>
        <w:pStyle w:val="FootnoteText"/>
        <w:rPr>
          <w:sz w:val="18"/>
          <w:szCs w:val="18"/>
        </w:rPr>
      </w:pPr>
      <w:r w:rsidRPr="00E34C79">
        <w:rPr>
          <w:rStyle w:val="FootnoteReference"/>
          <w:rFonts w:cs="Arial"/>
          <w:sz w:val="18"/>
          <w:szCs w:val="18"/>
        </w:rPr>
        <w:footnoteRef/>
      </w:r>
      <w:r w:rsidRPr="00E34C79">
        <w:rPr>
          <w:rFonts w:cs="Arial"/>
          <w:sz w:val="18"/>
          <w:szCs w:val="18"/>
        </w:rPr>
        <w:t xml:space="preserve"> CISC, About Us, 2024, </w:t>
      </w:r>
      <w:hyperlink r:id="rId36" w:history="1">
        <w:r w:rsidRPr="00F228FA">
          <w:rPr>
            <w:rStyle w:val="Hyperlink"/>
            <w:rFonts w:cs="Arial"/>
            <w:sz w:val="18"/>
            <w:szCs w:val="18"/>
          </w:rPr>
          <w:t>cisc.gov.au/about-us</w:t>
        </w:r>
      </w:hyperlink>
      <w:r w:rsidRPr="00E34C79">
        <w:rPr>
          <w:sz w:val="18"/>
          <w:szCs w:val="18"/>
        </w:rPr>
        <w:t xml:space="preserve"> </w:t>
      </w:r>
    </w:p>
  </w:footnote>
  <w:footnote w:id="41">
    <w:p w14:paraId="01CDE46E" w14:textId="334CD674" w:rsidR="00730ACC" w:rsidRDefault="00730ACC">
      <w:pPr>
        <w:pStyle w:val="FootnoteText"/>
      </w:pPr>
      <w:r>
        <w:rPr>
          <w:rStyle w:val="FootnoteReference"/>
        </w:rPr>
        <w:footnoteRef/>
      </w:r>
      <w:r>
        <w:t xml:space="preserve"> </w:t>
      </w:r>
      <w:r w:rsidRPr="00EF0055">
        <w:rPr>
          <w:rStyle w:val="normaltextrun"/>
          <w:rFonts w:cs="Arial"/>
          <w:sz w:val="18"/>
          <w:szCs w:val="18"/>
          <w:shd w:val="clear" w:color="auto" w:fill="FFFFFF"/>
        </w:rPr>
        <w:t xml:space="preserve">Critical Infrastructure Annual Risk Review </w:t>
      </w:r>
      <w:r>
        <w:rPr>
          <w:rStyle w:val="normaltextrun"/>
          <w:rFonts w:cs="Arial"/>
          <w:sz w:val="18"/>
          <w:szCs w:val="18"/>
          <w:shd w:val="clear" w:color="auto" w:fill="FFFFFF"/>
        </w:rPr>
        <w:t>,</w:t>
      </w:r>
      <w:r w:rsidRPr="00EF0055">
        <w:rPr>
          <w:rStyle w:val="normaltextrun"/>
          <w:rFonts w:cs="Arial"/>
          <w:sz w:val="18"/>
          <w:szCs w:val="18"/>
          <w:shd w:val="clear" w:color="auto" w:fill="FFFFFF"/>
        </w:rPr>
        <w:t>CISC, 2023, </w:t>
      </w:r>
      <w:hyperlink r:id="rId37" w:tgtFrame="_blank" w:history="1">
        <w:r w:rsidRPr="00AF12BD">
          <w:rPr>
            <w:rStyle w:val="Hyperlink"/>
            <w:rFonts w:cs="Arial"/>
            <w:sz w:val="18"/>
            <w:szCs w:val="18"/>
            <w:shd w:val="clear" w:color="auto" w:fill="FFFFFF"/>
          </w:rPr>
          <w:t>cisc.gov.au/critical-infrastructure-annual-risk-review</w:t>
        </w:r>
      </w:hyperlink>
    </w:p>
  </w:footnote>
  <w:footnote w:id="42">
    <w:p w14:paraId="40D90104" w14:textId="3BFD6740" w:rsidR="00730ACC" w:rsidRDefault="00730ACC">
      <w:pPr>
        <w:pStyle w:val="FootnoteText"/>
      </w:pPr>
      <w:r>
        <w:rPr>
          <w:rStyle w:val="FootnoteReference"/>
        </w:rPr>
        <w:footnoteRef/>
      </w:r>
      <w:r>
        <w:t xml:space="preserve"> </w:t>
      </w:r>
      <w:r w:rsidRPr="00640642">
        <w:rPr>
          <w:sz w:val="18"/>
        </w:rPr>
        <w:t>Guidance for the critical infrastructure risk management program</w:t>
      </w:r>
      <w:r>
        <w:rPr>
          <w:sz w:val="18"/>
        </w:rPr>
        <w:t>,</w:t>
      </w:r>
      <w:r w:rsidRPr="00B33D7C">
        <w:rPr>
          <w:sz w:val="18"/>
        </w:rPr>
        <w:t xml:space="preserve"> </w:t>
      </w:r>
      <w:r w:rsidRPr="00697BE2">
        <w:rPr>
          <w:sz w:val="18"/>
        </w:rPr>
        <w:t>CISC, 2024,</w:t>
      </w:r>
      <w:r>
        <w:rPr>
          <w:sz w:val="18"/>
        </w:rPr>
        <w:t xml:space="preserve"> </w:t>
      </w:r>
      <w:hyperlink r:id="rId38" w:history="1">
        <w:r w:rsidRPr="00B33D7C">
          <w:rPr>
            <w:rStyle w:val="Hyperlink"/>
            <w:sz w:val="18"/>
          </w:rPr>
          <w:t>cisc.gov.au/guidance-for-the-critical-infrastructure-risk-management-program</w:t>
        </w:r>
      </w:hyperlink>
    </w:p>
  </w:footnote>
  <w:footnote w:id="43">
    <w:p w14:paraId="56E361C5" w14:textId="77777777" w:rsidR="00730ACC" w:rsidRPr="00790487" w:rsidRDefault="00730ACC" w:rsidP="006C56FD">
      <w:pPr>
        <w:pStyle w:val="FootnoteText"/>
        <w:rPr>
          <w:sz w:val="18"/>
        </w:rPr>
      </w:pPr>
      <w:r w:rsidRPr="00790487">
        <w:rPr>
          <w:rStyle w:val="FootnoteReference"/>
          <w:sz w:val="18"/>
        </w:rPr>
        <w:footnoteRef/>
      </w:r>
      <w:r w:rsidRPr="00790487">
        <w:rPr>
          <w:sz w:val="18"/>
        </w:rPr>
        <w:t xml:space="preserve"> Federal register of legislation, 2024, </w:t>
      </w:r>
      <w:hyperlink r:id="rId39" w:history="1">
        <w:r w:rsidRPr="00790487">
          <w:rPr>
            <w:rStyle w:val="Hyperlink"/>
            <w:sz w:val="18"/>
          </w:rPr>
          <w:t>Notice Assigning Security Controlled Airport Category</w:t>
        </w:r>
      </w:hyperlink>
    </w:p>
  </w:footnote>
  <w:footnote w:id="44">
    <w:p w14:paraId="6C2AB5F4" w14:textId="77777777" w:rsidR="00730ACC" w:rsidRDefault="00730ACC" w:rsidP="006C56FD">
      <w:pPr>
        <w:pStyle w:val="FootnoteText"/>
      </w:pPr>
      <w:r w:rsidRPr="00790487">
        <w:rPr>
          <w:rStyle w:val="FootnoteReference"/>
          <w:sz w:val="18"/>
        </w:rPr>
        <w:footnoteRef/>
      </w:r>
      <w:r w:rsidRPr="00790487">
        <w:rPr>
          <w:sz w:val="18"/>
        </w:rPr>
        <w:t xml:space="preserve"> Australian Parliament House, 2019. </w:t>
      </w:r>
      <w:hyperlink r:id="rId40" w:history="1">
        <w:r w:rsidRPr="00790487">
          <w:rPr>
            <w:rStyle w:val="Hyperlink"/>
            <w:sz w:val="18"/>
          </w:rPr>
          <w:t>aph.gov.au</w:t>
        </w:r>
      </w:hyperlink>
    </w:p>
  </w:footnote>
  <w:footnote w:id="45">
    <w:p w14:paraId="7470C722" w14:textId="0A16FEA6" w:rsidR="00730ACC" w:rsidRDefault="00730ACC">
      <w:pPr>
        <w:pStyle w:val="FootnoteText"/>
      </w:pPr>
      <w:r>
        <w:rPr>
          <w:rStyle w:val="FootnoteReference"/>
        </w:rPr>
        <w:footnoteRef/>
      </w:r>
      <w:r>
        <w:t xml:space="preserve"> </w:t>
      </w:r>
      <w:r w:rsidRPr="00697BE2">
        <w:rPr>
          <w:sz w:val="18"/>
        </w:rPr>
        <w:t xml:space="preserve">Regulatory burden measurement framework, OIA, 2024, </w:t>
      </w:r>
      <w:hyperlink r:id="rId41" w:history="1">
        <w:r w:rsidRPr="00697BE2">
          <w:rPr>
            <w:rStyle w:val="Hyperlink"/>
            <w:sz w:val="18"/>
          </w:rPr>
          <w:t>oia.pmc.gov.au/regulatory-burden-measurement-framework</w:t>
        </w:r>
      </w:hyperlink>
    </w:p>
  </w:footnote>
  <w:footnote w:id="46">
    <w:p w14:paraId="6008C5E0" w14:textId="7B7D44AB" w:rsidR="00730ACC" w:rsidRPr="00877704" w:rsidRDefault="00730ACC" w:rsidP="00DB3135">
      <w:pPr>
        <w:pStyle w:val="FootnoteText"/>
        <w:rPr>
          <w:sz w:val="28"/>
        </w:rPr>
      </w:pPr>
      <w:r w:rsidRPr="00877704">
        <w:rPr>
          <w:rStyle w:val="FootnoteReference"/>
          <w:sz w:val="18"/>
        </w:rPr>
        <w:footnoteRef/>
      </w:r>
      <w:r w:rsidRPr="00877704">
        <w:rPr>
          <w:sz w:val="18"/>
        </w:rPr>
        <w:t xml:space="preserve"> </w:t>
      </w:r>
      <w:r>
        <w:rPr>
          <w:sz w:val="18"/>
        </w:rPr>
        <w:t xml:space="preserve">Major Australian port operator shuts down, ABC News, 2023, </w:t>
      </w:r>
      <w:hyperlink r:id="rId42" w:history="1">
        <w:r w:rsidRPr="00CB274A">
          <w:rPr>
            <w:rStyle w:val="Hyperlink"/>
            <w:sz w:val="18"/>
          </w:rPr>
          <w:t>abc.net.au/major-</w:t>
        </w:r>
        <w:proofErr w:type="spellStart"/>
        <w:r w:rsidRPr="00CB274A">
          <w:rPr>
            <w:rStyle w:val="Hyperlink"/>
            <w:sz w:val="18"/>
          </w:rPr>
          <w:t>australian</w:t>
        </w:r>
        <w:proofErr w:type="spellEnd"/>
        <w:r w:rsidRPr="00CB274A">
          <w:rPr>
            <w:rStyle w:val="Hyperlink"/>
            <w:sz w:val="18"/>
          </w:rPr>
          <w:t>-port-operator-shuts-down</w:t>
        </w:r>
      </w:hyperlink>
      <w:r>
        <w:rPr>
          <w:sz w:val="18"/>
        </w:rPr>
        <w:t xml:space="preserve"> </w:t>
      </w:r>
    </w:p>
  </w:footnote>
  <w:footnote w:id="47">
    <w:p w14:paraId="4B9C10E5" w14:textId="699830E4" w:rsidR="00730ACC" w:rsidRPr="00877704" w:rsidRDefault="00730ACC" w:rsidP="00DB3135">
      <w:pPr>
        <w:pStyle w:val="FootnoteText"/>
        <w:rPr>
          <w:sz w:val="18"/>
        </w:rPr>
      </w:pPr>
      <w:r w:rsidRPr="00877704">
        <w:rPr>
          <w:rStyle w:val="FootnoteReference"/>
          <w:sz w:val="18"/>
        </w:rPr>
        <w:footnoteRef/>
      </w:r>
      <w:r w:rsidRPr="00877704">
        <w:rPr>
          <w:sz w:val="18"/>
        </w:rPr>
        <w:t xml:space="preserve"> </w:t>
      </w:r>
      <w:r>
        <w:rPr>
          <w:sz w:val="18"/>
        </w:rPr>
        <w:t xml:space="preserve">Media Statement, DP World, 2023, </w:t>
      </w:r>
      <w:hyperlink r:id="rId43" w:history="1">
        <w:r w:rsidRPr="00CB274A">
          <w:rPr>
            <w:rStyle w:val="Hyperlink"/>
            <w:sz w:val="18"/>
          </w:rPr>
          <w:t>dpworld.com/media-statement-update-on-cyber-incident</w:t>
        </w:r>
      </w:hyperlink>
      <w:r>
        <w:rPr>
          <w:sz w:val="18"/>
        </w:rPr>
        <w:t xml:space="preserve"> </w:t>
      </w:r>
    </w:p>
  </w:footnote>
  <w:footnote w:id="48">
    <w:p w14:paraId="3D40F7F5" w14:textId="1183ED66" w:rsidR="00730ACC" w:rsidRPr="00681AAC" w:rsidRDefault="00730ACC" w:rsidP="00144E68">
      <w:pPr>
        <w:pStyle w:val="FootnoteText"/>
        <w:rPr>
          <w:sz w:val="18"/>
        </w:rPr>
      </w:pPr>
      <w:r w:rsidRPr="00681AAC">
        <w:rPr>
          <w:rStyle w:val="FootnoteReference"/>
          <w:sz w:val="18"/>
        </w:rPr>
        <w:footnoteRef/>
      </w:r>
      <w:r w:rsidRPr="00681AAC">
        <w:rPr>
          <w:sz w:val="18"/>
        </w:rPr>
        <w:t xml:space="preserve"> </w:t>
      </w:r>
      <w:r>
        <w:rPr>
          <w:sz w:val="18"/>
        </w:rPr>
        <w:t xml:space="preserve">British Airways class action settlement, </w:t>
      </w:r>
      <w:r w:rsidRPr="00681AAC">
        <w:rPr>
          <w:sz w:val="18"/>
        </w:rPr>
        <w:t>Herbert Smith Freehills,</w:t>
      </w:r>
      <w:r>
        <w:rPr>
          <w:sz w:val="18"/>
        </w:rPr>
        <w:t xml:space="preserve"> 2021, </w:t>
      </w:r>
      <w:hyperlink r:id="rId44" w:history="1">
        <w:r w:rsidRPr="00CB274A">
          <w:rPr>
            <w:rStyle w:val="Hyperlink"/>
            <w:sz w:val="18"/>
          </w:rPr>
          <w:t>www.herbertsmithfreehills.com/british-airways-class-action-settles</w:t>
        </w:r>
      </w:hyperlink>
    </w:p>
  </w:footnote>
  <w:footnote w:id="49">
    <w:p w14:paraId="007558E2" w14:textId="0EA0A77F" w:rsidR="00730ACC" w:rsidRDefault="00730ACC" w:rsidP="00DB3135">
      <w:pPr>
        <w:pStyle w:val="FootnoteText"/>
      </w:pPr>
      <w:r w:rsidRPr="00877704">
        <w:rPr>
          <w:rStyle w:val="FootnoteReference"/>
          <w:sz w:val="18"/>
        </w:rPr>
        <w:footnoteRef/>
      </w:r>
      <w:r w:rsidRPr="00877704">
        <w:rPr>
          <w:sz w:val="18"/>
        </w:rPr>
        <w:t xml:space="preserve"> </w:t>
      </w:r>
      <w:r>
        <w:rPr>
          <w:sz w:val="18"/>
        </w:rPr>
        <w:t xml:space="preserve">Climate change and adaptation planning for ports, Taylor &amp; Francis Group, 2015, </w:t>
      </w:r>
      <w:hyperlink r:id="rId45" w:history="1">
        <w:r w:rsidRPr="00CB274A">
          <w:rPr>
            <w:rStyle w:val="Hyperlink"/>
            <w:sz w:val="18"/>
          </w:rPr>
          <w:t>taylorfrancis.com/climate-change-and-adaptation-planning-for-ports</w:t>
        </w:r>
      </w:hyperlink>
      <w:r>
        <w:rPr>
          <w:sz w:val="18"/>
        </w:rPr>
        <w:t xml:space="preserve"> </w:t>
      </w:r>
    </w:p>
  </w:footnote>
  <w:footnote w:id="50">
    <w:p w14:paraId="30DF98A4" w14:textId="6FB17C92" w:rsidR="00730ACC" w:rsidRPr="00C64435" w:rsidRDefault="00730ACC">
      <w:pPr>
        <w:pStyle w:val="FootnoteText"/>
        <w:rPr>
          <w:sz w:val="18"/>
          <w:szCs w:val="18"/>
        </w:rPr>
      </w:pPr>
      <w:r w:rsidRPr="00C64435">
        <w:rPr>
          <w:rStyle w:val="FootnoteReference"/>
          <w:sz w:val="18"/>
          <w:szCs w:val="18"/>
        </w:rPr>
        <w:footnoteRef/>
      </w:r>
      <w:r w:rsidRPr="00C64435">
        <w:rPr>
          <w:sz w:val="18"/>
          <w:szCs w:val="18"/>
        </w:rPr>
        <w:t xml:space="preserve"> </w:t>
      </w:r>
      <w:r>
        <w:rPr>
          <w:sz w:val="18"/>
          <w:szCs w:val="18"/>
        </w:rPr>
        <w:t>Shipping closure at Port of Baltimore could have economy wide impacts, WYPR</w:t>
      </w:r>
      <w:r w:rsidRPr="00FD673D">
        <w:rPr>
          <w:sz w:val="18"/>
          <w:szCs w:val="18"/>
        </w:rPr>
        <w:t>, 2024,</w:t>
      </w:r>
      <w:r>
        <w:rPr>
          <w:sz w:val="18"/>
          <w:szCs w:val="18"/>
        </w:rPr>
        <w:t xml:space="preserve"> </w:t>
      </w:r>
      <w:hyperlink r:id="rId46" w:history="1">
        <w:r w:rsidRPr="00CB274A">
          <w:rPr>
            <w:rStyle w:val="Hyperlink"/>
            <w:sz w:val="18"/>
            <w:szCs w:val="18"/>
          </w:rPr>
          <w:t>wypr.org/shipping-closure-at-port-of-</w:t>
        </w:r>
        <w:proofErr w:type="spellStart"/>
        <w:r w:rsidRPr="00CB274A">
          <w:rPr>
            <w:rStyle w:val="Hyperlink"/>
            <w:sz w:val="18"/>
            <w:szCs w:val="18"/>
          </w:rPr>
          <w:t>baltimore</w:t>
        </w:r>
        <w:proofErr w:type="spellEnd"/>
      </w:hyperlink>
      <w:r w:rsidRPr="00FD673D">
        <w:rPr>
          <w:sz w:val="18"/>
          <w:szCs w:val="18"/>
        </w:rPr>
        <w:t xml:space="preserve">   </w:t>
      </w:r>
    </w:p>
  </w:footnote>
  <w:footnote w:id="51">
    <w:p w14:paraId="2A9DCF44" w14:textId="77777777" w:rsidR="00730ACC" w:rsidRDefault="00730ACC" w:rsidP="006667F9">
      <w:pPr>
        <w:pStyle w:val="FootnoteText"/>
      </w:pPr>
      <w:r w:rsidRPr="002D59C7">
        <w:rPr>
          <w:rStyle w:val="FootnoteReference"/>
          <w:sz w:val="18"/>
        </w:rPr>
        <w:footnoteRef/>
      </w:r>
      <w:r w:rsidRPr="002D59C7">
        <w:rPr>
          <w:sz w:val="18"/>
        </w:rPr>
        <w:t xml:space="preserve"> Demonstrated by the </w:t>
      </w:r>
      <w:r>
        <w:rPr>
          <w:sz w:val="18"/>
        </w:rPr>
        <w:t>larger</w:t>
      </w:r>
      <w:r w:rsidRPr="002D59C7">
        <w:rPr>
          <w:sz w:val="18"/>
        </w:rPr>
        <w:t xml:space="preserve"> impact of the Port of Baltimore incident described in Table 15.</w:t>
      </w:r>
    </w:p>
  </w:footnote>
  <w:footnote w:id="52">
    <w:p w14:paraId="473E572A" w14:textId="74A89961" w:rsidR="00730ACC" w:rsidRDefault="00730ACC">
      <w:pPr>
        <w:pStyle w:val="FootnoteText"/>
      </w:pPr>
      <w:r>
        <w:rPr>
          <w:rStyle w:val="FootnoteReference"/>
        </w:rPr>
        <w:footnoteRef/>
      </w:r>
      <w:r>
        <w:t xml:space="preserve"> Cost of $64.5 million being 50% of the cost of the moderate scenario.</w:t>
      </w:r>
    </w:p>
  </w:footnote>
  <w:footnote w:id="53">
    <w:p w14:paraId="5BA6C065" w14:textId="0E136E37" w:rsidR="00730ACC" w:rsidRPr="00A60A2E" w:rsidRDefault="00730ACC" w:rsidP="00DB3135">
      <w:pPr>
        <w:pStyle w:val="FootnoteText"/>
        <w:rPr>
          <w:rFonts w:cs="Arial"/>
          <w:sz w:val="18"/>
          <w:szCs w:val="18"/>
        </w:rPr>
      </w:pPr>
      <w:r w:rsidRPr="00A60A2E">
        <w:rPr>
          <w:rStyle w:val="FootnoteReference"/>
          <w:rFonts w:cs="Arial"/>
          <w:sz w:val="18"/>
          <w:szCs w:val="18"/>
        </w:rPr>
        <w:footnoteRef/>
      </w:r>
      <w:r w:rsidRPr="00A60A2E">
        <w:rPr>
          <w:rFonts w:cs="Arial"/>
          <w:sz w:val="18"/>
          <w:szCs w:val="18"/>
        </w:rPr>
        <w:t xml:space="preserve"> Value of Statistical Life</w:t>
      </w:r>
      <w:r>
        <w:rPr>
          <w:rFonts w:cs="Arial"/>
          <w:sz w:val="18"/>
          <w:szCs w:val="18"/>
        </w:rPr>
        <w:t>,</w:t>
      </w:r>
      <w:r w:rsidRPr="00A60A2E">
        <w:rPr>
          <w:rFonts w:cs="Arial"/>
          <w:sz w:val="18"/>
          <w:szCs w:val="18"/>
        </w:rPr>
        <w:t xml:space="preserve"> PM&amp;C, 2023, </w:t>
      </w:r>
      <w:hyperlink r:id="rId47" w:history="1">
        <w:r w:rsidRPr="00BF5828">
          <w:rPr>
            <w:rStyle w:val="Hyperlink"/>
            <w:rFonts w:cs="Arial"/>
            <w:sz w:val="18"/>
            <w:szCs w:val="18"/>
          </w:rPr>
          <w:t>oia.pmc.gov.au/value-of-statistical-life</w:t>
        </w:r>
      </w:hyperlink>
    </w:p>
  </w:footnote>
  <w:footnote w:id="54">
    <w:p w14:paraId="272FC3F3" w14:textId="06CE4204" w:rsidR="00730ACC" w:rsidRPr="00997388" w:rsidRDefault="00730ACC" w:rsidP="009E6A26">
      <w:pPr>
        <w:pStyle w:val="FootnoteText"/>
      </w:pPr>
      <w:r w:rsidRPr="00997388">
        <w:rPr>
          <w:rStyle w:val="FootnoteReference"/>
          <w:rFonts w:cs="Arial"/>
          <w:sz w:val="16"/>
          <w:szCs w:val="18"/>
        </w:rPr>
        <w:footnoteRef/>
      </w:r>
      <w:r>
        <w:rPr>
          <w:rFonts w:cs="Arial"/>
          <w:sz w:val="16"/>
          <w:szCs w:val="18"/>
        </w:rPr>
        <w:t xml:space="preserve"> Regulatory principles and approach, CISC, 2024,</w:t>
      </w:r>
      <w:r w:rsidRPr="00997388">
        <w:rPr>
          <w:rFonts w:cs="Arial"/>
          <w:sz w:val="16"/>
          <w:szCs w:val="18"/>
        </w:rPr>
        <w:t xml:space="preserve"> </w:t>
      </w:r>
      <w:hyperlink r:id="rId48" w:history="1">
        <w:r w:rsidRPr="00BF5828">
          <w:rPr>
            <w:rStyle w:val="Hyperlink"/>
            <w:rFonts w:cs="Arial"/>
            <w:sz w:val="16"/>
            <w:szCs w:val="18"/>
          </w:rPr>
          <w:t>www.cisc.gov.au/legislation-regulation-and-compliance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D4E2" w14:textId="77777777" w:rsidR="001331B1" w:rsidRDefault="00133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F541" w14:textId="77777777" w:rsidR="00730ACC" w:rsidRPr="00D10635" w:rsidRDefault="00730ACC"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79CD" w14:textId="77777777" w:rsidR="00730ACC" w:rsidRPr="00E9516C" w:rsidRDefault="00730ACC" w:rsidP="00A45279">
    <w:pPr>
      <w:pStyle w:val="CLASSIFICATION"/>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7031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B7F59"/>
    <w:multiLevelType w:val="singleLevel"/>
    <w:tmpl w:val="3F84038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15:restartNumberingAfterBreak="0">
    <w:nsid w:val="059F4BD5"/>
    <w:multiLevelType w:val="singleLevel"/>
    <w:tmpl w:val="71B0CDD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06FA4D05"/>
    <w:multiLevelType w:val="multilevel"/>
    <w:tmpl w:val="BDFC207A"/>
    <w:numStyleLink w:val="ListTableNumber"/>
  </w:abstractNum>
  <w:abstractNum w:abstractNumId="4" w15:restartNumberingAfterBreak="0">
    <w:nsid w:val="099138B4"/>
    <w:multiLevelType w:val="hybridMultilevel"/>
    <w:tmpl w:val="D698105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F325F2"/>
    <w:multiLevelType w:val="hybridMultilevel"/>
    <w:tmpl w:val="D9088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B03AA"/>
    <w:multiLevelType w:val="hybridMultilevel"/>
    <w:tmpl w:val="88580C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446FD0"/>
    <w:multiLevelType w:val="singleLevel"/>
    <w:tmpl w:val="B4106D2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10827EA7"/>
    <w:multiLevelType w:val="hybridMultilevel"/>
    <w:tmpl w:val="238C0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04098E"/>
    <w:multiLevelType w:val="hybridMultilevel"/>
    <w:tmpl w:val="55EC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7547D0"/>
    <w:multiLevelType w:val="singleLevel"/>
    <w:tmpl w:val="9D80D15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13433253"/>
    <w:multiLevelType w:val="hybridMultilevel"/>
    <w:tmpl w:val="D698105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6" w15:restartNumberingAfterBreak="0">
    <w:nsid w:val="154832E1"/>
    <w:multiLevelType w:val="singleLevel"/>
    <w:tmpl w:val="FF5AE0D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161F45DB"/>
    <w:multiLevelType w:val="hybridMultilevel"/>
    <w:tmpl w:val="30384F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17E90773"/>
    <w:multiLevelType w:val="hybridMultilevel"/>
    <w:tmpl w:val="53FC3F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A66029"/>
    <w:multiLevelType w:val="singleLevel"/>
    <w:tmpl w:val="F9CEF21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19C84FB4"/>
    <w:multiLevelType w:val="hybridMultilevel"/>
    <w:tmpl w:val="01C2B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F33BBA"/>
    <w:multiLevelType w:val="hybridMultilevel"/>
    <w:tmpl w:val="0812E2DE"/>
    <w:lvl w:ilvl="0" w:tplc="E1AE5D66">
      <w:start w:val="1"/>
      <w:numFmt w:val="decimal"/>
      <w:pStyle w:val="Figure"/>
      <w:suff w:val="space"/>
      <w:lvlText w:val="Figure %1."/>
      <w:lvlJc w:val="left"/>
      <w:pPr>
        <w:ind w:left="2836" w:hanging="567"/>
      </w:pPr>
      <w:rPr>
        <w:rFonts w:hint="default"/>
      </w:r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22"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20093585"/>
    <w:multiLevelType w:val="multilevel"/>
    <w:tmpl w:val="D28853B2"/>
    <w:lvl w:ilvl="0">
      <w:start w:val="1"/>
      <w:numFmt w:val="bullet"/>
      <w:lvlText w:val=""/>
      <w:lvlJc w:val="left"/>
      <w:pPr>
        <w:tabs>
          <w:tab w:val="num" w:pos="284"/>
        </w:tabs>
        <w:ind w:left="170" w:hanging="170"/>
      </w:pPr>
      <w:rPr>
        <w:rFonts w:ascii="Symbol" w:hAnsi="Symbol" w:hint="default"/>
        <w:color w:val="auto"/>
        <w:sz w:val="20"/>
      </w:rPr>
    </w:lvl>
    <w:lvl w:ilvl="1">
      <w:start w:val="1"/>
      <w:numFmt w:val="bullet"/>
      <w:lvlText w:val="o"/>
      <w:lvlJc w:val="left"/>
      <w:pPr>
        <w:tabs>
          <w:tab w:val="num" w:pos="454"/>
        </w:tabs>
        <w:ind w:left="340" w:hanging="170"/>
      </w:pPr>
      <w:rPr>
        <w:rFonts w:ascii="Courier New" w:hAnsi="Courier New" w:cs="Courier New" w:hint="default"/>
        <w:color w:val="auto"/>
        <w:sz w:val="20"/>
      </w:rPr>
    </w:lvl>
    <w:lvl w:ilvl="2">
      <w:start w:val="1"/>
      <w:numFmt w:val="none"/>
      <w:lvlText w:val=""/>
      <w:lvlJc w:val="left"/>
      <w:pPr>
        <w:tabs>
          <w:tab w:val="num" w:pos="624"/>
        </w:tabs>
        <w:ind w:left="510" w:hanging="170"/>
      </w:pPr>
      <w:rPr>
        <w:rFonts w:hint="default"/>
        <w:color w:val="000000"/>
      </w:rPr>
    </w:lvl>
    <w:lvl w:ilvl="3">
      <w:start w:val="1"/>
      <w:numFmt w:val="none"/>
      <w:lvlText w:val="%4"/>
      <w:lvlJc w:val="left"/>
      <w:pPr>
        <w:tabs>
          <w:tab w:val="num" w:pos="794"/>
        </w:tabs>
        <w:ind w:left="680" w:hanging="170"/>
      </w:pPr>
      <w:rPr>
        <w:rFonts w:hint="default"/>
      </w:rPr>
    </w:lvl>
    <w:lvl w:ilvl="4">
      <w:start w:val="1"/>
      <w:numFmt w:val="none"/>
      <w:lvlText w:val=""/>
      <w:lvlJc w:val="left"/>
      <w:pPr>
        <w:tabs>
          <w:tab w:val="num" w:pos="964"/>
        </w:tabs>
        <w:ind w:left="850" w:hanging="170"/>
      </w:pPr>
      <w:rPr>
        <w:rFonts w:hint="default"/>
        <w:color w:val="000000"/>
      </w:rPr>
    </w:lvl>
    <w:lvl w:ilvl="5">
      <w:start w:val="1"/>
      <w:numFmt w:val="none"/>
      <w:lvlText w:val=""/>
      <w:lvlJc w:val="left"/>
      <w:pPr>
        <w:tabs>
          <w:tab w:val="num" w:pos="1134"/>
        </w:tabs>
        <w:ind w:left="1020" w:hanging="170"/>
      </w:pPr>
      <w:rPr>
        <w:rFonts w:hint="default"/>
      </w:rPr>
    </w:lvl>
    <w:lvl w:ilvl="6">
      <w:start w:val="1"/>
      <w:numFmt w:val="none"/>
      <w:lvlText w:val=""/>
      <w:lvlJc w:val="left"/>
      <w:pPr>
        <w:tabs>
          <w:tab w:val="num" w:pos="1304"/>
        </w:tabs>
        <w:ind w:left="1190" w:hanging="170"/>
      </w:pPr>
      <w:rPr>
        <w:rFonts w:hint="default"/>
        <w:color w:val="000000"/>
      </w:rPr>
    </w:lvl>
    <w:lvl w:ilvl="7">
      <w:start w:val="1"/>
      <w:numFmt w:val="none"/>
      <w:lvlText w:val="%8"/>
      <w:lvlJc w:val="left"/>
      <w:pPr>
        <w:tabs>
          <w:tab w:val="num" w:pos="1474"/>
        </w:tabs>
        <w:ind w:left="1360" w:hanging="170"/>
      </w:pPr>
      <w:rPr>
        <w:rFonts w:hint="default"/>
      </w:rPr>
    </w:lvl>
    <w:lvl w:ilvl="8">
      <w:start w:val="1"/>
      <w:numFmt w:val="none"/>
      <w:lvlText w:val=""/>
      <w:lvlJc w:val="left"/>
      <w:pPr>
        <w:tabs>
          <w:tab w:val="num" w:pos="1644"/>
        </w:tabs>
        <w:ind w:left="1530" w:hanging="170"/>
      </w:pPr>
      <w:rPr>
        <w:rFonts w:hint="default"/>
        <w:color w:val="000000"/>
      </w:rPr>
    </w:lvl>
  </w:abstractNum>
  <w:abstractNum w:abstractNumId="24" w15:restartNumberingAfterBreak="0">
    <w:nsid w:val="21F026C4"/>
    <w:multiLevelType w:val="hybridMultilevel"/>
    <w:tmpl w:val="2A8827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E72AE4"/>
    <w:multiLevelType w:val="hybridMultilevel"/>
    <w:tmpl w:val="199E3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F238E1"/>
    <w:multiLevelType w:val="singleLevel"/>
    <w:tmpl w:val="4B2C599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275E76A2"/>
    <w:multiLevelType w:val="hybridMultilevel"/>
    <w:tmpl w:val="03BCC304"/>
    <w:lvl w:ilvl="0" w:tplc="0C09000F">
      <w:start w:val="1"/>
      <w:numFmt w:val="decimal"/>
      <w:lvlText w:val="%1."/>
      <w:lvlJc w:val="left"/>
      <w:pPr>
        <w:ind w:left="425" w:hanging="283"/>
      </w:pPr>
      <w:rPr>
        <w:rFonts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8" w15:restartNumberingAfterBreak="0">
    <w:nsid w:val="276A47BB"/>
    <w:multiLevelType w:val="hybridMultilevel"/>
    <w:tmpl w:val="1D7CA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0" w15:restartNumberingAfterBreak="0">
    <w:nsid w:val="2A5B310C"/>
    <w:multiLevelType w:val="hybridMultilevel"/>
    <w:tmpl w:val="B57848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B080602"/>
    <w:multiLevelType w:val="hybridMultilevel"/>
    <w:tmpl w:val="B2969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CE64156"/>
    <w:multiLevelType w:val="hybridMultilevel"/>
    <w:tmpl w:val="87F09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023FC0"/>
    <w:multiLevelType w:val="hybridMultilevel"/>
    <w:tmpl w:val="74624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10B206E"/>
    <w:multiLevelType w:val="multilevel"/>
    <w:tmpl w:val="0574A0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18D3A53"/>
    <w:multiLevelType w:val="hybridMultilevel"/>
    <w:tmpl w:val="791A5400"/>
    <w:lvl w:ilvl="0" w:tplc="0C090003">
      <w:start w:val="1"/>
      <w:numFmt w:val="bullet"/>
      <w:lvlText w:val="o"/>
      <w:lvlJc w:val="left"/>
      <w:pPr>
        <w:ind w:left="700" w:hanging="360"/>
      </w:pPr>
      <w:rPr>
        <w:rFonts w:ascii="Courier New" w:hAnsi="Courier New" w:cs="Courier New" w:hint="default"/>
      </w:rPr>
    </w:lvl>
    <w:lvl w:ilvl="1" w:tplc="0C090003">
      <w:start w:val="1"/>
      <w:numFmt w:val="bullet"/>
      <w:lvlText w:val="o"/>
      <w:lvlJc w:val="left"/>
      <w:pPr>
        <w:ind w:left="1420" w:hanging="360"/>
      </w:pPr>
      <w:rPr>
        <w:rFonts w:ascii="Courier New" w:hAnsi="Courier New" w:cs="Courier New" w:hint="default"/>
      </w:rPr>
    </w:lvl>
    <w:lvl w:ilvl="2" w:tplc="0C090005">
      <w:start w:val="1"/>
      <w:numFmt w:val="bullet"/>
      <w:lvlText w:val=""/>
      <w:lvlJc w:val="left"/>
      <w:pPr>
        <w:ind w:left="2140" w:hanging="360"/>
      </w:pPr>
      <w:rPr>
        <w:rFonts w:ascii="Wingdings" w:hAnsi="Wingdings" w:hint="default"/>
      </w:rPr>
    </w:lvl>
    <w:lvl w:ilvl="3" w:tplc="0C090001">
      <w:start w:val="1"/>
      <w:numFmt w:val="bullet"/>
      <w:lvlText w:val=""/>
      <w:lvlJc w:val="left"/>
      <w:pPr>
        <w:ind w:left="2860" w:hanging="360"/>
      </w:pPr>
      <w:rPr>
        <w:rFonts w:ascii="Symbol" w:hAnsi="Symbol" w:hint="default"/>
      </w:rPr>
    </w:lvl>
    <w:lvl w:ilvl="4" w:tplc="0C090003">
      <w:start w:val="1"/>
      <w:numFmt w:val="bullet"/>
      <w:lvlText w:val="o"/>
      <w:lvlJc w:val="left"/>
      <w:pPr>
        <w:ind w:left="3580" w:hanging="360"/>
      </w:pPr>
      <w:rPr>
        <w:rFonts w:ascii="Courier New" w:hAnsi="Courier New" w:cs="Courier New" w:hint="default"/>
      </w:rPr>
    </w:lvl>
    <w:lvl w:ilvl="5" w:tplc="0C090005">
      <w:start w:val="1"/>
      <w:numFmt w:val="bullet"/>
      <w:lvlText w:val=""/>
      <w:lvlJc w:val="left"/>
      <w:pPr>
        <w:ind w:left="4300" w:hanging="360"/>
      </w:pPr>
      <w:rPr>
        <w:rFonts w:ascii="Wingdings" w:hAnsi="Wingdings" w:hint="default"/>
      </w:rPr>
    </w:lvl>
    <w:lvl w:ilvl="6" w:tplc="0C090001">
      <w:start w:val="1"/>
      <w:numFmt w:val="bullet"/>
      <w:lvlText w:val=""/>
      <w:lvlJc w:val="left"/>
      <w:pPr>
        <w:ind w:left="5020" w:hanging="360"/>
      </w:pPr>
      <w:rPr>
        <w:rFonts w:ascii="Symbol" w:hAnsi="Symbol" w:hint="default"/>
      </w:rPr>
    </w:lvl>
    <w:lvl w:ilvl="7" w:tplc="0C090003">
      <w:start w:val="1"/>
      <w:numFmt w:val="bullet"/>
      <w:lvlText w:val="o"/>
      <w:lvlJc w:val="left"/>
      <w:pPr>
        <w:ind w:left="5740" w:hanging="360"/>
      </w:pPr>
      <w:rPr>
        <w:rFonts w:ascii="Courier New" w:hAnsi="Courier New" w:cs="Courier New" w:hint="default"/>
      </w:rPr>
    </w:lvl>
    <w:lvl w:ilvl="8" w:tplc="0C090005">
      <w:start w:val="1"/>
      <w:numFmt w:val="bullet"/>
      <w:lvlText w:val=""/>
      <w:lvlJc w:val="left"/>
      <w:pPr>
        <w:ind w:left="6460" w:hanging="360"/>
      </w:pPr>
      <w:rPr>
        <w:rFonts w:ascii="Wingdings" w:hAnsi="Wingdings" w:hint="default"/>
      </w:rPr>
    </w:lvl>
  </w:abstractNum>
  <w:abstractNum w:abstractNumId="36" w15:restartNumberingAfterBreak="0">
    <w:nsid w:val="3253451E"/>
    <w:multiLevelType w:val="hybridMultilevel"/>
    <w:tmpl w:val="4E6E4926"/>
    <w:lvl w:ilvl="0" w:tplc="A728257A">
      <w:start w:val="1"/>
      <w:numFmt w:val="bullet"/>
      <w:lvlText w:val="•"/>
      <w:lvlJc w:val="left"/>
      <w:pPr>
        <w:ind w:left="720" w:hanging="360"/>
      </w:pPr>
      <w:rPr>
        <w:rFonts w:ascii="Arial" w:hAnsi="Arial" w:cs="Times New Roman" w:hint="default"/>
      </w:rPr>
    </w:lvl>
    <w:lvl w:ilvl="1" w:tplc="3DB6F7F4">
      <w:start w:val="1"/>
      <w:numFmt w:val="bullet"/>
      <w:lvlText w:val="o"/>
      <w:lvlJc w:val="left"/>
      <w:pPr>
        <w:ind w:left="1440" w:hanging="360"/>
      </w:pPr>
      <w:rPr>
        <w:rFonts w:ascii="Courier New" w:hAnsi="Courier New" w:cs="Times New Roman" w:hint="default"/>
      </w:rPr>
    </w:lvl>
    <w:lvl w:ilvl="2" w:tplc="E5AA5010">
      <w:start w:val="1"/>
      <w:numFmt w:val="bullet"/>
      <w:lvlText w:val=""/>
      <w:lvlJc w:val="left"/>
      <w:pPr>
        <w:ind w:left="2160" w:hanging="360"/>
      </w:pPr>
      <w:rPr>
        <w:rFonts w:ascii="Wingdings" w:hAnsi="Wingdings" w:hint="default"/>
      </w:rPr>
    </w:lvl>
    <w:lvl w:ilvl="3" w:tplc="02B676E8">
      <w:start w:val="1"/>
      <w:numFmt w:val="bullet"/>
      <w:lvlText w:val=""/>
      <w:lvlJc w:val="left"/>
      <w:pPr>
        <w:ind w:left="2880" w:hanging="360"/>
      </w:pPr>
      <w:rPr>
        <w:rFonts w:ascii="Symbol" w:hAnsi="Symbol" w:hint="default"/>
      </w:rPr>
    </w:lvl>
    <w:lvl w:ilvl="4" w:tplc="19902E74">
      <w:start w:val="1"/>
      <w:numFmt w:val="bullet"/>
      <w:lvlText w:val="o"/>
      <w:lvlJc w:val="left"/>
      <w:pPr>
        <w:ind w:left="3600" w:hanging="360"/>
      </w:pPr>
      <w:rPr>
        <w:rFonts w:ascii="Courier New" w:hAnsi="Courier New" w:cs="Times New Roman" w:hint="default"/>
      </w:rPr>
    </w:lvl>
    <w:lvl w:ilvl="5" w:tplc="A6827110">
      <w:start w:val="1"/>
      <w:numFmt w:val="bullet"/>
      <w:lvlText w:val=""/>
      <w:lvlJc w:val="left"/>
      <w:pPr>
        <w:ind w:left="4320" w:hanging="360"/>
      </w:pPr>
      <w:rPr>
        <w:rFonts w:ascii="Wingdings" w:hAnsi="Wingdings" w:hint="default"/>
      </w:rPr>
    </w:lvl>
    <w:lvl w:ilvl="6" w:tplc="FFEC8C6C">
      <w:start w:val="1"/>
      <w:numFmt w:val="bullet"/>
      <w:lvlText w:val=""/>
      <w:lvlJc w:val="left"/>
      <w:pPr>
        <w:ind w:left="5040" w:hanging="360"/>
      </w:pPr>
      <w:rPr>
        <w:rFonts w:ascii="Symbol" w:hAnsi="Symbol" w:hint="default"/>
      </w:rPr>
    </w:lvl>
    <w:lvl w:ilvl="7" w:tplc="ACF00294">
      <w:start w:val="1"/>
      <w:numFmt w:val="bullet"/>
      <w:lvlText w:val="o"/>
      <w:lvlJc w:val="left"/>
      <w:pPr>
        <w:ind w:left="5760" w:hanging="360"/>
      </w:pPr>
      <w:rPr>
        <w:rFonts w:ascii="Courier New" w:hAnsi="Courier New" w:cs="Times New Roman" w:hint="default"/>
      </w:rPr>
    </w:lvl>
    <w:lvl w:ilvl="8" w:tplc="2ECEDAC2">
      <w:start w:val="1"/>
      <w:numFmt w:val="bullet"/>
      <w:lvlText w:val=""/>
      <w:lvlJc w:val="left"/>
      <w:pPr>
        <w:ind w:left="6480" w:hanging="360"/>
      </w:pPr>
      <w:rPr>
        <w:rFonts w:ascii="Wingdings" w:hAnsi="Wingdings" w:hint="default"/>
      </w:rPr>
    </w:lvl>
  </w:abstractNum>
  <w:abstractNum w:abstractNumId="37" w15:restartNumberingAfterBreak="0">
    <w:nsid w:val="33020AB6"/>
    <w:multiLevelType w:val="singleLevel"/>
    <w:tmpl w:val="FC304FA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8"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9" w15:restartNumberingAfterBreak="0">
    <w:nsid w:val="39553DD7"/>
    <w:multiLevelType w:val="hybridMultilevel"/>
    <w:tmpl w:val="30940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CB5BB5"/>
    <w:multiLevelType w:val="singleLevel"/>
    <w:tmpl w:val="6AF0EE8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1" w15:restartNumberingAfterBreak="0">
    <w:nsid w:val="3A0F062C"/>
    <w:multiLevelType w:val="hybridMultilevel"/>
    <w:tmpl w:val="D30629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3E6856C1"/>
    <w:multiLevelType w:val="singleLevel"/>
    <w:tmpl w:val="C3F296F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3" w15:restartNumberingAfterBreak="0">
    <w:nsid w:val="420C75C8"/>
    <w:multiLevelType w:val="singleLevel"/>
    <w:tmpl w:val="CDA83BF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4" w15:restartNumberingAfterBreak="0">
    <w:nsid w:val="461965BF"/>
    <w:multiLevelType w:val="singleLevel"/>
    <w:tmpl w:val="D18EF31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5" w15:restartNumberingAfterBreak="0">
    <w:nsid w:val="47ED0C9D"/>
    <w:multiLevelType w:val="singleLevel"/>
    <w:tmpl w:val="3904D6B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6" w15:restartNumberingAfterBreak="0">
    <w:nsid w:val="49365DF6"/>
    <w:multiLevelType w:val="hybridMultilevel"/>
    <w:tmpl w:val="E2BA9AF6"/>
    <w:lvl w:ilvl="0" w:tplc="0C090003">
      <w:start w:val="1"/>
      <w:numFmt w:val="bullet"/>
      <w:lvlText w:val="o"/>
      <w:lvlJc w:val="left"/>
      <w:pPr>
        <w:ind w:left="890" w:hanging="360"/>
      </w:pPr>
      <w:rPr>
        <w:rFonts w:ascii="Courier New" w:hAnsi="Courier New" w:cs="Courier New"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4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48" w15:restartNumberingAfterBreak="0">
    <w:nsid w:val="499C385F"/>
    <w:multiLevelType w:val="singleLevel"/>
    <w:tmpl w:val="F8E4CB28"/>
    <w:lvl w:ilvl="0">
      <w:start w:val="1"/>
      <w:numFmt w:val="bullet"/>
      <w:pStyle w:val="ListNumber"/>
      <w:lvlText w:val="•"/>
      <w:lvlJc w:val="left"/>
      <w:pPr>
        <w:tabs>
          <w:tab w:val="num" w:pos="340"/>
        </w:tabs>
        <w:ind w:left="340" w:hanging="340"/>
      </w:pPr>
      <w:rPr>
        <w:rFonts w:ascii="Arial" w:hAnsi="Arial" w:cs="Arial" w:hint="default"/>
        <w:color w:val="FFFFFF" w:themeColor="background1"/>
        <w:sz w:val="24"/>
      </w:rPr>
    </w:lvl>
  </w:abstractNum>
  <w:abstractNum w:abstractNumId="49" w15:restartNumberingAfterBreak="0">
    <w:nsid w:val="4E15361B"/>
    <w:multiLevelType w:val="singleLevel"/>
    <w:tmpl w:val="10E693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0" w15:restartNumberingAfterBreak="0">
    <w:nsid w:val="501C0E34"/>
    <w:multiLevelType w:val="singleLevel"/>
    <w:tmpl w:val="DB027C2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1" w15:restartNumberingAfterBreak="0">
    <w:nsid w:val="54690490"/>
    <w:multiLevelType w:val="hybridMultilevel"/>
    <w:tmpl w:val="4A227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59B69F0"/>
    <w:multiLevelType w:val="hybridMultilevel"/>
    <w:tmpl w:val="F8427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6124ABB"/>
    <w:multiLevelType w:val="hybridMultilevel"/>
    <w:tmpl w:val="35A2E852"/>
    <w:lvl w:ilvl="0" w:tplc="0C090003">
      <w:start w:val="1"/>
      <w:numFmt w:val="bullet"/>
      <w:lvlText w:val="o"/>
      <w:lvlJc w:val="left"/>
      <w:pPr>
        <w:ind w:left="700" w:hanging="360"/>
      </w:pPr>
      <w:rPr>
        <w:rFonts w:ascii="Courier New" w:hAnsi="Courier New" w:cs="Courier New" w:hint="default"/>
      </w:rPr>
    </w:lvl>
    <w:lvl w:ilvl="1" w:tplc="0C090003">
      <w:start w:val="1"/>
      <w:numFmt w:val="bullet"/>
      <w:lvlText w:val="o"/>
      <w:lvlJc w:val="left"/>
      <w:pPr>
        <w:ind w:left="1420" w:hanging="360"/>
      </w:pPr>
      <w:rPr>
        <w:rFonts w:ascii="Courier New" w:hAnsi="Courier New" w:cs="Courier New" w:hint="default"/>
      </w:rPr>
    </w:lvl>
    <w:lvl w:ilvl="2" w:tplc="0C090005">
      <w:start w:val="1"/>
      <w:numFmt w:val="bullet"/>
      <w:lvlText w:val=""/>
      <w:lvlJc w:val="left"/>
      <w:pPr>
        <w:ind w:left="2140" w:hanging="360"/>
      </w:pPr>
      <w:rPr>
        <w:rFonts w:ascii="Wingdings" w:hAnsi="Wingdings" w:hint="default"/>
      </w:rPr>
    </w:lvl>
    <w:lvl w:ilvl="3" w:tplc="0C090001">
      <w:start w:val="1"/>
      <w:numFmt w:val="bullet"/>
      <w:lvlText w:val=""/>
      <w:lvlJc w:val="left"/>
      <w:pPr>
        <w:ind w:left="2860" w:hanging="360"/>
      </w:pPr>
      <w:rPr>
        <w:rFonts w:ascii="Symbol" w:hAnsi="Symbol" w:hint="default"/>
      </w:rPr>
    </w:lvl>
    <w:lvl w:ilvl="4" w:tplc="0C090003">
      <w:start w:val="1"/>
      <w:numFmt w:val="bullet"/>
      <w:lvlText w:val="o"/>
      <w:lvlJc w:val="left"/>
      <w:pPr>
        <w:ind w:left="3580" w:hanging="360"/>
      </w:pPr>
      <w:rPr>
        <w:rFonts w:ascii="Courier New" w:hAnsi="Courier New" w:cs="Courier New" w:hint="default"/>
      </w:rPr>
    </w:lvl>
    <w:lvl w:ilvl="5" w:tplc="0C090005">
      <w:start w:val="1"/>
      <w:numFmt w:val="bullet"/>
      <w:lvlText w:val=""/>
      <w:lvlJc w:val="left"/>
      <w:pPr>
        <w:ind w:left="4300" w:hanging="360"/>
      </w:pPr>
      <w:rPr>
        <w:rFonts w:ascii="Wingdings" w:hAnsi="Wingdings" w:hint="default"/>
      </w:rPr>
    </w:lvl>
    <w:lvl w:ilvl="6" w:tplc="0C090001">
      <w:start w:val="1"/>
      <w:numFmt w:val="bullet"/>
      <w:lvlText w:val=""/>
      <w:lvlJc w:val="left"/>
      <w:pPr>
        <w:ind w:left="5020" w:hanging="360"/>
      </w:pPr>
      <w:rPr>
        <w:rFonts w:ascii="Symbol" w:hAnsi="Symbol" w:hint="default"/>
      </w:rPr>
    </w:lvl>
    <w:lvl w:ilvl="7" w:tplc="0C090003">
      <w:start w:val="1"/>
      <w:numFmt w:val="bullet"/>
      <w:lvlText w:val="o"/>
      <w:lvlJc w:val="left"/>
      <w:pPr>
        <w:ind w:left="5740" w:hanging="360"/>
      </w:pPr>
      <w:rPr>
        <w:rFonts w:ascii="Courier New" w:hAnsi="Courier New" w:cs="Courier New" w:hint="default"/>
      </w:rPr>
    </w:lvl>
    <w:lvl w:ilvl="8" w:tplc="0C090005">
      <w:start w:val="1"/>
      <w:numFmt w:val="bullet"/>
      <w:lvlText w:val=""/>
      <w:lvlJc w:val="left"/>
      <w:pPr>
        <w:ind w:left="6460" w:hanging="360"/>
      </w:pPr>
      <w:rPr>
        <w:rFonts w:ascii="Wingdings" w:hAnsi="Wingdings" w:hint="default"/>
      </w:rPr>
    </w:lvl>
  </w:abstractNum>
  <w:abstractNum w:abstractNumId="54" w15:restartNumberingAfterBreak="0">
    <w:nsid w:val="563B5689"/>
    <w:multiLevelType w:val="hybridMultilevel"/>
    <w:tmpl w:val="0FEAC93A"/>
    <w:lvl w:ilvl="0" w:tplc="0C090001">
      <w:start w:val="1"/>
      <w:numFmt w:val="bullet"/>
      <w:lvlText w:val=""/>
      <w:lvlJc w:val="left"/>
      <w:pPr>
        <w:ind w:left="493" w:hanging="360"/>
      </w:pPr>
      <w:rPr>
        <w:rFonts w:ascii="Symbol" w:hAnsi="Symbol" w:hint="default"/>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55" w15:restartNumberingAfterBreak="0">
    <w:nsid w:val="570D529B"/>
    <w:multiLevelType w:val="singleLevel"/>
    <w:tmpl w:val="DB10739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6" w15:restartNumberingAfterBreak="0">
    <w:nsid w:val="5AA70450"/>
    <w:multiLevelType w:val="singleLevel"/>
    <w:tmpl w:val="3BA80F4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7" w15:restartNumberingAfterBreak="0">
    <w:nsid w:val="5CAA4210"/>
    <w:multiLevelType w:val="hybridMultilevel"/>
    <w:tmpl w:val="5DEA7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B0207B"/>
    <w:multiLevelType w:val="multilevel"/>
    <w:tmpl w:val="B7164DCE"/>
    <w:lvl w:ilvl="0">
      <w:start w:val="1"/>
      <w:numFmt w:val="bullet"/>
      <w:pStyle w:val="TableBullet"/>
      <w:lvlText w:val=""/>
      <w:lvlJc w:val="left"/>
      <w:pPr>
        <w:tabs>
          <w:tab w:val="num" w:pos="284"/>
        </w:tabs>
        <w:ind w:left="170" w:hanging="170"/>
      </w:pPr>
      <w:rPr>
        <w:rFonts w:ascii="Symbol" w:hAnsi="Symbol" w:hint="default"/>
        <w:color w:val="auto"/>
        <w:sz w:val="20"/>
      </w:rPr>
    </w:lvl>
    <w:lvl w:ilvl="1">
      <w:start w:val="1"/>
      <w:numFmt w:val="bullet"/>
      <w:pStyle w:val="TableBullet2"/>
      <w:lvlText w:val="o"/>
      <w:lvlJc w:val="left"/>
      <w:pPr>
        <w:tabs>
          <w:tab w:val="num" w:pos="454"/>
        </w:tabs>
        <w:ind w:left="340" w:hanging="170"/>
      </w:pPr>
      <w:rPr>
        <w:rFonts w:ascii="Courier New" w:hAnsi="Courier New" w:cs="Courier New" w:hint="default"/>
        <w:color w:val="auto"/>
        <w:sz w:val="20"/>
      </w:rPr>
    </w:lvl>
    <w:lvl w:ilvl="2">
      <w:start w:val="1"/>
      <w:numFmt w:val="none"/>
      <w:lvlText w:val=""/>
      <w:lvlJc w:val="left"/>
      <w:pPr>
        <w:tabs>
          <w:tab w:val="num" w:pos="624"/>
        </w:tabs>
        <w:ind w:left="510" w:hanging="170"/>
      </w:pPr>
      <w:rPr>
        <w:rFonts w:hint="default"/>
        <w:color w:val="000000"/>
      </w:rPr>
    </w:lvl>
    <w:lvl w:ilvl="3">
      <w:start w:val="1"/>
      <w:numFmt w:val="none"/>
      <w:lvlText w:val="%4"/>
      <w:lvlJc w:val="left"/>
      <w:pPr>
        <w:tabs>
          <w:tab w:val="num" w:pos="794"/>
        </w:tabs>
        <w:ind w:left="680" w:hanging="170"/>
      </w:pPr>
      <w:rPr>
        <w:rFonts w:hint="default"/>
      </w:rPr>
    </w:lvl>
    <w:lvl w:ilvl="4">
      <w:start w:val="1"/>
      <w:numFmt w:val="none"/>
      <w:lvlText w:val=""/>
      <w:lvlJc w:val="left"/>
      <w:pPr>
        <w:tabs>
          <w:tab w:val="num" w:pos="964"/>
        </w:tabs>
        <w:ind w:left="850" w:hanging="170"/>
      </w:pPr>
      <w:rPr>
        <w:rFonts w:hint="default"/>
        <w:color w:val="000000"/>
      </w:rPr>
    </w:lvl>
    <w:lvl w:ilvl="5">
      <w:start w:val="1"/>
      <w:numFmt w:val="none"/>
      <w:lvlText w:val=""/>
      <w:lvlJc w:val="left"/>
      <w:pPr>
        <w:tabs>
          <w:tab w:val="num" w:pos="1134"/>
        </w:tabs>
        <w:ind w:left="1020" w:hanging="170"/>
      </w:pPr>
      <w:rPr>
        <w:rFonts w:hint="default"/>
      </w:rPr>
    </w:lvl>
    <w:lvl w:ilvl="6">
      <w:start w:val="1"/>
      <w:numFmt w:val="none"/>
      <w:lvlText w:val=""/>
      <w:lvlJc w:val="left"/>
      <w:pPr>
        <w:tabs>
          <w:tab w:val="num" w:pos="1304"/>
        </w:tabs>
        <w:ind w:left="1190" w:hanging="170"/>
      </w:pPr>
      <w:rPr>
        <w:rFonts w:hint="default"/>
        <w:color w:val="000000"/>
      </w:rPr>
    </w:lvl>
    <w:lvl w:ilvl="7">
      <w:start w:val="1"/>
      <w:numFmt w:val="none"/>
      <w:lvlText w:val="%8"/>
      <w:lvlJc w:val="left"/>
      <w:pPr>
        <w:tabs>
          <w:tab w:val="num" w:pos="1474"/>
        </w:tabs>
        <w:ind w:left="1360" w:hanging="170"/>
      </w:pPr>
      <w:rPr>
        <w:rFonts w:hint="default"/>
      </w:rPr>
    </w:lvl>
    <w:lvl w:ilvl="8">
      <w:start w:val="1"/>
      <w:numFmt w:val="none"/>
      <w:lvlText w:val=""/>
      <w:lvlJc w:val="left"/>
      <w:pPr>
        <w:tabs>
          <w:tab w:val="num" w:pos="1644"/>
        </w:tabs>
        <w:ind w:left="1530" w:hanging="170"/>
      </w:pPr>
      <w:rPr>
        <w:rFonts w:hint="default"/>
        <w:color w:val="000000"/>
      </w:rPr>
    </w:lvl>
  </w:abstractNum>
  <w:abstractNum w:abstractNumId="59" w15:restartNumberingAfterBreak="0">
    <w:nsid w:val="610F3943"/>
    <w:multiLevelType w:val="singleLevel"/>
    <w:tmpl w:val="86CCEA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0"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1" w15:restartNumberingAfterBreak="0">
    <w:nsid w:val="6DAF211F"/>
    <w:multiLevelType w:val="singleLevel"/>
    <w:tmpl w:val="D3481B1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2"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4D2CD5"/>
    <w:multiLevelType w:val="singleLevel"/>
    <w:tmpl w:val="92184C7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4" w15:restartNumberingAfterBreak="0">
    <w:nsid w:val="6FC70548"/>
    <w:multiLevelType w:val="singleLevel"/>
    <w:tmpl w:val="421205B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5" w15:restartNumberingAfterBreak="0">
    <w:nsid w:val="71E102EC"/>
    <w:multiLevelType w:val="singleLevel"/>
    <w:tmpl w:val="17CC51E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6" w15:restartNumberingAfterBreak="0">
    <w:nsid w:val="723D60E5"/>
    <w:multiLevelType w:val="hybridMultilevel"/>
    <w:tmpl w:val="8F9CED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68" w15:restartNumberingAfterBreak="0">
    <w:nsid w:val="76D75DCB"/>
    <w:multiLevelType w:val="multilevel"/>
    <w:tmpl w:val="89F28914"/>
    <w:lvl w:ilvl="0">
      <w:start w:val="1"/>
      <w:numFmt w:val="decimal"/>
      <w:suff w:val="space"/>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A1C5B95"/>
    <w:multiLevelType w:val="hybridMultilevel"/>
    <w:tmpl w:val="489E5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E73491E"/>
    <w:multiLevelType w:val="hybridMultilevel"/>
    <w:tmpl w:val="7F7C4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ED202A5"/>
    <w:multiLevelType w:val="hybridMultilevel"/>
    <w:tmpl w:val="D698105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62"/>
  </w:num>
  <w:num w:numId="4">
    <w:abstractNumId w:val="29"/>
  </w:num>
  <w:num w:numId="5">
    <w:abstractNumId w:val="69"/>
  </w:num>
  <w:num w:numId="6">
    <w:abstractNumId w:val="21"/>
  </w:num>
  <w:num w:numId="7">
    <w:abstractNumId w:val="47"/>
  </w:num>
  <w:num w:numId="8">
    <w:abstractNumId w:val="15"/>
  </w:num>
  <w:num w:numId="9">
    <w:abstractNumId w:val="22"/>
  </w:num>
  <w:num w:numId="10">
    <w:abstractNumId w:val="10"/>
  </w:num>
  <w:num w:numId="11">
    <w:abstractNumId w:val="34"/>
  </w:num>
  <w:num w:numId="12">
    <w:abstractNumId w:val="67"/>
  </w:num>
  <w:num w:numId="13">
    <w:abstractNumId w:val="68"/>
  </w:num>
  <w:num w:numId="14">
    <w:abstractNumId w:val="38"/>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
    <w:abstractNumId w:val="0"/>
  </w:num>
  <w:num w:numId="16">
    <w:abstractNumId w:val="56"/>
  </w:num>
  <w:num w:numId="17">
    <w:abstractNumId w:val="48"/>
  </w:num>
  <w:num w:numId="18">
    <w:abstractNumId w:val="33"/>
  </w:num>
  <w:num w:numId="19">
    <w:abstractNumId w:val="7"/>
  </w:num>
  <w:num w:numId="20">
    <w:abstractNumId w:val="20"/>
  </w:num>
  <w:num w:numId="21">
    <w:abstractNumId w:val="39"/>
  </w:num>
  <w:num w:numId="22">
    <w:abstractNumId w:val="51"/>
  </w:num>
  <w:num w:numId="23">
    <w:abstractNumId w:val="57"/>
  </w:num>
  <w:num w:numId="24">
    <w:abstractNumId w:val="28"/>
  </w:num>
  <w:num w:numId="25">
    <w:abstractNumId w:val="32"/>
  </w:num>
  <w:num w:numId="26">
    <w:abstractNumId w:val="37"/>
  </w:num>
  <w:num w:numId="27">
    <w:abstractNumId w:val="26"/>
  </w:num>
  <w:num w:numId="28">
    <w:abstractNumId w:val="61"/>
  </w:num>
  <w:num w:numId="29">
    <w:abstractNumId w:val="54"/>
  </w:num>
  <w:num w:numId="30">
    <w:abstractNumId w:val="45"/>
  </w:num>
  <w:num w:numId="31">
    <w:abstractNumId w:val="36"/>
  </w:num>
  <w:num w:numId="32">
    <w:abstractNumId w:val="42"/>
  </w:num>
  <w:num w:numId="33">
    <w:abstractNumId w:val="41"/>
  </w:num>
  <w:num w:numId="34">
    <w:abstractNumId w:val="17"/>
  </w:num>
  <w:num w:numId="35">
    <w:abstractNumId w:val="50"/>
  </w:num>
  <w:num w:numId="36">
    <w:abstractNumId w:val="53"/>
  </w:num>
  <w:num w:numId="37">
    <w:abstractNumId w:val="19"/>
  </w:num>
  <w:num w:numId="38">
    <w:abstractNumId w:val="40"/>
  </w:num>
  <w:num w:numId="39">
    <w:abstractNumId w:val="55"/>
  </w:num>
  <w:num w:numId="40">
    <w:abstractNumId w:val="49"/>
  </w:num>
  <w:num w:numId="41">
    <w:abstractNumId w:val="35"/>
  </w:num>
  <w:num w:numId="42">
    <w:abstractNumId w:val="70"/>
  </w:num>
  <w:num w:numId="43">
    <w:abstractNumId w:val="63"/>
  </w:num>
  <w:num w:numId="44">
    <w:abstractNumId w:val="13"/>
  </w:num>
  <w:num w:numId="45">
    <w:abstractNumId w:val="2"/>
  </w:num>
  <w:num w:numId="46">
    <w:abstractNumId w:val="31"/>
  </w:num>
  <w:num w:numId="47">
    <w:abstractNumId w:val="11"/>
  </w:num>
  <w:num w:numId="48">
    <w:abstractNumId w:val="60"/>
  </w:num>
  <w:num w:numId="49">
    <w:abstractNumId w:val="3"/>
    <w:lvlOverride w:ilvl="0">
      <w:lvl w:ilvl="0">
        <w:start w:val="1"/>
        <w:numFmt w:val="decimal"/>
        <w:pStyle w:val="TableNumber"/>
        <w:lvlText w:val="%1."/>
        <w:lvlJc w:val="left"/>
        <w:pPr>
          <w:tabs>
            <w:tab w:val="num" w:pos="284"/>
          </w:tabs>
          <w:ind w:left="227" w:hanging="227"/>
        </w:pPr>
        <w:rPr>
          <w:rFonts w:asciiTheme="minorHAnsi" w:hAnsiTheme="minorHAnsi" w:hint="default"/>
          <w:b w:val="0"/>
          <w:i w:val="0"/>
          <w:color w:val="auto"/>
          <w:sz w:val="20"/>
          <w:szCs w:val="21"/>
        </w:rPr>
      </w:lvl>
    </w:lvlOverride>
    <w:lvlOverride w:ilvl="1">
      <w:lvl w:ilvl="1">
        <w:start w:val="1"/>
        <w:numFmt w:val="lowerLetter"/>
        <w:pStyle w:val="TableNumber2"/>
        <w:lvlText w:val="%2."/>
        <w:lvlJc w:val="left"/>
        <w:pPr>
          <w:tabs>
            <w:tab w:val="num" w:pos="511"/>
          </w:tabs>
          <w:ind w:left="454" w:hanging="227"/>
        </w:pPr>
        <w:rPr>
          <w:rFonts w:asciiTheme="minorHAnsi" w:hAnsiTheme="minorHAnsi" w:hint="default"/>
          <w:b w:val="0"/>
          <w:i w:val="0"/>
          <w:color w:val="auto"/>
          <w:sz w:val="20"/>
          <w:szCs w:val="21"/>
        </w:rPr>
      </w:lvl>
    </w:lvlOverride>
    <w:lvlOverride w:ilvl="2">
      <w:lvl w:ilvl="2">
        <w:start w:val="1"/>
        <w:numFmt w:val="none"/>
        <w:lvlText w:val=""/>
        <w:lvlJc w:val="left"/>
        <w:pPr>
          <w:tabs>
            <w:tab w:val="num" w:pos="738"/>
          </w:tabs>
          <w:ind w:left="681" w:hanging="227"/>
        </w:pPr>
        <w:rPr>
          <w:rFonts w:ascii="Arial" w:hAnsi="Arial" w:hint="default"/>
          <w:b w:val="0"/>
          <w:i w:val="0"/>
          <w:sz w:val="18"/>
        </w:rPr>
      </w:lvl>
    </w:lvlOverride>
    <w:lvlOverride w:ilvl="3">
      <w:lvl w:ilvl="3">
        <w:start w:val="1"/>
        <w:numFmt w:val="none"/>
        <w:suff w:val="nothing"/>
        <w:lvlText w:val=""/>
        <w:lvlJc w:val="left"/>
        <w:pPr>
          <w:ind w:left="908" w:hanging="227"/>
        </w:pPr>
        <w:rPr>
          <w:rFonts w:ascii="Arial" w:hAnsi="Arial" w:hint="default"/>
          <w:b w:val="0"/>
          <w:i w:val="0"/>
          <w:sz w:val="18"/>
        </w:rPr>
      </w:lvl>
    </w:lvlOverride>
    <w:lvlOverride w:ilvl="4">
      <w:lvl w:ilvl="4">
        <w:start w:val="1"/>
        <w:numFmt w:val="none"/>
        <w:suff w:val="nothing"/>
        <w:lvlText w:val=""/>
        <w:lvlJc w:val="left"/>
        <w:pPr>
          <w:ind w:left="1135" w:hanging="227"/>
        </w:pPr>
        <w:rPr>
          <w:rFonts w:ascii="Arial" w:hAnsi="Arial" w:hint="default"/>
          <w:b w:val="0"/>
          <w:i w:val="0"/>
          <w:sz w:val="18"/>
        </w:rPr>
      </w:lvl>
    </w:lvlOverride>
    <w:lvlOverride w:ilvl="5">
      <w:lvl w:ilvl="5">
        <w:start w:val="1"/>
        <w:numFmt w:val="none"/>
        <w:suff w:val="nothing"/>
        <w:lvlText w:val=""/>
        <w:lvlJc w:val="left"/>
        <w:pPr>
          <w:ind w:left="1362" w:hanging="227"/>
        </w:pPr>
        <w:rPr>
          <w:rFonts w:ascii="Arial" w:hAnsi="Arial" w:hint="default"/>
          <w:b w:val="0"/>
          <w:i w:val="0"/>
          <w:sz w:val="18"/>
        </w:rPr>
      </w:lvl>
    </w:lvlOverride>
    <w:lvlOverride w:ilvl="6">
      <w:lvl w:ilvl="6">
        <w:start w:val="1"/>
        <w:numFmt w:val="none"/>
        <w:suff w:val="nothing"/>
        <w:lvlText w:val="%7"/>
        <w:lvlJc w:val="left"/>
        <w:pPr>
          <w:ind w:left="1589" w:hanging="227"/>
        </w:pPr>
        <w:rPr>
          <w:rFonts w:hint="default"/>
        </w:rPr>
      </w:lvl>
    </w:lvlOverride>
    <w:lvlOverride w:ilvl="7">
      <w:lvl w:ilvl="7">
        <w:start w:val="1"/>
        <w:numFmt w:val="none"/>
        <w:suff w:val="nothing"/>
        <w:lvlText w:val="%8"/>
        <w:lvlJc w:val="left"/>
        <w:pPr>
          <w:ind w:left="1816" w:hanging="227"/>
        </w:pPr>
        <w:rPr>
          <w:rFonts w:hint="default"/>
        </w:rPr>
      </w:lvl>
    </w:lvlOverride>
    <w:lvlOverride w:ilvl="8">
      <w:lvl w:ilvl="8">
        <w:start w:val="1"/>
        <w:numFmt w:val="none"/>
        <w:suff w:val="nothing"/>
        <w:lvlText w:val="%9"/>
        <w:lvlJc w:val="left"/>
        <w:pPr>
          <w:ind w:left="2043" w:hanging="227"/>
        </w:pPr>
        <w:rPr>
          <w:rFonts w:hint="default"/>
        </w:rPr>
      </w:lvl>
    </w:lvlOverride>
  </w:num>
  <w:num w:numId="50">
    <w:abstractNumId w:val="58"/>
  </w:num>
  <w:num w:numId="51">
    <w:abstractNumId w:val="25"/>
  </w:num>
  <w:num w:numId="52">
    <w:abstractNumId w:val="46"/>
  </w:num>
  <w:num w:numId="53">
    <w:abstractNumId w:val="66"/>
  </w:num>
  <w:num w:numId="54">
    <w:abstractNumId w:val="24"/>
  </w:num>
  <w:num w:numId="55">
    <w:abstractNumId w:val="18"/>
  </w:num>
  <w:num w:numId="56">
    <w:abstractNumId w:val="8"/>
  </w:num>
  <w:num w:numId="57">
    <w:abstractNumId w:val="23"/>
  </w:num>
  <w:num w:numId="58">
    <w:abstractNumId w:val="27"/>
  </w:num>
  <w:num w:numId="59">
    <w:abstractNumId w:val="52"/>
  </w:num>
  <w:num w:numId="60">
    <w:abstractNumId w:val="71"/>
  </w:num>
  <w:num w:numId="61">
    <w:abstractNumId w:val="30"/>
  </w:num>
  <w:num w:numId="62">
    <w:abstractNumId w:val="14"/>
  </w:num>
  <w:num w:numId="63">
    <w:abstractNumId w:val="72"/>
  </w:num>
  <w:num w:numId="64">
    <w:abstractNumId w:val="4"/>
  </w:num>
  <w:num w:numId="65">
    <w:abstractNumId w:val="12"/>
  </w:num>
  <w:num w:numId="66">
    <w:abstractNumId w:val="9"/>
  </w:num>
  <w:num w:numId="67">
    <w:abstractNumId w:val="1"/>
  </w:num>
  <w:num w:numId="68">
    <w:abstractNumId w:val="44"/>
  </w:num>
  <w:num w:numId="69">
    <w:abstractNumId w:val="64"/>
  </w:num>
  <w:num w:numId="70">
    <w:abstractNumId w:val="59"/>
  </w:num>
  <w:num w:numId="71">
    <w:abstractNumId w:val="42"/>
  </w:num>
  <w:num w:numId="72">
    <w:abstractNumId w:val="16"/>
  </w:num>
  <w:num w:numId="73">
    <w:abstractNumId w:val="43"/>
  </w:num>
  <w:num w:numId="74">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32"/>
    <w:rsid w:val="000017F3"/>
    <w:rsid w:val="000019B5"/>
    <w:rsid w:val="000023C3"/>
    <w:rsid w:val="0000375D"/>
    <w:rsid w:val="00003849"/>
    <w:rsid w:val="00004066"/>
    <w:rsid w:val="0000701E"/>
    <w:rsid w:val="00007802"/>
    <w:rsid w:val="00011BBA"/>
    <w:rsid w:val="0001477C"/>
    <w:rsid w:val="00021DFD"/>
    <w:rsid w:val="00022711"/>
    <w:rsid w:val="000235D2"/>
    <w:rsid w:val="000237D7"/>
    <w:rsid w:val="00025EEC"/>
    <w:rsid w:val="00027038"/>
    <w:rsid w:val="00030550"/>
    <w:rsid w:val="000310C9"/>
    <w:rsid w:val="0003154E"/>
    <w:rsid w:val="00031FF6"/>
    <w:rsid w:val="00035260"/>
    <w:rsid w:val="000354F0"/>
    <w:rsid w:val="0003612B"/>
    <w:rsid w:val="0003647E"/>
    <w:rsid w:val="00036CD7"/>
    <w:rsid w:val="00037513"/>
    <w:rsid w:val="000400B1"/>
    <w:rsid w:val="00045C33"/>
    <w:rsid w:val="00046969"/>
    <w:rsid w:val="0005027B"/>
    <w:rsid w:val="00050E86"/>
    <w:rsid w:val="0005248D"/>
    <w:rsid w:val="00052F94"/>
    <w:rsid w:val="00053550"/>
    <w:rsid w:val="00063418"/>
    <w:rsid w:val="00063AA9"/>
    <w:rsid w:val="00063F89"/>
    <w:rsid w:val="00064490"/>
    <w:rsid w:val="0006482F"/>
    <w:rsid w:val="00064C50"/>
    <w:rsid w:val="00065A5F"/>
    <w:rsid w:val="0006627F"/>
    <w:rsid w:val="00066728"/>
    <w:rsid w:val="00070F32"/>
    <w:rsid w:val="0007374C"/>
    <w:rsid w:val="00074F06"/>
    <w:rsid w:val="00075D5B"/>
    <w:rsid w:val="000763EB"/>
    <w:rsid w:val="00081476"/>
    <w:rsid w:val="00081C07"/>
    <w:rsid w:val="00082215"/>
    <w:rsid w:val="00083367"/>
    <w:rsid w:val="0008406C"/>
    <w:rsid w:val="00084642"/>
    <w:rsid w:val="000851EE"/>
    <w:rsid w:val="00087C0D"/>
    <w:rsid w:val="00090407"/>
    <w:rsid w:val="0009144E"/>
    <w:rsid w:val="0009185B"/>
    <w:rsid w:val="00092EBB"/>
    <w:rsid w:val="0009376E"/>
    <w:rsid w:val="00094E1A"/>
    <w:rsid w:val="00096B68"/>
    <w:rsid w:val="000A0645"/>
    <w:rsid w:val="000A140E"/>
    <w:rsid w:val="000A3E5B"/>
    <w:rsid w:val="000A5F0F"/>
    <w:rsid w:val="000A6F9B"/>
    <w:rsid w:val="000A70CF"/>
    <w:rsid w:val="000B119B"/>
    <w:rsid w:val="000B206D"/>
    <w:rsid w:val="000B3417"/>
    <w:rsid w:val="000B55B1"/>
    <w:rsid w:val="000B5682"/>
    <w:rsid w:val="000B6A28"/>
    <w:rsid w:val="000B72C1"/>
    <w:rsid w:val="000C24C0"/>
    <w:rsid w:val="000C4A1A"/>
    <w:rsid w:val="000C7A5A"/>
    <w:rsid w:val="000D0895"/>
    <w:rsid w:val="000D181B"/>
    <w:rsid w:val="000D199F"/>
    <w:rsid w:val="000D749D"/>
    <w:rsid w:val="000E5370"/>
    <w:rsid w:val="000F1E2B"/>
    <w:rsid w:val="000F5F7A"/>
    <w:rsid w:val="000F6ECF"/>
    <w:rsid w:val="001010D1"/>
    <w:rsid w:val="001034D3"/>
    <w:rsid w:val="00103571"/>
    <w:rsid w:val="00103DDE"/>
    <w:rsid w:val="00106A8B"/>
    <w:rsid w:val="0011349E"/>
    <w:rsid w:val="00115264"/>
    <w:rsid w:val="00115939"/>
    <w:rsid w:val="00115C4D"/>
    <w:rsid w:val="0011739F"/>
    <w:rsid w:val="00117A77"/>
    <w:rsid w:val="00122A4C"/>
    <w:rsid w:val="001235F8"/>
    <w:rsid w:val="001240CF"/>
    <w:rsid w:val="0012488F"/>
    <w:rsid w:val="00124DAE"/>
    <w:rsid w:val="001331B1"/>
    <w:rsid w:val="00136637"/>
    <w:rsid w:val="00137769"/>
    <w:rsid w:val="00137A1C"/>
    <w:rsid w:val="0014151F"/>
    <w:rsid w:val="00141DA2"/>
    <w:rsid w:val="00144E68"/>
    <w:rsid w:val="00146200"/>
    <w:rsid w:val="00147A10"/>
    <w:rsid w:val="00147F6E"/>
    <w:rsid w:val="001526AE"/>
    <w:rsid w:val="00157B5D"/>
    <w:rsid w:val="001611BF"/>
    <w:rsid w:val="0016139C"/>
    <w:rsid w:val="00161B44"/>
    <w:rsid w:val="001628AD"/>
    <w:rsid w:val="00164F44"/>
    <w:rsid w:val="0016512F"/>
    <w:rsid w:val="001661E4"/>
    <w:rsid w:val="0016657F"/>
    <w:rsid w:val="00167743"/>
    <w:rsid w:val="001679D6"/>
    <w:rsid w:val="0017436A"/>
    <w:rsid w:val="00174F80"/>
    <w:rsid w:val="00175211"/>
    <w:rsid w:val="001759EF"/>
    <w:rsid w:val="00175C28"/>
    <w:rsid w:val="00176730"/>
    <w:rsid w:val="00180D31"/>
    <w:rsid w:val="0018256C"/>
    <w:rsid w:val="00185AB6"/>
    <w:rsid w:val="00186F1B"/>
    <w:rsid w:val="00187239"/>
    <w:rsid w:val="00187B6C"/>
    <w:rsid w:val="00190B25"/>
    <w:rsid w:val="00192D55"/>
    <w:rsid w:val="001950F0"/>
    <w:rsid w:val="001954B4"/>
    <w:rsid w:val="001973C3"/>
    <w:rsid w:val="00197930"/>
    <w:rsid w:val="001A09A2"/>
    <w:rsid w:val="001A6F73"/>
    <w:rsid w:val="001A7440"/>
    <w:rsid w:val="001B0A29"/>
    <w:rsid w:val="001B296D"/>
    <w:rsid w:val="001B2D56"/>
    <w:rsid w:val="001B688E"/>
    <w:rsid w:val="001C3127"/>
    <w:rsid w:val="001C4C6D"/>
    <w:rsid w:val="001D159D"/>
    <w:rsid w:val="001D4644"/>
    <w:rsid w:val="001D63D2"/>
    <w:rsid w:val="001D64C7"/>
    <w:rsid w:val="001D6702"/>
    <w:rsid w:val="001D7ACD"/>
    <w:rsid w:val="001E1D49"/>
    <w:rsid w:val="001E2C8D"/>
    <w:rsid w:val="001E3A5D"/>
    <w:rsid w:val="001E3E82"/>
    <w:rsid w:val="001E484B"/>
    <w:rsid w:val="001E6AD4"/>
    <w:rsid w:val="001F02D2"/>
    <w:rsid w:val="001F1DD2"/>
    <w:rsid w:val="001F3E32"/>
    <w:rsid w:val="001F501A"/>
    <w:rsid w:val="001F7028"/>
    <w:rsid w:val="00200545"/>
    <w:rsid w:val="00201B0C"/>
    <w:rsid w:val="00201F23"/>
    <w:rsid w:val="00203248"/>
    <w:rsid w:val="00203A64"/>
    <w:rsid w:val="00205026"/>
    <w:rsid w:val="00206328"/>
    <w:rsid w:val="00207F7D"/>
    <w:rsid w:val="00210E27"/>
    <w:rsid w:val="00212443"/>
    <w:rsid w:val="00212AAA"/>
    <w:rsid w:val="00212D89"/>
    <w:rsid w:val="0021488B"/>
    <w:rsid w:val="00216274"/>
    <w:rsid w:val="002166C7"/>
    <w:rsid w:val="002208B9"/>
    <w:rsid w:val="00220DDA"/>
    <w:rsid w:val="002257F7"/>
    <w:rsid w:val="0022690C"/>
    <w:rsid w:val="00227DB5"/>
    <w:rsid w:val="002316B7"/>
    <w:rsid w:val="00236F90"/>
    <w:rsid w:val="00237B38"/>
    <w:rsid w:val="00240312"/>
    <w:rsid w:val="002406A2"/>
    <w:rsid w:val="00244A1B"/>
    <w:rsid w:val="00245EAD"/>
    <w:rsid w:val="0024738A"/>
    <w:rsid w:val="00250519"/>
    <w:rsid w:val="002506B0"/>
    <w:rsid w:val="00254737"/>
    <w:rsid w:val="00255E9F"/>
    <w:rsid w:val="00266CCC"/>
    <w:rsid w:val="00274D42"/>
    <w:rsid w:val="00275C03"/>
    <w:rsid w:val="00277184"/>
    <w:rsid w:val="002771EC"/>
    <w:rsid w:val="002816C0"/>
    <w:rsid w:val="002821C2"/>
    <w:rsid w:val="00283DFB"/>
    <w:rsid w:val="002841F5"/>
    <w:rsid w:val="002846D0"/>
    <w:rsid w:val="00285CAF"/>
    <w:rsid w:val="00287C95"/>
    <w:rsid w:val="00291A01"/>
    <w:rsid w:val="00292BA9"/>
    <w:rsid w:val="00292BFC"/>
    <w:rsid w:val="00293BE0"/>
    <w:rsid w:val="002943DA"/>
    <w:rsid w:val="00297A1B"/>
    <w:rsid w:val="002A0EDD"/>
    <w:rsid w:val="002A322C"/>
    <w:rsid w:val="002A5488"/>
    <w:rsid w:val="002A5B13"/>
    <w:rsid w:val="002A6358"/>
    <w:rsid w:val="002A6F52"/>
    <w:rsid w:val="002B0701"/>
    <w:rsid w:val="002B226A"/>
    <w:rsid w:val="002B2DE8"/>
    <w:rsid w:val="002B661A"/>
    <w:rsid w:val="002C07AF"/>
    <w:rsid w:val="002C2C1A"/>
    <w:rsid w:val="002C47AA"/>
    <w:rsid w:val="002C48C3"/>
    <w:rsid w:val="002C4D7E"/>
    <w:rsid w:val="002C4E5D"/>
    <w:rsid w:val="002C5755"/>
    <w:rsid w:val="002C5F39"/>
    <w:rsid w:val="002C7A05"/>
    <w:rsid w:val="002D0B11"/>
    <w:rsid w:val="002D4E64"/>
    <w:rsid w:val="002D59C7"/>
    <w:rsid w:val="002D67F6"/>
    <w:rsid w:val="002D6993"/>
    <w:rsid w:val="002D6B3D"/>
    <w:rsid w:val="002E0F96"/>
    <w:rsid w:val="002E1C12"/>
    <w:rsid w:val="002E272D"/>
    <w:rsid w:val="002E321A"/>
    <w:rsid w:val="002E3453"/>
    <w:rsid w:val="002E4D9E"/>
    <w:rsid w:val="002E5916"/>
    <w:rsid w:val="002E5D30"/>
    <w:rsid w:val="002E60E2"/>
    <w:rsid w:val="002F1739"/>
    <w:rsid w:val="002F2AD9"/>
    <w:rsid w:val="002F409B"/>
    <w:rsid w:val="00302889"/>
    <w:rsid w:val="00303C55"/>
    <w:rsid w:val="003051CB"/>
    <w:rsid w:val="0030684E"/>
    <w:rsid w:val="00307E6F"/>
    <w:rsid w:val="003105D3"/>
    <w:rsid w:val="00311C2D"/>
    <w:rsid w:val="00313C2A"/>
    <w:rsid w:val="003153CB"/>
    <w:rsid w:val="00317030"/>
    <w:rsid w:val="00323C98"/>
    <w:rsid w:val="00325D93"/>
    <w:rsid w:val="00327F43"/>
    <w:rsid w:val="00331501"/>
    <w:rsid w:val="00333C8F"/>
    <w:rsid w:val="003341BC"/>
    <w:rsid w:val="00334931"/>
    <w:rsid w:val="0033615F"/>
    <w:rsid w:val="00340548"/>
    <w:rsid w:val="0034088A"/>
    <w:rsid w:val="00341E64"/>
    <w:rsid w:val="00344BEE"/>
    <w:rsid w:val="00345124"/>
    <w:rsid w:val="0034556B"/>
    <w:rsid w:val="00345666"/>
    <w:rsid w:val="00351FC6"/>
    <w:rsid w:val="00352B3E"/>
    <w:rsid w:val="00353E5E"/>
    <w:rsid w:val="0035595F"/>
    <w:rsid w:val="003602A3"/>
    <w:rsid w:val="00360DD3"/>
    <w:rsid w:val="00361020"/>
    <w:rsid w:val="00362888"/>
    <w:rsid w:val="003637BC"/>
    <w:rsid w:val="003664A7"/>
    <w:rsid w:val="00367A87"/>
    <w:rsid w:val="00370676"/>
    <w:rsid w:val="00370B8B"/>
    <w:rsid w:val="00373BDE"/>
    <w:rsid w:val="00374D2A"/>
    <w:rsid w:val="00375B5B"/>
    <w:rsid w:val="00376910"/>
    <w:rsid w:val="00376F2D"/>
    <w:rsid w:val="00376FB4"/>
    <w:rsid w:val="00376FE6"/>
    <w:rsid w:val="00381313"/>
    <w:rsid w:val="00381947"/>
    <w:rsid w:val="00384DB1"/>
    <w:rsid w:val="00385BD5"/>
    <w:rsid w:val="00386A19"/>
    <w:rsid w:val="00387659"/>
    <w:rsid w:val="00392A92"/>
    <w:rsid w:val="0039340E"/>
    <w:rsid w:val="003936C3"/>
    <w:rsid w:val="00393D63"/>
    <w:rsid w:val="00394774"/>
    <w:rsid w:val="00394A95"/>
    <w:rsid w:val="00396C59"/>
    <w:rsid w:val="00397D16"/>
    <w:rsid w:val="003A4085"/>
    <w:rsid w:val="003B169A"/>
    <w:rsid w:val="003B338B"/>
    <w:rsid w:val="003B7424"/>
    <w:rsid w:val="003C0578"/>
    <w:rsid w:val="003C181D"/>
    <w:rsid w:val="003C3457"/>
    <w:rsid w:val="003C4245"/>
    <w:rsid w:val="003C5710"/>
    <w:rsid w:val="003D05D2"/>
    <w:rsid w:val="003D2CF0"/>
    <w:rsid w:val="003D55AD"/>
    <w:rsid w:val="003D676D"/>
    <w:rsid w:val="003E156F"/>
    <w:rsid w:val="003E3010"/>
    <w:rsid w:val="003E36CC"/>
    <w:rsid w:val="003E4D1D"/>
    <w:rsid w:val="003E5561"/>
    <w:rsid w:val="003E68E0"/>
    <w:rsid w:val="003F0C8A"/>
    <w:rsid w:val="003F23E9"/>
    <w:rsid w:val="003F2D8B"/>
    <w:rsid w:val="003F32AA"/>
    <w:rsid w:val="003F4663"/>
    <w:rsid w:val="004007DF"/>
    <w:rsid w:val="004007E2"/>
    <w:rsid w:val="004050AC"/>
    <w:rsid w:val="00405232"/>
    <w:rsid w:val="00406043"/>
    <w:rsid w:val="004107CE"/>
    <w:rsid w:val="00412663"/>
    <w:rsid w:val="00412A63"/>
    <w:rsid w:val="00413B3E"/>
    <w:rsid w:val="00414D3A"/>
    <w:rsid w:val="00415C8A"/>
    <w:rsid w:val="00420BD4"/>
    <w:rsid w:val="0042205E"/>
    <w:rsid w:val="0043155A"/>
    <w:rsid w:val="004315BB"/>
    <w:rsid w:val="00431FB2"/>
    <w:rsid w:val="00434282"/>
    <w:rsid w:val="004409E8"/>
    <w:rsid w:val="00442C3C"/>
    <w:rsid w:val="00443F97"/>
    <w:rsid w:val="004462E9"/>
    <w:rsid w:val="004465C5"/>
    <w:rsid w:val="00446B02"/>
    <w:rsid w:val="00447EDB"/>
    <w:rsid w:val="00451FEB"/>
    <w:rsid w:val="00455CC2"/>
    <w:rsid w:val="004564BD"/>
    <w:rsid w:val="00460973"/>
    <w:rsid w:val="004634F4"/>
    <w:rsid w:val="00464D89"/>
    <w:rsid w:val="0046569E"/>
    <w:rsid w:val="0046798E"/>
    <w:rsid w:val="004712EB"/>
    <w:rsid w:val="00471E8A"/>
    <w:rsid w:val="0048064C"/>
    <w:rsid w:val="004829E9"/>
    <w:rsid w:val="004838AA"/>
    <w:rsid w:val="004863A4"/>
    <w:rsid w:val="00487C6A"/>
    <w:rsid w:val="00490B90"/>
    <w:rsid w:val="00491058"/>
    <w:rsid w:val="0049314B"/>
    <w:rsid w:val="004937BC"/>
    <w:rsid w:val="004945DA"/>
    <w:rsid w:val="004A12AE"/>
    <w:rsid w:val="004A3EB6"/>
    <w:rsid w:val="004B2C90"/>
    <w:rsid w:val="004B6E78"/>
    <w:rsid w:val="004B74EC"/>
    <w:rsid w:val="004B7CBC"/>
    <w:rsid w:val="004C17DE"/>
    <w:rsid w:val="004C3F06"/>
    <w:rsid w:val="004C4F75"/>
    <w:rsid w:val="004C7418"/>
    <w:rsid w:val="004D0687"/>
    <w:rsid w:val="004D139C"/>
    <w:rsid w:val="004D1C99"/>
    <w:rsid w:val="004D272F"/>
    <w:rsid w:val="004D3D00"/>
    <w:rsid w:val="004D4558"/>
    <w:rsid w:val="004E1648"/>
    <w:rsid w:val="004E2976"/>
    <w:rsid w:val="004E3441"/>
    <w:rsid w:val="004E4D2E"/>
    <w:rsid w:val="004E5759"/>
    <w:rsid w:val="004F0A9C"/>
    <w:rsid w:val="004F0E12"/>
    <w:rsid w:val="004F4C4F"/>
    <w:rsid w:val="004F50C8"/>
    <w:rsid w:val="004F60BF"/>
    <w:rsid w:val="004F6691"/>
    <w:rsid w:val="004F66A1"/>
    <w:rsid w:val="0050006B"/>
    <w:rsid w:val="005000DA"/>
    <w:rsid w:val="00500297"/>
    <w:rsid w:val="00501BB7"/>
    <w:rsid w:val="00502C52"/>
    <w:rsid w:val="005069B4"/>
    <w:rsid w:val="0051407D"/>
    <w:rsid w:val="00515B3D"/>
    <w:rsid w:val="005169EE"/>
    <w:rsid w:val="00517446"/>
    <w:rsid w:val="00517C19"/>
    <w:rsid w:val="00517FAB"/>
    <w:rsid w:val="00521594"/>
    <w:rsid w:val="005216DF"/>
    <w:rsid w:val="005226B9"/>
    <w:rsid w:val="005237FE"/>
    <w:rsid w:val="00527D58"/>
    <w:rsid w:val="00527FEE"/>
    <w:rsid w:val="00531BC0"/>
    <w:rsid w:val="00534803"/>
    <w:rsid w:val="00535F15"/>
    <w:rsid w:val="005370CA"/>
    <w:rsid w:val="005450B9"/>
    <w:rsid w:val="00547D5E"/>
    <w:rsid w:val="00550F73"/>
    <w:rsid w:val="005524D1"/>
    <w:rsid w:val="00555F30"/>
    <w:rsid w:val="005575FF"/>
    <w:rsid w:val="00557AE2"/>
    <w:rsid w:val="00557F73"/>
    <w:rsid w:val="005600F8"/>
    <w:rsid w:val="005603AE"/>
    <w:rsid w:val="00560F35"/>
    <w:rsid w:val="0056132D"/>
    <w:rsid w:val="00561CEE"/>
    <w:rsid w:val="00561FB9"/>
    <w:rsid w:val="00562738"/>
    <w:rsid w:val="00571419"/>
    <w:rsid w:val="00573C68"/>
    <w:rsid w:val="00576CE6"/>
    <w:rsid w:val="005801BF"/>
    <w:rsid w:val="00582C70"/>
    <w:rsid w:val="00582F95"/>
    <w:rsid w:val="0058307A"/>
    <w:rsid w:val="005846DF"/>
    <w:rsid w:val="0058523A"/>
    <w:rsid w:val="005856AF"/>
    <w:rsid w:val="00586489"/>
    <w:rsid w:val="0058793D"/>
    <w:rsid w:val="00587B66"/>
    <w:rsid w:val="00590887"/>
    <w:rsid w:val="00591274"/>
    <w:rsid w:val="00591288"/>
    <w:rsid w:val="005917FD"/>
    <w:rsid w:val="00591F0A"/>
    <w:rsid w:val="005968D3"/>
    <w:rsid w:val="00596E71"/>
    <w:rsid w:val="0059788A"/>
    <w:rsid w:val="005A09D9"/>
    <w:rsid w:val="005A1BA4"/>
    <w:rsid w:val="005A381C"/>
    <w:rsid w:val="005A4739"/>
    <w:rsid w:val="005A4AA1"/>
    <w:rsid w:val="005B3358"/>
    <w:rsid w:val="005B683F"/>
    <w:rsid w:val="005B6CF6"/>
    <w:rsid w:val="005C00EF"/>
    <w:rsid w:val="005C0F15"/>
    <w:rsid w:val="005C3C13"/>
    <w:rsid w:val="005C49D0"/>
    <w:rsid w:val="005C6C15"/>
    <w:rsid w:val="005C6D70"/>
    <w:rsid w:val="005C7A79"/>
    <w:rsid w:val="005D32A7"/>
    <w:rsid w:val="005D4706"/>
    <w:rsid w:val="005D6424"/>
    <w:rsid w:val="005E1AA6"/>
    <w:rsid w:val="005E5430"/>
    <w:rsid w:val="005F5DF5"/>
    <w:rsid w:val="005F7FBE"/>
    <w:rsid w:val="0060011C"/>
    <w:rsid w:val="00600132"/>
    <w:rsid w:val="006027C5"/>
    <w:rsid w:val="00602CE7"/>
    <w:rsid w:val="00603072"/>
    <w:rsid w:val="00604F1E"/>
    <w:rsid w:val="0060569E"/>
    <w:rsid w:val="00605DA5"/>
    <w:rsid w:val="006147EB"/>
    <w:rsid w:val="00614856"/>
    <w:rsid w:val="006200EB"/>
    <w:rsid w:val="00621EA3"/>
    <w:rsid w:val="00621EF8"/>
    <w:rsid w:val="006246D6"/>
    <w:rsid w:val="0062507C"/>
    <w:rsid w:val="00626D53"/>
    <w:rsid w:val="0063031E"/>
    <w:rsid w:val="006317BF"/>
    <w:rsid w:val="006326A6"/>
    <w:rsid w:val="00632C7A"/>
    <w:rsid w:val="00632F37"/>
    <w:rsid w:val="00634610"/>
    <w:rsid w:val="0063477B"/>
    <w:rsid w:val="00636E0E"/>
    <w:rsid w:val="00640234"/>
    <w:rsid w:val="006417CD"/>
    <w:rsid w:val="0064198F"/>
    <w:rsid w:val="0064327F"/>
    <w:rsid w:val="0064343A"/>
    <w:rsid w:val="006473A2"/>
    <w:rsid w:val="00650D8E"/>
    <w:rsid w:val="006527EE"/>
    <w:rsid w:val="006543AA"/>
    <w:rsid w:val="006550F1"/>
    <w:rsid w:val="00656AAA"/>
    <w:rsid w:val="00656B7A"/>
    <w:rsid w:val="00657302"/>
    <w:rsid w:val="0065743D"/>
    <w:rsid w:val="00657979"/>
    <w:rsid w:val="00661724"/>
    <w:rsid w:val="00661C54"/>
    <w:rsid w:val="00661D9D"/>
    <w:rsid w:val="00663B01"/>
    <w:rsid w:val="00665FB6"/>
    <w:rsid w:val="006667F9"/>
    <w:rsid w:val="00667232"/>
    <w:rsid w:val="00671AE3"/>
    <w:rsid w:val="00681647"/>
    <w:rsid w:val="0068214D"/>
    <w:rsid w:val="006821D7"/>
    <w:rsid w:val="00684372"/>
    <w:rsid w:val="00685C73"/>
    <w:rsid w:val="006878E0"/>
    <w:rsid w:val="00687950"/>
    <w:rsid w:val="00695AEB"/>
    <w:rsid w:val="00697082"/>
    <w:rsid w:val="006A008F"/>
    <w:rsid w:val="006A00F2"/>
    <w:rsid w:val="006A07C8"/>
    <w:rsid w:val="006A37E3"/>
    <w:rsid w:val="006A49B4"/>
    <w:rsid w:val="006A4E7C"/>
    <w:rsid w:val="006A5AA6"/>
    <w:rsid w:val="006A7DD6"/>
    <w:rsid w:val="006B18C7"/>
    <w:rsid w:val="006B46E4"/>
    <w:rsid w:val="006B4BF3"/>
    <w:rsid w:val="006B5636"/>
    <w:rsid w:val="006B5FBA"/>
    <w:rsid w:val="006C1E0E"/>
    <w:rsid w:val="006C2D4C"/>
    <w:rsid w:val="006C56FD"/>
    <w:rsid w:val="006C5B21"/>
    <w:rsid w:val="006C5F8B"/>
    <w:rsid w:val="006C756A"/>
    <w:rsid w:val="006D03E1"/>
    <w:rsid w:val="006D26D9"/>
    <w:rsid w:val="006D281E"/>
    <w:rsid w:val="006D5800"/>
    <w:rsid w:val="006D60E5"/>
    <w:rsid w:val="006D6AC5"/>
    <w:rsid w:val="006D769D"/>
    <w:rsid w:val="006E170D"/>
    <w:rsid w:val="006E2AC0"/>
    <w:rsid w:val="006E2C2B"/>
    <w:rsid w:val="006E698B"/>
    <w:rsid w:val="006F0DA7"/>
    <w:rsid w:val="006F1569"/>
    <w:rsid w:val="006F1F09"/>
    <w:rsid w:val="006F27BB"/>
    <w:rsid w:val="006F2A0D"/>
    <w:rsid w:val="006F4F96"/>
    <w:rsid w:val="00700FB8"/>
    <w:rsid w:val="00706FE1"/>
    <w:rsid w:val="00710065"/>
    <w:rsid w:val="00711581"/>
    <w:rsid w:val="00711BAF"/>
    <w:rsid w:val="00713902"/>
    <w:rsid w:val="0071548B"/>
    <w:rsid w:val="00717469"/>
    <w:rsid w:val="00717B1A"/>
    <w:rsid w:val="007203E4"/>
    <w:rsid w:val="007204A9"/>
    <w:rsid w:val="007206A9"/>
    <w:rsid w:val="0072086C"/>
    <w:rsid w:val="00721D42"/>
    <w:rsid w:val="00722581"/>
    <w:rsid w:val="00725B16"/>
    <w:rsid w:val="00730ACC"/>
    <w:rsid w:val="0073309B"/>
    <w:rsid w:val="00734100"/>
    <w:rsid w:val="00734C6F"/>
    <w:rsid w:val="00735AFD"/>
    <w:rsid w:val="00736EA3"/>
    <w:rsid w:val="00736FDF"/>
    <w:rsid w:val="00742936"/>
    <w:rsid w:val="00744BDF"/>
    <w:rsid w:val="00751E76"/>
    <w:rsid w:val="00752DAE"/>
    <w:rsid w:val="007538EF"/>
    <w:rsid w:val="007550AB"/>
    <w:rsid w:val="00755645"/>
    <w:rsid w:val="007558E9"/>
    <w:rsid w:val="00755E89"/>
    <w:rsid w:val="00756929"/>
    <w:rsid w:val="00760092"/>
    <w:rsid w:val="0076081D"/>
    <w:rsid w:val="00763508"/>
    <w:rsid w:val="00763EB7"/>
    <w:rsid w:val="00764C2F"/>
    <w:rsid w:val="00764E17"/>
    <w:rsid w:val="00766D9E"/>
    <w:rsid w:val="00767DBB"/>
    <w:rsid w:val="007719A0"/>
    <w:rsid w:val="00774379"/>
    <w:rsid w:val="00774646"/>
    <w:rsid w:val="00774FBA"/>
    <w:rsid w:val="0077608C"/>
    <w:rsid w:val="0077720B"/>
    <w:rsid w:val="00780C40"/>
    <w:rsid w:val="00781695"/>
    <w:rsid w:val="0078210C"/>
    <w:rsid w:val="007842C6"/>
    <w:rsid w:val="00784965"/>
    <w:rsid w:val="00790487"/>
    <w:rsid w:val="0079125D"/>
    <w:rsid w:val="00793023"/>
    <w:rsid w:val="00793372"/>
    <w:rsid w:val="00793C3F"/>
    <w:rsid w:val="00795BAD"/>
    <w:rsid w:val="007A02A7"/>
    <w:rsid w:val="007A075F"/>
    <w:rsid w:val="007A2542"/>
    <w:rsid w:val="007A2B9E"/>
    <w:rsid w:val="007A3D46"/>
    <w:rsid w:val="007B07B1"/>
    <w:rsid w:val="007B0D41"/>
    <w:rsid w:val="007B16D0"/>
    <w:rsid w:val="007B34EC"/>
    <w:rsid w:val="007B5C45"/>
    <w:rsid w:val="007B641E"/>
    <w:rsid w:val="007C0935"/>
    <w:rsid w:val="007C58C9"/>
    <w:rsid w:val="007D2E4F"/>
    <w:rsid w:val="007D3800"/>
    <w:rsid w:val="007D4AA3"/>
    <w:rsid w:val="007D6C18"/>
    <w:rsid w:val="007E0814"/>
    <w:rsid w:val="007E0DBD"/>
    <w:rsid w:val="007E1CCF"/>
    <w:rsid w:val="007E2DB5"/>
    <w:rsid w:val="007E5D53"/>
    <w:rsid w:val="007E6917"/>
    <w:rsid w:val="007F4E93"/>
    <w:rsid w:val="007F532B"/>
    <w:rsid w:val="008016D2"/>
    <w:rsid w:val="0080171C"/>
    <w:rsid w:val="00801809"/>
    <w:rsid w:val="0080359E"/>
    <w:rsid w:val="008046D4"/>
    <w:rsid w:val="00805F33"/>
    <w:rsid w:val="00815583"/>
    <w:rsid w:val="00816309"/>
    <w:rsid w:val="00816B23"/>
    <w:rsid w:val="008218E7"/>
    <w:rsid w:val="00822A29"/>
    <w:rsid w:val="00823904"/>
    <w:rsid w:val="00824F7D"/>
    <w:rsid w:val="00826C51"/>
    <w:rsid w:val="00826CE7"/>
    <w:rsid w:val="00832E6D"/>
    <w:rsid w:val="00833792"/>
    <w:rsid w:val="0083438E"/>
    <w:rsid w:val="00836042"/>
    <w:rsid w:val="0083706D"/>
    <w:rsid w:val="00837980"/>
    <w:rsid w:val="00841622"/>
    <w:rsid w:val="0084190D"/>
    <w:rsid w:val="008450C9"/>
    <w:rsid w:val="0084527F"/>
    <w:rsid w:val="0085109E"/>
    <w:rsid w:val="00852F35"/>
    <w:rsid w:val="00854B07"/>
    <w:rsid w:val="00857363"/>
    <w:rsid w:val="00861B21"/>
    <w:rsid w:val="00861CE0"/>
    <w:rsid w:val="00862790"/>
    <w:rsid w:val="00865AA6"/>
    <w:rsid w:val="00865D73"/>
    <w:rsid w:val="0086701C"/>
    <w:rsid w:val="0087279A"/>
    <w:rsid w:val="00876303"/>
    <w:rsid w:val="008771B9"/>
    <w:rsid w:val="00877704"/>
    <w:rsid w:val="00880485"/>
    <w:rsid w:val="00883248"/>
    <w:rsid w:val="008946D6"/>
    <w:rsid w:val="00896FCB"/>
    <w:rsid w:val="00897AEE"/>
    <w:rsid w:val="008A0614"/>
    <w:rsid w:val="008A3C1C"/>
    <w:rsid w:val="008A479B"/>
    <w:rsid w:val="008A5662"/>
    <w:rsid w:val="008A738F"/>
    <w:rsid w:val="008A7BD4"/>
    <w:rsid w:val="008B0214"/>
    <w:rsid w:val="008B44F5"/>
    <w:rsid w:val="008B5CF8"/>
    <w:rsid w:val="008B66C6"/>
    <w:rsid w:val="008C0E78"/>
    <w:rsid w:val="008C30B9"/>
    <w:rsid w:val="008C3413"/>
    <w:rsid w:val="008C47A1"/>
    <w:rsid w:val="008C5E19"/>
    <w:rsid w:val="008C5EBF"/>
    <w:rsid w:val="008C738F"/>
    <w:rsid w:val="008D1D6E"/>
    <w:rsid w:val="008D2E17"/>
    <w:rsid w:val="008D2E29"/>
    <w:rsid w:val="008D31A7"/>
    <w:rsid w:val="008D4A4F"/>
    <w:rsid w:val="008D6B9E"/>
    <w:rsid w:val="008E014D"/>
    <w:rsid w:val="008E1024"/>
    <w:rsid w:val="008E1302"/>
    <w:rsid w:val="008E4466"/>
    <w:rsid w:val="008E660D"/>
    <w:rsid w:val="008E6BC9"/>
    <w:rsid w:val="008E6CA8"/>
    <w:rsid w:val="008F0C3F"/>
    <w:rsid w:val="008F1DCC"/>
    <w:rsid w:val="008F3219"/>
    <w:rsid w:val="008F3F1A"/>
    <w:rsid w:val="00901F08"/>
    <w:rsid w:val="00901F94"/>
    <w:rsid w:val="00904190"/>
    <w:rsid w:val="0090546F"/>
    <w:rsid w:val="0090599D"/>
    <w:rsid w:val="00905D17"/>
    <w:rsid w:val="00907AEE"/>
    <w:rsid w:val="00912C03"/>
    <w:rsid w:val="00913ED0"/>
    <w:rsid w:val="00914F66"/>
    <w:rsid w:val="009170C6"/>
    <w:rsid w:val="00917F26"/>
    <w:rsid w:val="009220CF"/>
    <w:rsid w:val="00922E72"/>
    <w:rsid w:val="009250C3"/>
    <w:rsid w:val="00926813"/>
    <w:rsid w:val="00926CD2"/>
    <w:rsid w:val="00927650"/>
    <w:rsid w:val="00937E7A"/>
    <w:rsid w:val="00941A66"/>
    <w:rsid w:val="00942661"/>
    <w:rsid w:val="00942911"/>
    <w:rsid w:val="00942CB6"/>
    <w:rsid w:val="00942CE9"/>
    <w:rsid w:val="00944B24"/>
    <w:rsid w:val="0094654D"/>
    <w:rsid w:val="00947665"/>
    <w:rsid w:val="00950071"/>
    <w:rsid w:val="00950E8A"/>
    <w:rsid w:val="00951621"/>
    <w:rsid w:val="00954D3D"/>
    <w:rsid w:val="00954FF2"/>
    <w:rsid w:val="009613E1"/>
    <w:rsid w:val="009615D2"/>
    <w:rsid w:val="0096274B"/>
    <w:rsid w:val="00962EE8"/>
    <w:rsid w:val="009656A2"/>
    <w:rsid w:val="00965973"/>
    <w:rsid w:val="00967A78"/>
    <w:rsid w:val="009727D9"/>
    <w:rsid w:val="00974684"/>
    <w:rsid w:val="00975521"/>
    <w:rsid w:val="00976EE9"/>
    <w:rsid w:val="00983815"/>
    <w:rsid w:val="00984376"/>
    <w:rsid w:val="00984D4A"/>
    <w:rsid w:val="00985D9F"/>
    <w:rsid w:val="00992145"/>
    <w:rsid w:val="00993F78"/>
    <w:rsid w:val="0099491A"/>
    <w:rsid w:val="00995541"/>
    <w:rsid w:val="00997306"/>
    <w:rsid w:val="00997388"/>
    <w:rsid w:val="009A0315"/>
    <w:rsid w:val="009A1932"/>
    <w:rsid w:val="009A2165"/>
    <w:rsid w:val="009A44DD"/>
    <w:rsid w:val="009A4827"/>
    <w:rsid w:val="009A51D6"/>
    <w:rsid w:val="009A6D9C"/>
    <w:rsid w:val="009A6F27"/>
    <w:rsid w:val="009C0920"/>
    <w:rsid w:val="009C1BF4"/>
    <w:rsid w:val="009C2009"/>
    <w:rsid w:val="009C2ADB"/>
    <w:rsid w:val="009C5579"/>
    <w:rsid w:val="009C568E"/>
    <w:rsid w:val="009C60F6"/>
    <w:rsid w:val="009C69F0"/>
    <w:rsid w:val="009C75C1"/>
    <w:rsid w:val="009D0434"/>
    <w:rsid w:val="009D0989"/>
    <w:rsid w:val="009D1835"/>
    <w:rsid w:val="009D2D67"/>
    <w:rsid w:val="009D2DBC"/>
    <w:rsid w:val="009D3710"/>
    <w:rsid w:val="009D4023"/>
    <w:rsid w:val="009D723E"/>
    <w:rsid w:val="009E03FE"/>
    <w:rsid w:val="009E0D3D"/>
    <w:rsid w:val="009E1EA6"/>
    <w:rsid w:val="009E38F4"/>
    <w:rsid w:val="009E3A40"/>
    <w:rsid w:val="009E5FEE"/>
    <w:rsid w:val="009E6358"/>
    <w:rsid w:val="009E63B7"/>
    <w:rsid w:val="009E6A26"/>
    <w:rsid w:val="009F0889"/>
    <w:rsid w:val="009F0B57"/>
    <w:rsid w:val="009F0F1B"/>
    <w:rsid w:val="009F2F2D"/>
    <w:rsid w:val="009F4AFD"/>
    <w:rsid w:val="009F53B7"/>
    <w:rsid w:val="009F6A0F"/>
    <w:rsid w:val="00A008E6"/>
    <w:rsid w:val="00A027FB"/>
    <w:rsid w:val="00A10271"/>
    <w:rsid w:val="00A104BF"/>
    <w:rsid w:val="00A105F6"/>
    <w:rsid w:val="00A1111B"/>
    <w:rsid w:val="00A11AF5"/>
    <w:rsid w:val="00A11B6A"/>
    <w:rsid w:val="00A12C83"/>
    <w:rsid w:val="00A172E5"/>
    <w:rsid w:val="00A23266"/>
    <w:rsid w:val="00A242CD"/>
    <w:rsid w:val="00A253E4"/>
    <w:rsid w:val="00A27738"/>
    <w:rsid w:val="00A3059C"/>
    <w:rsid w:val="00A31DA8"/>
    <w:rsid w:val="00A31FB9"/>
    <w:rsid w:val="00A32D09"/>
    <w:rsid w:val="00A32EB4"/>
    <w:rsid w:val="00A3400D"/>
    <w:rsid w:val="00A378FF"/>
    <w:rsid w:val="00A40F90"/>
    <w:rsid w:val="00A42712"/>
    <w:rsid w:val="00A4302A"/>
    <w:rsid w:val="00A44F5A"/>
    <w:rsid w:val="00A45279"/>
    <w:rsid w:val="00A502B4"/>
    <w:rsid w:val="00A52528"/>
    <w:rsid w:val="00A5256B"/>
    <w:rsid w:val="00A52A7E"/>
    <w:rsid w:val="00A60A2E"/>
    <w:rsid w:val="00A6184B"/>
    <w:rsid w:val="00A62EF3"/>
    <w:rsid w:val="00A6453C"/>
    <w:rsid w:val="00A649CD"/>
    <w:rsid w:val="00A65185"/>
    <w:rsid w:val="00A655E8"/>
    <w:rsid w:val="00A65E36"/>
    <w:rsid w:val="00A6677E"/>
    <w:rsid w:val="00A74BFF"/>
    <w:rsid w:val="00A76E48"/>
    <w:rsid w:val="00A7768D"/>
    <w:rsid w:val="00A77C9C"/>
    <w:rsid w:val="00A77F7A"/>
    <w:rsid w:val="00A85B42"/>
    <w:rsid w:val="00A867F6"/>
    <w:rsid w:val="00A918A7"/>
    <w:rsid w:val="00A93B34"/>
    <w:rsid w:val="00A95D93"/>
    <w:rsid w:val="00AA12EC"/>
    <w:rsid w:val="00AA5002"/>
    <w:rsid w:val="00AA55CB"/>
    <w:rsid w:val="00AA65FD"/>
    <w:rsid w:val="00AA705F"/>
    <w:rsid w:val="00AA7B75"/>
    <w:rsid w:val="00AB0931"/>
    <w:rsid w:val="00AB293B"/>
    <w:rsid w:val="00AB293E"/>
    <w:rsid w:val="00AB3204"/>
    <w:rsid w:val="00AB35A4"/>
    <w:rsid w:val="00AB44B3"/>
    <w:rsid w:val="00AB5FEA"/>
    <w:rsid w:val="00AB73E2"/>
    <w:rsid w:val="00AC22DC"/>
    <w:rsid w:val="00AC2CDC"/>
    <w:rsid w:val="00AC2D34"/>
    <w:rsid w:val="00AC551E"/>
    <w:rsid w:val="00AC5D41"/>
    <w:rsid w:val="00AD1096"/>
    <w:rsid w:val="00AD1CF5"/>
    <w:rsid w:val="00AD62D4"/>
    <w:rsid w:val="00AD6328"/>
    <w:rsid w:val="00AD7805"/>
    <w:rsid w:val="00AD7BAD"/>
    <w:rsid w:val="00AE00AF"/>
    <w:rsid w:val="00AE1936"/>
    <w:rsid w:val="00AE4774"/>
    <w:rsid w:val="00AF063C"/>
    <w:rsid w:val="00AF1FBF"/>
    <w:rsid w:val="00AF2528"/>
    <w:rsid w:val="00AF28FE"/>
    <w:rsid w:val="00AF65A4"/>
    <w:rsid w:val="00B002E4"/>
    <w:rsid w:val="00B034CA"/>
    <w:rsid w:val="00B124AA"/>
    <w:rsid w:val="00B162AF"/>
    <w:rsid w:val="00B16E6B"/>
    <w:rsid w:val="00B17D8F"/>
    <w:rsid w:val="00B20736"/>
    <w:rsid w:val="00B23BAB"/>
    <w:rsid w:val="00B25FF7"/>
    <w:rsid w:val="00B33BD7"/>
    <w:rsid w:val="00B36BC3"/>
    <w:rsid w:val="00B413FA"/>
    <w:rsid w:val="00B41F46"/>
    <w:rsid w:val="00B44171"/>
    <w:rsid w:val="00B56736"/>
    <w:rsid w:val="00B57B91"/>
    <w:rsid w:val="00B627DF"/>
    <w:rsid w:val="00B64A06"/>
    <w:rsid w:val="00B6596F"/>
    <w:rsid w:val="00B66D0B"/>
    <w:rsid w:val="00B70931"/>
    <w:rsid w:val="00B73BCD"/>
    <w:rsid w:val="00B749E3"/>
    <w:rsid w:val="00B75EDB"/>
    <w:rsid w:val="00B76413"/>
    <w:rsid w:val="00B77B55"/>
    <w:rsid w:val="00B83234"/>
    <w:rsid w:val="00B840A9"/>
    <w:rsid w:val="00B8556F"/>
    <w:rsid w:val="00B905E7"/>
    <w:rsid w:val="00B91759"/>
    <w:rsid w:val="00B93A9E"/>
    <w:rsid w:val="00B94125"/>
    <w:rsid w:val="00B96085"/>
    <w:rsid w:val="00B96086"/>
    <w:rsid w:val="00B96A19"/>
    <w:rsid w:val="00B9755C"/>
    <w:rsid w:val="00BA33EE"/>
    <w:rsid w:val="00BA3CF3"/>
    <w:rsid w:val="00BA4356"/>
    <w:rsid w:val="00BA7031"/>
    <w:rsid w:val="00BA7B49"/>
    <w:rsid w:val="00BB08D9"/>
    <w:rsid w:val="00BB1526"/>
    <w:rsid w:val="00BB2EF5"/>
    <w:rsid w:val="00BB4B8C"/>
    <w:rsid w:val="00BB4F35"/>
    <w:rsid w:val="00BB60C2"/>
    <w:rsid w:val="00BB6883"/>
    <w:rsid w:val="00BC19BB"/>
    <w:rsid w:val="00BC35FF"/>
    <w:rsid w:val="00BC38CD"/>
    <w:rsid w:val="00BC61FF"/>
    <w:rsid w:val="00BC6536"/>
    <w:rsid w:val="00BC788D"/>
    <w:rsid w:val="00BD171D"/>
    <w:rsid w:val="00BD208B"/>
    <w:rsid w:val="00BD3014"/>
    <w:rsid w:val="00BD30D3"/>
    <w:rsid w:val="00BD4143"/>
    <w:rsid w:val="00BD57F5"/>
    <w:rsid w:val="00BE031A"/>
    <w:rsid w:val="00BE0C08"/>
    <w:rsid w:val="00BE1C77"/>
    <w:rsid w:val="00BE1E7A"/>
    <w:rsid w:val="00BE2CDD"/>
    <w:rsid w:val="00BE3133"/>
    <w:rsid w:val="00BE48A4"/>
    <w:rsid w:val="00BE56F0"/>
    <w:rsid w:val="00BE5A24"/>
    <w:rsid w:val="00BE64C5"/>
    <w:rsid w:val="00BE7760"/>
    <w:rsid w:val="00BF3682"/>
    <w:rsid w:val="00BF70D4"/>
    <w:rsid w:val="00BF7774"/>
    <w:rsid w:val="00C00F89"/>
    <w:rsid w:val="00C05465"/>
    <w:rsid w:val="00C05877"/>
    <w:rsid w:val="00C063FA"/>
    <w:rsid w:val="00C101F3"/>
    <w:rsid w:val="00C11681"/>
    <w:rsid w:val="00C12D35"/>
    <w:rsid w:val="00C167F3"/>
    <w:rsid w:val="00C1711B"/>
    <w:rsid w:val="00C20032"/>
    <w:rsid w:val="00C2093E"/>
    <w:rsid w:val="00C243DF"/>
    <w:rsid w:val="00C24D46"/>
    <w:rsid w:val="00C26FBF"/>
    <w:rsid w:val="00C300DA"/>
    <w:rsid w:val="00C317A5"/>
    <w:rsid w:val="00C32B22"/>
    <w:rsid w:val="00C37DEE"/>
    <w:rsid w:val="00C40793"/>
    <w:rsid w:val="00C40A77"/>
    <w:rsid w:val="00C431D0"/>
    <w:rsid w:val="00C432EC"/>
    <w:rsid w:val="00C44A42"/>
    <w:rsid w:val="00C44EEF"/>
    <w:rsid w:val="00C44F7E"/>
    <w:rsid w:val="00C45AE3"/>
    <w:rsid w:val="00C47620"/>
    <w:rsid w:val="00C50264"/>
    <w:rsid w:val="00C52001"/>
    <w:rsid w:val="00C534CE"/>
    <w:rsid w:val="00C54504"/>
    <w:rsid w:val="00C54E7F"/>
    <w:rsid w:val="00C55ECF"/>
    <w:rsid w:val="00C578CB"/>
    <w:rsid w:val="00C61D53"/>
    <w:rsid w:val="00C64435"/>
    <w:rsid w:val="00C6495C"/>
    <w:rsid w:val="00C65BAD"/>
    <w:rsid w:val="00C70947"/>
    <w:rsid w:val="00C71207"/>
    <w:rsid w:val="00C7193F"/>
    <w:rsid w:val="00C72CF0"/>
    <w:rsid w:val="00C74714"/>
    <w:rsid w:val="00C76B32"/>
    <w:rsid w:val="00C77D36"/>
    <w:rsid w:val="00C80769"/>
    <w:rsid w:val="00C82D03"/>
    <w:rsid w:val="00C8547A"/>
    <w:rsid w:val="00C9209B"/>
    <w:rsid w:val="00C937AA"/>
    <w:rsid w:val="00C93CD6"/>
    <w:rsid w:val="00C94312"/>
    <w:rsid w:val="00C97AD2"/>
    <w:rsid w:val="00C97F8B"/>
    <w:rsid w:val="00CA00E5"/>
    <w:rsid w:val="00CA14FB"/>
    <w:rsid w:val="00CA18F9"/>
    <w:rsid w:val="00CA4481"/>
    <w:rsid w:val="00CA5206"/>
    <w:rsid w:val="00CA52B1"/>
    <w:rsid w:val="00CA5616"/>
    <w:rsid w:val="00CA613D"/>
    <w:rsid w:val="00CA789E"/>
    <w:rsid w:val="00CB0C80"/>
    <w:rsid w:val="00CB0F71"/>
    <w:rsid w:val="00CB2809"/>
    <w:rsid w:val="00CB3263"/>
    <w:rsid w:val="00CB4B94"/>
    <w:rsid w:val="00CB7098"/>
    <w:rsid w:val="00CC08B8"/>
    <w:rsid w:val="00CC1265"/>
    <w:rsid w:val="00CC33BB"/>
    <w:rsid w:val="00CC573F"/>
    <w:rsid w:val="00CC6110"/>
    <w:rsid w:val="00CC7D78"/>
    <w:rsid w:val="00CC7F4F"/>
    <w:rsid w:val="00CC7FAB"/>
    <w:rsid w:val="00CD1A07"/>
    <w:rsid w:val="00CD1BF0"/>
    <w:rsid w:val="00CD1EF0"/>
    <w:rsid w:val="00CD2301"/>
    <w:rsid w:val="00CD2896"/>
    <w:rsid w:val="00CD3687"/>
    <w:rsid w:val="00CD4306"/>
    <w:rsid w:val="00CD5DCB"/>
    <w:rsid w:val="00CD7778"/>
    <w:rsid w:val="00CE0BA4"/>
    <w:rsid w:val="00CE1185"/>
    <w:rsid w:val="00CE46CD"/>
    <w:rsid w:val="00CE68CB"/>
    <w:rsid w:val="00CE74B4"/>
    <w:rsid w:val="00CF0687"/>
    <w:rsid w:val="00CF0AEA"/>
    <w:rsid w:val="00CF1970"/>
    <w:rsid w:val="00CF4593"/>
    <w:rsid w:val="00CF73C8"/>
    <w:rsid w:val="00CF7696"/>
    <w:rsid w:val="00D0308D"/>
    <w:rsid w:val="00D03799"/>
    <w:rsid w:val="00D03C25"/>
    <w:rsid w:val="00D04E61"/>
    <w:rsid w:val="00D10635"/>
    <w:rsid w:val="00D10DA3"/>
    <w:rsid w:val="00D10EF4"/>
    <w:rsid w:val="00D145CC"/>
    <w:rsid w:val="00D17A7E"/>
    <w:rsid w:val="00D20BCB"/>
    <w:rsid w:val="00D23889"/>
    <w:rsid w:val="00D23EEF"/>
    <w:rsid w:val="00D2665E"/>
    <w:rsid w:val="00D30272"/>
    <w:rsid w:val="00D364D2"/>
    <w:rsid w:val="00D37F0E"/>
    <w:rsid w:val="00D40803"/>
    <w:rsid w:val="00D44152"/>
    <w:rsid w:val="00D47611"/>
    <w:rsid w:val="00D500C1"/>
    <w:rsid w:val="00D5039C"/>
    <w:rsid w:val="00D525B8"/>
    <w:rsid w:val="00D5480E"/>
    <w:rsid w:val="00D5492C"/>
    <w:rsid w:val="00D55354"/>
    <w:rsid w:val="00D560AF"/>
    <w:rsid w:val="00D56427"/>
    <w:rsid w:val="00D61DB9"/>
    <w:rsid w:val="00D6305C"/>
    <w:rsid w:val="00D63213"/>
    <w:rsid w:val="00D66173"/>
    <w:rsid w:val="00D661BC"/>
    <w:rsid w:val="00D713A4"/>
    <w:rsid w:val="00D71592"/>
    <w:rsid w:val="00D71E50"/>
    <w:rsid w:val="00D72FDD"/>
    <w:rsid w:val="00D73051"/>
    <w:rsid w:val="00D73641"/>
    <w:rsid w:val="00D75CD1"/>
    <w:rsid w:val="00D7666D"/>
    <w:rsid w:val="00D774E6"/>
    <w:rsid w:val="00D80DE4"/>
    <w:rsid w:val="00D8105A"/>
    <w:rsid w:val="00D82EEB"/>
    <w:rsid w:val="00D83264"/>
    <w:rsid w:val="00D852AA"/>
    <w:rsid w:val="00D87B31"/>
    <w:rsid w:val="00D912F4"/>
    <w:rsid w:val="00D91A92"/>
    <w:rsid w:val="00D91D4E"/>
    <w:rsid w:val="00D9298B"/>
    <w:rsid w:val="00D94DFF"/>
    <w:rsid w:val="00D95DE2"/>
    <w:rsid w:val="00D970DC"/>
    <w:rsid w:val="00D9789E"/>
    <w:rsid w:val="00DA0577"/>
    <w:rsid w:val="00DA18A2"/>
    <w:rsid w:val="00DA4D6B"/>
    <w:rsid w:val="00DA5B83"/>
    <w:rsid w:val="00DB013A"/>
    <w:rsid w:val="00DB289C"/>
    <w:rsid w:val="00DB3135"/>
    <w:rsid w:val="00DB36D1"/>
    <w:rsid w:val="00DB546B"/>
    <w:rsid w:val="00DB5551"/>
    <w:rsid w:val="00DC034B"/>
    <w:rsid w:val="00DC265C"/>
    <w:rsid w:val="00DC3359"/>
    <w:rsid w:val="00DC42E2"/>
    <w:rsid w:val="00DC456C"/>
    <w:rsid w:val="00DC6FE3"/>
    <w:rsid w:val="00DC7D87"/>
    <w:rsid w:val="00DD3F9A"/>
    <w:rsid w:val="00DD652C"/>
    <w:rsid w:val="00DE3EF7"/>
    <w:rsid w:val="00DE44D1"/>
    <w:rsid w:val="00DE7474"/>
    <w:rsid w:val="00DF2EE8"/>
    <w:rsid w:val="00DF2F8D"/>
    <w:rsid w:val="00E023DA"/>
    <w:rsid w:val="00E03359"/>
    <w:rsid w:val="00E044D2"/>
    <w:rsid w:val="00E058C4"/>
    <w:rsid w:val="00E05FA4"/>
    <w:rsid w:val="00E064DD"/>
    <w:rsid w:val="00E11445"/>
    <w:rsid w:val="00E117E0"/>
    <w:rsid w:val="00E137B5"/>
    <w:rsid w:val="00E17665"/>
    <w:rsid w:val="00E208F2"/>
    <w:rsid w:val="00E224F4"/>
    <w:rsid w:val="00E22888"/>
    <w:rsid w:val="00E22FCB"/>
    <w:rsid w:val="00E23E3A"/>
    <w:rsid w:val="00E2411D"/>
    <w:rsid w:val="00E24612"/>
    <w:rsid w:val="00E2753F"/>
    <w:rsid w:val="00E27C37"/>
    <w:rsid w:val="00E30069"/>
    <w:rsid w:val="00E30087"/>
    <w:rsid w:val="00E31F55"/>
    <w:rsid w:val="00E34C79"/>
    <w:rsid w:val="00E372F3"/>
    <w:rsid w:val="00E37766"/>
    <w:rsid w:val="00E40172"/>
    <w:rsid w:val="00E40E8F"/>
    <w:rsid w:val="00E42691"/>
    <w:rsid w:val="00E43252"/>
    <w:rsid w:val="00E46DA4"/>
    <w:rsid w:val="00E475F4"/>
    <w:rsid w:val="00E54539"/>
    <w:rsid w:val="00E56F17"/>
    <w:rsid w:val="00E571D2"/>
    <w:rsid w:val="00E5769C"/>
    <w:rsid w:val="00E61256"/>
    <w:rsid w:val="00E629D7"/>
    <w:rsid w:val="00E63AA5"/>
    <w:rsid w:val="00E644BE"/>
    <w:rsid w:val="00E647BA"/>
    <w:rsid w:val="00E66292"/>
    <w:rsid w:val="00E6756B"/>
    <w:rsid w:val="00E71FA8"/>
    <w:rsid w:val="00E73731"/>
    <w:rsid w:val="00E73AF1"/>
    <w:rsid w:val="00E75A89"/>
    <w:rsid w:val="00E75DD1"/>
    <w:rsid w:val="00E76F97"/>
    <w:rsid w:val="00E77384"/>
    <w:rsid w:val="00E77947"/>
    <w:rsid w:val="00E81B6D"/>
    <w:rsid w:val="00E81C6F"/>
    <w:rsid w:val="00E82498"/>
    <w:rsid w:val="00E84F06"/>
    <w:rsid w:val="00E92551"/>
    <w:rsid w:val="00E92E23"/>
    <w:rsid w:val="00E92FFD"/>
    <w:rsid w:val="00E9516C"/>
    <w:rsid w:val="00E95AFE"/>
    <w:rsid w:val="00E96D5F"/>
    <w:rsid w:val="00EA1E5A"/>
    <w:rsid w:val="00EA37D5"/>
    <w:rsid w:val="00EA558C"/>
    <w:rsid w:val="00EA758D"/>
    <w:rsid w:val="00EB09BE"/>
    <w:rsid w:val="00EB2F15"/>
    <w:rsid w:val="00EB3FDB"/>
    <w:rsid w:val="00EB554E"/>
    <w:rsid w:val="00EB7EBC"/>
    <w:rsid w:val="00EC0BA8"/>
    <w:rsid w:val="00EC3BCD"/>
    <w:rsid w:val="00EC7661"/>
    <w:rsid w:val="00ED0697"/>
    <w:rsid w:val="00ED53A3"/>
    <w:rsid w:val="00ED5F0A"/>
    <w:rsid w:val="00EE0D76"/>
    <w:rsid w:val="00EE5E8A"/>
    <w:rsid w:val="00EE74A7"/>
    <w:rsid w:val="00EF0055"/>
    <w:rsid w:val="00EF1349"/>
    <w:rsid w:val="00EF34D6"/>
    <w:rsid w:val="00EF4EA4"/>
    <w:rsid w:val="00F017E9"/>
    <w:rsid w:val="00F03073"/>
    <w:rsid w:val="00F03BCE"/>
    <w:rsid w:val="00F05263"/>
    <w:rsid w:val="00F07864"/>
    <w:rsid w:val="00F1182E"/>
    <w:rsid w:val="00F12080"/>
    <w:rsid w:val="00F13246"/>
    <w:rsid w:val="00F14572"/>
    <w:rsid w:val="00F14DCE"/>
    <w:rsid w:val="00F1683C"/>
    <w:rsid w:val="00F16C6E"/>
    <w:rsid w:val="00F25E70"/>
    <w:rsid w:val="00F273D8"/>
    <w:rsid w:val="00F3371D"/>
    <w:rsid w:val="00F3405B"/>
    <w:rsid w:val="00F3477B"/>
    <w:rsid w:val="00F35CB4"/>
    <w:rsid w:val="00F37399"/>
    <w:rsid w:val="00F40CFA"/>
    <w:rsid w:val="00F42131"/>
    <w:rsid w:val="00F4285A"/>
    <w:rsid w:val="00F42D82"/>
    <w:rsid w:val="00F42F89"/>
    <w:rsid w:val="00F43075"/>
    <w:rsid w:val="00F440A8"/>
    <w:rsid w:val="00F4464D"/>
    <w:rsid w:val="00F46368"/>
    <w:rsid w:val="00F47057"/>
    <w:rsid w:val="00F47BB4"/>
    <w:rsid w:val="00F504BB"/>
    <w:rsid w:val="00F57F1E"/>
    <w:rsid w:val="00F628D4"/>
    <w:rsid w:val="00F62917"/>
    <w:rsid w:val="00F630E3"/>
    <w:rsid w:val="00F66078"/>
    <w:rsid w:val="00F662BF"/>
    <w:rsid w:val="00F67B8D"/>
    <w:rsid w:val="00F67C24"/>
    <w:rsid w:val="00F71098"/>
    <w:rsid w:val="00F720EF"/>
    <w:rsid w:val="00F72AEC"/>
    <w:rsid w:val="00F76EE2"/>
    <w:rsid w:val="00F8025E"/>
    <w:rsid w:val="00F80F20"/>
    <w:rsid w:val="00F82C04"/>
    <w:rsid w:val="00F83E4B"/>
    <w:rsid w:val="00F86253"/>
    <w:rsid w:val="00F86700"/>
    <w:rsid w:val="00F87586"/>
    <w:rsid w:val="00F9191F"/>
    <w:rsid w:val="00F91AA1"/>
    <w:rsid w:val="00F920DA"/>
    <w:rsid w:val="00F93315"/>
    <w:rsid w:val="00F93934"/>
    <w:rsid w:val="00F957C6"/>
    <w:rsid w:val="00F96206"/>
    <w:rsid w:val="00FA0D0B"/>
    <w:rsid w:val="00FA117A"/>
    <w:rsid w:val="00FA1A40"/>
    <w:rsid w:val="00FA2CFF"/>
    <w:rsid w:val="00FA4118"/>
    <w:rsid w:val="00FA5209"/>
    <w:rsid w:val="00FA5E55"/>
    <w:rsid w:val="00FB467C"/>
    <w:rsid w:val="00FB4F12"/>
    <w:rsid w:val="00FC4542"/>
    <w:rsid w:val="00FC5983"/>
    <w:rsid w:val="00FC5DE7"/>
    <w:rsid w:val="00FD1814"/>
    <w:rsid w:val="00FD20A5"/>
    <w:rsid w:val="00FD2C22"/>
    <w:rsid w:val="00FD3DCF"/>
    <w:rsid w:val="00FD673D"/>
    <w:rsid w:val="00FD6E1D"/>
    <w:rsid w:val="00FE15A7"/>
    <w:rsid w:val="00FE2C7F"/>
    <w:rsid w:val="00FE3CC2"/>
    <w:rsid w:val="00FE45A2"/>
    <w:rsid w:val="00FE4A7D"/>
    <w:rsid w:val="00FF18F2"/>
    <w:rsid w:val="00FF1E25"/>
    <w:rsid w:val="00FF40E9"/>
    <w:rsid w:val="00FF4E3B"/>
    <w:rsid w:val="00FF572E"/>
    <w:rsid w:val="00FF654F"/>
    <w:rsid w:val="00FF75BA"/>
    <w:rsid w:val="00FF7CCC"/>
    <w:rsid w:val="03B9CAC0"/>
    <w:rsid w:val="051168E7"/>
    <w:rsid w:val="0CE3280D"/>
    <w:rsid w:val="0E7B269B"/>
    <w:rsid w:val="126064CC"/>
    <w:rsid w:val="127586AE"/>
    <w:rsid w:val="156BB305"/>
    <w:rsid w:val="18237E80"/>
    <w:rsid w:val="1C0B61B3"/>
    <w:rsid w:val="21F14C1D"/>
    <w:rsid w:val="2340D64D"/>
    <w:rsid w:val="23944EA8"/>
    <w:rsid w:val="258236D4"/>
    <w:rsid w:val="2A60663D"/>
    <w:rsid w:val="2BB3E925"/>
    <w:rsid w:val="2EFC5A0B"/>
    <w:rsid w:val="30A8E9F8"/>
    <w:rsid w:val="3A497CF3"/>
    <w:rsid w:val="3E85062A"/>
    <w:rsid w:val="42FF9178"/>
    <w:rsid w:val="45744C8B"/>
    <w:rsid w:val="48153799"/>
    <w:rsid w:val="4E1F2D12"/>
    <w:rsid w:val="5088059F"/>
    <w:rsid w:val="53715B8B"/>
    <w:rsid w:val="569AE833"/>
    <w:rsid w:val="5E030CBB"/>
    <w:rsid w:val="60614DCC"/>
    <w:rsid w:val="61744F93"/>
    <w:rsid w:val="669FEDAB"/>
    <w:rsid w:val="6FC4E05A"/>
    <w:rsid w:val="76943C38"/>
    <w:rsid w:val="7916E5C2"/>
    <w:rsid w:val="7F4D9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79F2F"/>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2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752DAE"/>
    <w:pPr>
      <w:keepNext/>
      <w:keepLines/>
      <w:spacing w:before="240" w:line="240" w:lineRule="auto"/>
      <w:outlineLvl w:val="1"/>
    </w:pPr>
    <w:rPr>
      <w:rFonts w:asciiTheme="majorHAnsi" w:eastAsiaTheme="majorEastAsia" w:hAnsiTheme="majorHAnsi" w:cstheme="majorBidi"/>
      <w:color w:val="1C2B39" w:themeColor="accent1"/>
      <w:sz w:val="24"/>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752DAE"/>
    <w:rPr>
      <w:rFonts w:asciiTheme="majorHAnsi" w:eastAsiaTheme="majorEastAsia" w:hAnsiTheme="majorHAnsi" w:cstheme="majorBidi"/>
      <w:color w:val="1C2B39" w:themeColor="accent1"/>
      <w:sz w:val="24"/>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6"/>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95541"/>
    <w:pPr>
      <w:spacing w:after="0" w:line="240" w:lineRule="auto"/>
    </w:pPr>
    <w:rPr>
      <w:rFonts w:ascii="Segoe UI" w:hAnsi="Segoe UI" w:cs="Segoe UI"/>
      <w:color w:val="FFFFFF" w:themeColor="background1"/>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F8025E"/>
    <w:pPr>
      <w:outlineLvl w:val="2"/>
    </w:pPr>
    <w:rPr>
      <w:rFonts w:cstheme="minorHAnsi"/>
      <w:szCs w:val="26"/>
    </w:rPr>
  </w:style>
  <w:style w:type="paragraph" w:styleId="ListParagraph">
    <w:name w:val="List Paragraph"/>
    <w:aliases w:val="Bullet Level 1,List Paragraph1,Recommendation,List Paragraph11,SP NON-TABLE LIST (S),List Bullet Cab,CAB - List Bullet,List Paragraph2,AR bullet 1,List Paragraph Number,Bullet point,L,Content descriptions,Bullet Point,Figure_name,Dot pt,l"/>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ind w:left="568" w:hanging="284"/>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customStyle="1" w:styleId="EmphasisPanelBullet">
    <w:name w:val="Emphasis Panel Bullet"/>
    <w:uiPriority w:val="11"/>
    <w:qFormat/>
    <w:rsid w:val="0014151F"/>
    <w:pPr>
      <w:keepLines/>
      <w:numPr>
        <w:numId w:val="12"/>
      </w:numPr>
      <w:pBdr>
        <w:top w:val="single" w:sz="4" w:space="8" w:color="FFFFFF" w:themeColor="background2"/>
        <w:left w:val="single" w:sz="4" w:space="8" w:color="FFFFFF" w:themeColor="background2"/>
        <w:bottom w:val="single" w:sz="4" w:space="8" w:color="FFFFFF" w:themeColor="background2"/>
        <w:right w:val="single" w:sz="4" w:space="8" w:color="FFFFFF" w:themeColor="background2"/>
      </w:pBdr>
      <w:shd w:val="clear" w:color="auto" w:fill="FFFFFF" w:themeFill="background2"/>
      <w:spacing w:before="120" w:after="120" w:line="264" w:lineRule="auto"/>
      <w:ind w:right="215"/>
    </w:pPr>
    <w:rPr>
      <w:rFonts w:eastAsia="Times New Roman" w:cstheme="minorHAnsi"/>
      <w:color w:val="314A63" w:themeColor="text1" w:themeTint="D9"/>
      <w:sz w:val="20"/>
      <w:szCs w:val="22"/>
      <w:lang w:val="en-US"/>
    </w:rPr>
  </w:style>
  <w:style w:type="paragraph" w:customStyle="1" w:styleId="TableNumbering">
    <w:name w:val="Table Numbering"/>
    <w:uiPriority w:val="11"/>
    <w:qFormat/>
    <w:rsid w:val="002771EC"/>
    <w:pPr>
      <w:numPr>
        <w:numId w:val="14"/>
      </w:numPr>
      <w:spacing w:before="40" w:after="40" w:line="264" w:lineRule="auto"/>
    </w:pPr>
    <w:rPr>
      <w:rFonts w:eastAsiaTheme="minorHAnsi"/>
      <w:color w:val="1C2B39" w:themeColor="text1"/>
      <w:sz w:val="18"/>
      <w:szCs w:val="20"/>
    </w:rPr>
  </w:style>
  <w:style w:type="character" w:styleId="FollowedHyperlink">
    <w:name w:val="FollowedHyperlink"/>
    <w:basedOn w:val="DefaultParagraphFont"/>
    <w:uiPriority w:val="99"/>
    <w:semiHidden/>
    <w:unhideWhenUsed/>
    <w:rsid w:val="007E6917"/>
    <w:rPr>
      <w:color w:val="DE761C" w:themeColor="followedHyperlink"/>
      <w:u w:val="single"/>
    </w:rPr>
  </w:style>
  <w:style w:type="paragraph" w:styleId="ListBullet">
    <w:name w:val="List Bullet"/>
    <w:basedOn w:val="Normal"/>
    <w:uiPriority w:val="99"/>
    <w:unhideWhenUsed/>
    <w:rsid w:val="00A45279"/>
    <w:pPr>
      <w:numPr>
        <w:numId w:val="15"/>
      </w:numPr>
      <w:contextualSpacing/>
    </w:pPr>
  </w:style>
  <w:style w:type="paragraph" w:styleId="FootnoteText">
    <w:name w:val="footnote text"/>
    <w:basedOn w:val="Normal"/>
    <w:link w:val="FootnoteTextChar"/>
    <w:uiPriority w:val="99"/>
    <w:unhideWhenUsed/>
    <w:rsid w:val="006821D7"/>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6821D7"/>
    <w:rPr>
      <w:rFonts w:eastAsiaTheme="minorHAnsi"/>
      <w:sz w:val="20"/>
      <w:szCs w:val="20"/>
    </w:rPr>
  </w:style>
  <w:style w:type="character" w:customStyle="1" w:styleId="ListParagraphChar">
    <w:name w:val="List Paragraph Char"/>
    <w:aliases w:val="Bullet Level 1 Char,List Paragraph1 Char,Recommendation Char,List Paragraph11 Char,SP NON-TABLE LIST (S) Char,List Bullet Cab Char,CAB - List Bullet Char,List Paragraph2 Char,AR bullet 1 Char,List Paragraph Number Char,L Char,l Char"/>
    <w:basedOn w:val="DefaultParagraphFont"/>
    <w:link w:val="ListParagraph"/>
    <w:uiPriority w:val="34"/>
    <w:qFormat/>
    <w:locked/>
    <w:rsid w:val="006821D7"/>
    <w:rPr>
      <w:sz w:val="22"/>
    </w:rPr>
  </w:style>
  <w:style w:type="character" w:styleId="FootnoteReference">
    <w:name w:val="footnote reference"/>
    <w:basedOn w:val="DefaultParagraphFont"/>
    <w:uiPriority w:val="99"/>
    <w:semiHidden/>
    <w:unhideWhenUsed/>
    <w:rsid w:val="006821D7"/>
    <w:rPr>
      <w:vertAlign w:val="superscript"/>
    </w:rPr>
  </w:style>
  <w:style w:type="paragraph" w:styleId="ListNumber4">
    <w:name w:val="List Number 4"/>
    <w:basedOn w:val="ListNumber"/>
    <w:uiPriority w:val="21"/>
    <w:unhideWhenUsed/>
    <w:rsid w:val="00BA3CF3"/>
    <w:pPr>
      <w:numPr>
        <w:numId w:val="0"/>
      </w:numPr>
      <w:spacing w:before="120" w:after="120"/>
      <w:contextualSpacing w:val="0"/>
    </w:pPr>
    <w:rPr>
      <w:rFonts w:eastAsiaTheme="minorHAnsi"/>
      <w:sz w:val="20"/>
      <w:szCs w:val="22"/>
    </w:rPr>
  </w:style>
  <w:style w:type="character" w:customStyle="1" w:styleId="normaltextrun">
    <w:name w:val="normaltextrun"/>
    <w:basedOn w:val="DefaultParagraphFont"/>
    <w:rsid w:val="00BA3CF3"/>
  </w:style>
  <w:style w:type="character" w:customStyle="1" w:styleId="eop">
    <w:name w:val="eop"/>
    <w:basedOn w:val="DefaultParagraphFont"/>
    <w:rsid w:val="00BA3CF3"/>
  </w:style>
  <w:style w:type="paragraph" w:styleId="ListNumber">
    <w:name w:val="List Number"/>
    <w:basedOn w:val="Normal"/>
    <w:uiPriority w:val="99"/>
    <w:semiHidden/>
    <w:unhideWhenUsed/>
    <w:rsid w:val="00BA3CF3"/>
    <w:pPr>
      <w:numPr>
        <w:numId w:val="17"/>
      </w:numPr>
      <w:contextualSpacing/>
    </w:pPr>
  </w:style>
  <w:style w:type="character" w:customStyle="1" w:styleId="cf01">
    <w:name w:val="cf01"/>
    <w:basedOn w:val="DefaultParagraphFont"/>
    <w:rsid w:val="00FD6E1D"/>
    <w:rPr>
      <w:rFonts w:ascii="Segoe UI" w:hAnsi="Segoe UI" w:cs="Segoe UI" w:hint="default"/>
      <w:sz w:val="18"/>
      <w:szCs w:val="18"/>
    </w:rPr>
  </w:style>
  <w:style w:type="paragraph" w:styleId="CommentText">
    <w:name w:val="annotation text"/>
    <w:basedOn w:val="Normal"/>
    <w:link w:val="CommentTextChar"/>
    <w:uiPriority w:val="99"/>
    <w:unhideWhenUsed/>
    <w:rsid w:val="00FD6E1D"/>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D6E1D"/>
    <w:rPr>
      <w:rFonts w:eastAsiaTheme="minorHAnsi"/>
      <w:sz w:val="20"/>
      <w:szCs w:val="20"/>
    </w:rPr>
  </w:style>
  <w:style w:type="paragraph" w:styleId="BodyText">
    <w:name w:val="Body Text"/>
    <w:link w:val="BodyTextChar"/>
    <w:uiPriority w:val="1"/>
    <w:unhideWhenUsed/>
    <w:qFormat/>
    <w:rsid w:val="00FD6E1D"/>
    <w:pPr>
      <w:spacing w:before="120" w:after="120" w:line="240" w:lineRule="auto"/>
    </w:pPr>
    <w:rPr>
      <w:rFonts w:eastAsiaTheme="minorHAnsi" w:cstheme="majorHAnsi"/>
      <w:sz w:val="22"/>
      <w:szCs w:val="28"/>
    </w:rPr>
  </w:style>
  <w:style w:type="character" w:customStyle="1" w:styleId="BodyTextChar">
    <w:name w:val="Body Text Char"/>
    <w:basedOn w:val="DefaultParagraphFont"/>
    <w:link w:val="BodyText"/>
    <w:uiPriority w:val="1"/>
    <w:rsid w:val="00FD6E1D"/>
    <w:rPr>
      <w:rFonts w:eastAsiaTheme="minorHAnsi" w:cstheme="majorHAnsi"/>
      <w:sz w:val="22"/>
      <w:szCs w:val="28"/>
    </w:rPr>
  </w:style>
  <w:style w:type="paragraph" w:customStyle="1" w:styleId="TableHeading">
    <w:name w:val="Table Heading"/>
    <w:basedOn w:val="Normal"/>
    <w:next w:val="BodyText"/>
    <w:uiPriority w:val="11"/>
    <w:qFormat/>
    <w:rsid w:val="00FD6E1D"/>
    <w:pPr>
      <w:spacing w:before="120" w:after="120" w:line="240" w:lineRule="auto"/>
    </w:pPr>
    <w:rPr>
      <w:rFonts w:eastAsiaTheme="minorHAnsi"/>
      <w:sz w:val="20"/>
      <w:szCs w:val="22"/>
    </w:rPr>
  </w:style>
  <w:style w:type="paragraph" w:customStyle="1" w:styleId="TableBody">
    <w:name w:val="Table Body"/>
    <w:basedOn w:val="Normal"/>
    <w:uiPriority w:val="4"/>
    <w:qFormat/>
    <w:rsid w:val="00FD6E1D"/>
    <w:pPr>
      <w:spacing w:before="120" w:after="120" w:line="240" w:lineRule="auto"/>
    </w:pPr>
    <w:rPr>
      <w:rFonts w:eastAsia="MS Mincho" w:cs="Times New Roman"/>
      <w:color w:val="1C2B39" w:themeColor="text1"/>
      <w:sz w:val="20"/>
      <w:szCs w:val="20"/>
      <w:lang w:val="en-US"/>
    </w:rPr>
  </w:style>
  <w:style w:type="character" w:styleId="CommentReference">
    <w:name w:val="annotation reference"/>
    <w:basedOn w:val="DefaultParagraphFont"/>
    <w:uiPriority w:val="99"/>
    <w:semiHidden/>
    <w:unhideWhenUsed/>
    <w:rsid w:val="00FD6E1D"/>
    <w:rPr>
      <w:sz w:val="16"/>
      <w:szCs w:val="16"/>
    </w:rPr>
  </w:style>
  <w:style w:type="table" w:customStyle="1" w:styleId="TableGrid111">
    <w:name w:val="Table Grid111"/>
    <w:basedOn w:val="TableNormal"/>
    <w:uiPriority w:val="39"/>
    <w:rsid w:val="00FD6E1D"/>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06482F"/>
    <w:rPr>
      <w:rFonts w:eastAsiaTheme="minorEastAsia"/>
      <w:b/>
      <w:bCs/>
    </w:rPr>
  </w:style>
  <w:style w:type="character" w:customStyle="1" w:styleId="CommentSubjectChar">
    <w:name w:val="Comment Subject Char"/>
    <w:basedOn w:val="CommentTextChar"/>
    <w:link w:val="CommentSubject"/>
    <w:uiPriority w:val="99"/>
    <w:rsid w:val="0006482F"/>
    <w:rPr>
      <w:rFonts w:eastAsiaTheme="minorHAnsi"/>
      <w:b/>
      <w:bCs/>
      <w:sz w:val="20"/>
      <w:szCs w:val="20"/>
    </w:rPr>
  </w:style>
  <w:style w:type="character" w:customStyle="1" w:styleId="ui-provider">
    <w:name w:val="ui-provider"/>
    <w:basedOn w:val="DefaultParagraphFont"/>
    <w:rsid w:val="00A23266"/>
  </w:style>
  <w:style w:type="table" w:styleId="TableGridLight">
    <w:name w:val="Grid Table Light"/>
    <w:basedOn w:val="TableNormal"/>
    <w:uiPriority w:val="40"/>
    <w:rsid w:val="007A2B9E"/>
    <w:pPr>
      <w:spacing w:after="0" w:line="240" w:lineRule="auto"/>
    </w:pPr>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9E6A26"/>
    <w:pPr>
      <w:spacing w:before="100" w:beforeAutospacing="1" w:after="100" w:afterAutospacing="1" w:line="256" w:lineRule="auto"/>
    </w:pPr>
    <w:rPr>
      <w:rFonts w:ascii="Calibri" w:hAnsi="Calibri" w:cs="Calibri"/>
      <w:szCs w:val="22"/>
      <w:lang w:eastAsia="en-AU"/>
    </w:rPr>
  </w:style>
  <w:style w:type="table" w:customStyle="1" w:styleId="TableGrid1">
    <w:name w:val="Table Grid1"/>
    <w:basedOn w:val="TableNormal"/>
    <w:next w:val="TableGrid"/>
    <w:uiPriority w:val="39"/>
    <w:rsid w:val="009E5FE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HATable1">
    <w:name w:val="DHA Table1"/>
    <w:basedOn w:val="TableNormal"/>
    <w:uiPriority w:val="99"/>
    <w:rsid w:val="00AD1096"/>
    <w:pPr>
      <w:spacing w:before="120" w:after="120" w:line="240" w:lineRule="auto"/>
    </w:pPr>
    <w:rPr>
      <w:rFonts w:eastAsia="Arial"/>
      <w:color w:val="000000"/>
      <w:sz w:val="20"/>
      <w:szCs w:val="20"/>
    </w:rPr>
    <w:tblPr>
      <w:tblStyleRowBandSize w:val="1"/>
      <w:tblStyleColBandSize w:val="1"/>
      <w:tblBorders>
        <w:top w:val="single" w:sz="8" w:space="0" w:color="FFFFFF"/>
        <w:bottom w:val="single" w:sz="8" w:space="0" w:color="FFFFFF"/>
        <w:insideH w:val="single" w:sz="8" w:space="0" w:color="FFFFFF"/>
      </w:tblBorders>
      <w:tblCellMar>
        <w:left w:w="85" w:type="dxa"/>
        <w:right w:w="85" w:type="dxa"/>
      </w:tblCellMar>
    </w:tblPr>
    <w:tcPr>
      <w:shd w:val="clear" w:color="auto" w:fill="CCCCCC"/>
    </w:tcPr>
    <w:tblStylePr w:type="firstRow">
      <w:pPr>
        <w:keepNext/>
        <w:wordWrap/>
        <w:spacing w:beforeLines="0" w:before="120" w:beforeAutospacing="0" w:afterLines="0" w:after="120" w:afterAutospacing="0" w:line="240" w:lineRule="auto"/>
        <w:contextualSpacing w:val="0"/>
        <w:jc w:val="left"/>
      </w:pPr>
      <w:rPr>
        <w:rFonts w:ascii="Arial" w:hAnsi="Arial"/>
        <w:b/>
        <w:i w:val="0"/>
        <w:caps w:val="0"/>
        <w:smallCaps w:val="0"/>
        <w:strike w:val="0"/>
        <w:dstrike w:val="0"/>
        <w:vanish w:val="0"/>
        <w:color w:val="FFFFFF"/>
        <w:spacing w:val="0"/>
        <w:w w:val="100"/>
        <w:position w:val="0"/>
        <w:sz w:val="20"/>
        <w:vertAlign w:val="baseline"/>
      </w:rPr>
      <w:tblPr/>
      <w:trPr>
        <w:tblHeader/>
      </w:trPr>
      <w:tcPr>
        <w:shd w:val="clear" w:color="auto" w:fill="034EA2"/>
      </w:tcPr>
    </w:tblStylePr>
    <w:tblStylePr w:type="firstCol">
      <w:pPr>
        <w:wordWrap/>
        <w:spacing w:beforeLines="0" w:before="120" w:beforeAutospacing="0" w:afterLines="0" w:after="120" w:afterAutospacing="0" w:line="240" w:lineRule="auto"/>
        <w:ind w:leftChars="0" w:left="0" w:rightChars="0" w:right="0"/>
        <w:jc w:val="left"/>
      </w:pPr>
      <w:rPr>
        <w:rFonts w:ascii="Arial" w:hAnsi="Arial"/>
        <w:b/>
        <w:i w:val="0"/>
        <w:color w:val="000000"/>
      </w:rPr>
    </w:tblStylePr>
    <w:tblStylePr w:type="band1Horz">
      <w:rPr>
        <w:rFonts w:ascii="Arial" w:hAnsi="Arial"/>
        <w:b w:val="0"/>
        <w:i w:val="0"/>
        <w:color w:val="000000"/>
        <w:sz w:val="20"/>
      </w:rPr>
      <w:tblPr/>
      <w:tcPr>
        <w:shd w:val="clear" w:color="auto" w:fill="FFFFFF"/>
      </w:tcPr>
    </w:tblStylePr>
    <w:tblStylePr w:type="band2Horz">
      <w:rPr>
        <w:rFonts w:ascii="Arial" w:hAnsi="Arial"/>
        <w:b w:val="0"/>
        <w:color w:val="000000"/>
        <w:sz w:val="20"/>
      </w:rPr>
      <w:tblPr/>
      <w:tcPr>
        <w:shd w:val="clear" w:color="auto" w:fill="F2F2F2"/>
      </w:tcPr>
    </w:tblStylePr>
  </w:style>
  <w:style w:type="table" w:customStyle="1" w:styleId="DHATable">
    <w:name w:val="DHA Table"/>
    <w:basedOn w:val="TableNormal"/>
    <w:uiPriority w:val="99"/>
    <w:rsid w:val="0000375D"/>
    <w:pPr>
      <w:spacing w:before="120" w:after="120" w:line="240" w:lineRule="auto"/>
    </w:pPr>
    <w:rPr>
      <w:rFonts w:eastAsiaTheme="minorHAnsi"/>
      <w:color w:val="000000"/>
      <w:sz w:val="20"/>
      <w:szCs w:val="20"/>
    </w:rPr>
    <w:tblPr>
      <w:tblStyleRowBandSize w:val="1"/>
      <w:tblStyleColBandSize w:val="1"/>
      <w:tblBorders>
        <w:top w:val="single" w:sz="8" w:space="0" w:color="FFFFFF"/>
        <w:bottom w:val="single" w:sz="8" w:space="0" w:color="FFFFFF"/>
        <w:insideH w:val="single" w:sz="8" w:space="0" w:color="FFFFFF"/>
      </w:tblBorders>
      <w:tblCellMar>
        <w:left w:w="85" w:type="dxa"/>
        <w:right w:w="85" w:type="dxa"/>
      </w:tblCellMar>
    </w:tblPr>
    <w:tcPr>
      <w:shd w:val="clear" w:color="auto" w:fill="CCCCCC"/>
    </w:tcPr>
    <w:tblStylePr w:type="firstRow">
      <w:pPr>
        <w:keepNext/>
        <w:wordWrap/>
        <w:spacing w:beforeLines="0" w:before="120" w:beforeAutospacing="0" w:afterLines="0" w:after="120" w:afterAutospacing="0" w:line="240" w:lineRule="auto"/>
        <w:contextualSpacing w:val="0"/>
        <w:jc w:val="left"/>
      </w:pPr>
      <w:rPr>
        <w:rFonts w:ascii="Arial" w:hAnsi="Arial"/>
        <w:b/>
        <w:i w:val="0"/>
        <w:caps w:val="0"/>
        <w:smallCaps w:val="0"/>
        <w:strike w:val="0"/>
        <w:dstrike w:val="0"/>
        <w:vanish w:val="0"/>
        <w:color w:val="FFFFFF"/>
        <w:spacing w:val="0"/>
        <w:w w:val="100"/>
        <w:position w:val="0"/>
        <w:sz w:val="20"/>
        <w:vertAlign w:val="baseline"/>
      </w:rPr>
      <w:tblPr/>
      <w:trPr>
        <w:tblHeader/>
      </w:trPr>
      <w:tcPr>
        <w:shd w:val="clear" w:color="auto" w:fill="034EA2"/>
      </w:tcPr>
    </w:tblStylePr>
    <w:tblStylePr w:type="firstCol">
      <w:pPr>
        <w:wordWrap/>
        <w:spacing w:beforeLines="0" w:before="120" w:beforeAutospacing="0" w:afterLines="0" w:after="120" w:afterAutospacing="0" w:line="240" w:lineRule="auto"/>
        <w:ind w:leftChars="0" w:left="0" w:rightChars="0" w:right="0"/>
        <w:jc w:val="left"/>
      </w:pPr>
      <w:rPr>
        <w:rFonts w:ascii="Arial" w:hAnsi="Arial"/>
        <w:b/>
        <w:i w:val="0"/>
        <w:color w:val="000000"/>
      </w:rPr>
    </w:tblStylePr>
    <w:tblStylePr w:type="band1Horz">
      <w:rPr>
        <w:rFonts w:ascii="Arial" w:hAnsi="Arial"/>
        <w:b w:val="0"/>
        <w:i w:val="0"/>
        <w:color w:val="000000"/>
        <w:sz w:val="20"/>
      </w:rPr>
      <w:tblPr/>
      <w:tcPr>
        <w:shd w:val="clear" w:color="auto" w:fill="FFFFFF"/>
      </w:tcPr>
    </w:tblStylePr>
    <w:tblStylePr w:type="band2Horz">
      <w:rPr>
        <w:rFonts w:ascii="Arial" w:hAnsi="Arial"/>
        <w:b w:val="0"/>
        <w:color w:val="000000"/>
        <w:sz w:val="20"/>
      </w:rPr>
      <w:tblPr/>
      <w:tcPr>
        <w:shd w:val="clear" w:color="auto" w:fill="F2F2F2"/>
      </w:tcPr>
    </w:tblStylePr>
  </w:style>
  <w:style w:type="paragraph" w:customStyle="1" w:styleId="TableBullet">
    <w:name w:val="Table Bullet"/>
    <w:basedOn w:val="Normal"/>
    <w:uiPriority w:val="5"/>
    <w:qFormat/>
    <w:rsid w:val="0000375D"/>
    <w:pPr>
      <w:numPr>
        <w:numId w:val="50"/>
      </w:numPr>
      <w:spacing w:before="120" w:after="120" w:line="240" w:lineRule="auto"/>
      <w:contextualSpacing/>
    </w:pPr>
    <w:rPr>
      <w:rFonts w:eastAsia="Times New Roman" w:cs="Times New Roman"/>
      <w:sz w:val="20"/>
      <w:szCs w:val="24"/>
      <w:lang w:eastAsia="en-AU"/>
    </w:rPr>
  </w:style>
  <w:style w:type="paragraph" w:customStyle="1" w:styleId="TableNumber">
    <w:name w:val="Table Number"/>
    <w:basedOn w:val="Normal"/>
    <w:uiPriority w:val="5"/>
    <w:qFormat/>
    <w:rsid w:val="0000375D"/>
    <w:pPr>
      <w:numPr>
        <w:numId w:val="49"/>
      </w:numPr>
      <w:spacing w:before="120" w:after="120" w:line="240" w:lineRule="auto"/>
      <w:contextualSpacing/>
    </w:pPr>
    <w:rPr>
      <w:rFonts w:eastAsiaTheme="minorHAnsi"/>
      <w:sz w:val="20"/>
      <w:szCs w:val="22"/>
    </w:rPr>
  </w:style>
  <w:style w:type="numbering" w:customStyle="1" w:styleId="ListTableNumber">
    <w:name w:val="List_TableNumber"/>
    <w:uiPriority w:val="99"/>
    <w:rsid w:val="0000375D"/>
    <w:pPr>
      <w:numPr>
        <w:numId w:val="48"/>
      </w:numPr>
    </w:pPr>
  </w:style>
  <w:style w:type="paragraph" w:customStyle="1" w:styleId="TableBullet2">
    <w:name w:val="Table Bullet 2"/>
    <w:basedOn w:val="TableBullet"/>
    <w:uiPriority w:val="5"/>
    <w:rsid w:val="0000375D"/>
    <w:pPr>
      <w:numPr>
        <w:ilvl w:val="1"/>
      </w:numPr>
    </w:pPr>
  </w:style>
  <w:style w:type="paragraph" w:customStyle="1" w:styleId="TableNumber2">
    <w:name w:val="Table Number 2"/>
    <w:basedOn w:val="TableNumber"/>
    <w:uiPriority w:val="5"/>
    <w:rsid w:val="0000375D"/>
    <w:pPr>
      <w:numPr>
        <w:ilvl w:val="1"/>
      </w:numPr>
    </w:pPr>
  </w:style>
  <w:style w:type="paragraph" w:customStyle="1" w:styleId="Default">
    <w:name w:val="Default"/>
    <w:rsid w:val="007E081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37B38"/>
    <w:pPr>
      <w:spacing w:after="0" w:line="240" w:lineRule="auto"/>
    </w:pPr>
    <w:rPr>
      <w:sz w:val="22"/>
    </w:rPr>
  </w:style>
  <w:style w:type="paragraph" w:styleId="EndnoteText">
    <w:name w:val="endnote text"/>
    <w:basedOn w:val="Normal"/>
    <w:link w:val="EndnoteTextChar"/>
    <w:uiPriority w:val="99"/>
    <w:semiHidden/>
    <w:unhideWhenUsed/>
    <w:rsid w:val="002005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0545"/>
    <w:rPr>
      <w:sz w:val="20"/>
      <w:szCs w:val="20"/>
    </w:rPr>
  </w:style>
  <w:style w:type="character" w:styleId="EndnoteReference">
    <w:name w:val="endnote reference"/>
    <w:basedOn w:val="DefaultParagraphFont"/>
    <w:uiPriority w:val="99"/>
    <w:semiHidden/>
    <w:unhideWhenUsed/>
    <w:rsid w:val="00200545"/>
    <w:rPr>
      <w:vertAlign w:val="superscript"/>
    </w:rPr>
  </w:style>
  <w:style w:type="paragraph" w:customStyle="1" w:styleId="ListParagraph2">
    <w:name w:val="List Paragraph 2"/>
    <w:basedOn w:val="ListParagraph"/>
    <w:uiPriority w:val="19"/>
    <w:semiHidden/>
    <w:rsid w:val="004F60BF"/>
    <w:pPr>
      <w:tabs>
        <w:tab w:val="num" w:pos="360"/>
        <w:tab w:val="num" w:pos="1134"/>
      </w:tabs>
      <w:spacing w:before="120" w:after="120"/>
      <w:ind w:left="568"/>
      <w:contextualSpacing w:val="0"/>
    </w:pPr>
    <w:rPr>
      <w:rFonts w:ascii="Times New Roman" w:eastAsia="Times New Roman" w:hAnsi="Times New Roman" w:cs="Times New Roman"/>
      <w:sz w:val="20"/>
      <w:szCs w:val="24"/>
      <w:lang w:eastAsia="en-AU"/>
    </w:rPr>
  </w:style>
  <w:style w:type="paragraph" w:customStyle="1" w:styleId="ListParagraph3">
    <w:name w:val="List Paragraph 3"/>
    <w:basedOn w:val="ListParagraph"/>
    <w:uiPriority w:val="19"/>
    <w:semiHidden/>
    <w:rsid w:val="004F60BF"/>
    <w:pPr>
      <w:tabs>
        <w:tab w:val="num" w:pos="360"/>
        <w:tab w:val="num" w:pos="1701"/>
      </w:tabs>
      <w:spacing w:before="120" w:after="120"/>
      <w:ind w:left="852"/>
      <w:contextualSpacing w:val="0"/>
    </w:pPr>
    <w:rPr>
      <w:rFonts w:ascii="Times New Roman" w:eastAsia="Times New Roman" w:hAnsi="Times New Roman" w:cs="Times New Roman"/>
      <w:sz w:val="20"/>
      <w:szCs w:val="24"/>
      <w:lang w:eastAsia="en-AU"/>
    </w:rPr>
  </w:style>
  <w:style w:type="paragraph" w:customStyle="1" w:styleId="ListParagraph4">
    <w:name w:val="List Paragraph 4"/>
    <w:basedOn w:val="ListParagraph"/>
    <w:uiPriority w:val="19"/>
    <w:semiHidden/>
    <w:rsid w:val="004F60BF"/>
    <w:pPr>
      <w:tabs>
        <w:tab w:val="num" w:pos="360"/>
        <w:tab w:val="num" w:pos="2268"/>
      </w:tabs>
      <w:spacing w:before="120" w:after="120"/>
      <w:ind w:left="1136"/>
      <w:contextualSpacing w:val="0"/>
    </w:pPr>
    <w:rPr>
      <w:rFonts w:ascii="Times New Roman" w:eastAsia="Times New Roman" w:hAnsi="Times New Roman" w:cs="Times New Roman"/>
      <w:sz w:val="20"/>
      <w:szCs w:val="24"/>
      <w:lang w:eastAsia="en-AU"/>
    </w:rPr>
  </w:style>
  <w:style w:type="paragraph" w:customStyle="1" w:styleId="ListParagraph5">
    <w:name w:val="List Paragraph 5"/>
    <w:basedOn w:val="ListParagraph"/>
    <w:uiPriority w:val="19"/>
    <w:semiHidden/>
    <w:rsid w:val="004F60BF"/>
    <w:pPr>
      <w:tabs>
        <w:tab w:val="num" w:pos="360"/>
        <w:tab w:val="num" w:pos="2835"/>
      </w:tabs>
      <w:spacing w:before="120" w:after="120"/>
      <w:ind w:left="1420"/>
      <w:contextualSpacing w:val="0"/>
    </w:pPr>
    <w:rPr>
      <w:rFonts w:ascii="Times New Roman" w:eastAsia="Times New Roman" w:hAnsi="Times New Roman" w:cs="Times New Roman"/>
      <w:sz w:val="20"/>
      <w:szCs w:val="24"/>
      <w:lang w:eastAsia="en-AU"/>
    </w:rPr>
  </w:style>
  <w:style w:type="paragraph" w:customStyle="1" w:styleId="ListParagraph6">
    <w:name w:val="List Paragraph 6"/>
    <w:basedOn w:val="ListParagraph"/>
    <w:uiPriority w:val="19"/>
    <w:semiHidden/>
    <w:rsid w:val="004F60BF"/>
    <w:pPr>
      <w:tabs>
        <w:tab w:val="num" w:pos="360"/>
        <w:tab w:val="num" w:pos="3402"/>
      </w:tabs>
      <w:spacing w:before="120" w:after="120"/>
      <w:ind w:left="1704"/>
      <w:contextualSpacing w:val="0"/>
    </w:pPr>
    <w:rPr>
      <w:rFonts w:ascii="Times New Roman" w:eastAsia="Times New Roman" w:hAnsi="Times New Roman" w:cs="Times New Roman"/>
      <w:sz w:val="20"/>
      <w:szCs w:val="24"/>
      <w:lang w:eastAsia="en-AU"/>
    </w:rPr>
  </w:style>
  <w:style w:type="paragraph" w:styleId="BodyText2">
    <w:name w:val="Body Text 2"/>
    <w:basedOn w:val="Normal"/>
    <w:link w:val="BodyText2Char"/>
    <w:uiPriority w:val="99"/>
    <w:unhideWhenUsed/>
    <w:rsid w:val="008B5CF8"/>
    <w:pPr>
      <w:autoSpaceDE w:val="0"/>
      <w:autoSpaceDN w:val="0"/>
      <w:adjustRightInd w:val="0"/>
      <w:spacing w:before="120" w:after="120" w:line="271" w:lineRule="auto"/>
    </w:pPr>
    <w:rPr>
      <w:rFonts w:cs="Arial"/>
      <w:color w:val="000000"/>
      <w:szCs w:val="20"/>
    </w:rPr>
  </w:style>
  <w:style w:type="character" w:customStyle="1" w:styleId="BodyText2Char">
    <w:name w:val="Body Text 2 Char"/>
    <w:basedOn w:val="DefaultParagraphFont"/>
    <w:link w:val="BodyText2"/>
    <w:uiPriority w:val="99"/>
    <w:rsid w:val="008B5CF8"/>
    <w:rPr>
      <w:rFonts w:cs="Arial"/>
      <w:color w:val="000000"/>
      <w:sz w:val="22"/>
      <w:szCs w:val="20"/>
    </w:rPr>
  </w:style>
  <w:style w:type="paragraph" w:customStyle="1" w:styleId="Custom10">
    <w:name w:val="Custom1"/>
    <w:basedOn w:val="Heading3"/>
    <w:link w:val="Custom1Char"/>
    <w:qFormat/>
    <w:rsid w:val="00D23889"/>
    <w:pPr>
      <w:spacing w:line="271" w:lineRule="auto"/>
    </w:pPr>
    <w:rPr>
      <w:lang w:eastAsia="en-AU"/>
    </w:rPr>
  </w:style>
  <w:style w:type="character" w:customStyle="1" w:styleId="Custom1Char">
    <w:name w:val="Custom1 Char"/>
    <w:basedOn w:val="Heading3Char"/>
    <w:link w:val="Custom10"/>
    <w:rsid w:val="00D23889"/>
    <w:rPr>
      <w:rFonts w:asciiTheme="majorHAnsi" w:eastAsiaTheme="majorEastAsia" w:hAnsiTheme="majorHAnsi" w:cstheme="minorHAnsi"/>
      <w:b w:val="0"/>
      <w:color w:val="1C2B39" w:themeColor="accent1"/>
      <w:sz w:val="24"/>
      <w:szCs w:val="24"/>
      <w:lang w:eastAsia="en-AU"/>
    </w:rPr>
  </w:style>
  <w:style w:type="paragraph" w:customStyle="1" w:styleId="Custom2">
    <w:name w:val="Custom2"/>
    <w:basedOn w:val="Heading4"/>
    <w:link w:val="Custom2Char"/>
    <w:qFormat/>
    <w:rsid w:val="003D55AD"/>
    <w:pPr>
      <w:spacing w:line="271" w:lineRule="auto"/>
    </w:pPr>
  </w:style>
  <w:style w:type="character" w:customStyle="1" w:styleId="Custom2Char">
    <w:name w:val="Custom2 Char"/>
    <w:basedOn w:val="Heading4Char"/>
    <w:link w:val="Custom2"/>
    <w:rsid w:val="003D55AD"/>
    <w:rPr>
      <w:rFonts w:asciiTheme="majorHAnsi" w:eastAsiaTheme="majorEastAsia" w:hAnsiTheme="majorHAnsi" w:cstheme="minorHAnsi"/>
      <w:color w:val="004261" w:themeColor="text2"/>
      <w:sz w:val="22"/>
      <w:szCs w:val="22"/>
    </w:rPr>
  </w:style>
  <w:style w:type="paragraph" w:customStyle="1" w:styleId="Custom3">
    <w:name w:val="Custom 3"/>
    <w:basedOn w:val="Custom10"/>
    <w:link w:val="Custom3Char"/>
    <w:qFormat/>
    <w:rsid w:val="00836042"/>
  </w:style>
  <w:style w:type="character" w:customStyle="1" w:styleId="Custom3Char">
    <w:name w:val="Custom 3 Char"/>
    <w:basedOn w:val="Custom1Char"/>
    <w:link w:val="Custom3"/>
    <w:rsid w:val="00836042"/>
    <w:rPr>
      <w:rFonts w:asciiTheme="majorHAnsi" w:eastAsiaTheme="majorEastAsia" w:hAnsiTheme="majorHAnsi" w:cstheme="minorHAnsi"/>
      <w:b w:val="0"/>
      <w:color w:val="1C2B39" w:themeColor="accent1"/>
      <w:sz w:val="24"/>
      <w:szCs w:val="24"/>
      <w:lang w:eastAsia="en-AU"/>
    </w:rPr>
  </w:style>
  <w:style w:type="paragraph" w:customStyle="1" w:styleId="Custom4">
    <w:name w:val="Custom4"/>
    <w:basedOn w:val="Custom2"/>
    <w:link w:val="Custom4Char"/>
    <w:qFormat/>
    <w:rsid w:val="004107CE"/>
  </w:style>
  <w:style w:type="character" w:customStyle="1" w:styleId="Custom4Char">
    <w:name w:val="Custom4 Char"/>
    <w:basedOn w:val="Custom2Char"/>
    <w:link w:val="Custom4"/>
    <w:rsid w:val="004107CE"/>
    <w:rPr>
      <w:rFonts w:asciiTheme="majorHAnsi" w:eastAsiaTheme="majorEastAsia" w:hAnsiTheme="majorHAnsi" w:cstheme="minorHAnsi"/>
      <w:color w:val="004261" w:themeColor="text2"/>
      <w:sz w:val="22"/>
      <w:szCs w:val="22"/>
    </w:rPr>
  </w:style>
  <w:style w:type="paragraph" w:customStyle="1" w:styleId="Custom5">
    <w:name w:val="Custom5"/>
    <w:basedOn w:val="Custom10"/>
    <w:link w:val="Custom5Char"/>
    <w:qFormat/>
    <w:rsid w:val="004107CE"/>
    <w:rPr>
      <w:rFonts w:eastAsia="Times New Roman"/>
    </w:rPr>
  </w:style>
  <w:style w:type="character" w:customStyle="1" w:styleId="Custom5Char">
    <w:name w:val="Custom5 Char"/>
    <w:basedOn w:val="Custom1Char"/>
    <w:link w:val="Custom5"/>
    <w:rsid w:val="004107CE"/>
    <w:rPr>
      <w:rFonts w:asciiTheme="majorHAnsi" w:eastAsia="Times New Roman" w:hAnsiTheme="majorHAnsi" w:cstheme="minorHAnsi"/>
      <w:b w:val="0"/>
      <w:color w:val="1C2B39" w:themeColor="accent1"/>
      <w:sz w:val="24"/>
      <w:szCs w:val="24"/>
      <w:lang w:eastAsia="en-AU"/>
    </w:rPr>
  </w:style>
  <w:style w:type="paragraph" w:customStyle="1" w:styleId="Custom6">
    <w:name w:val="Custom 6"/>
    <w:basedOn w:val="Custom2"/>
    <w:link w:val="Custom6Char"/>
    <w:qFormat/>
    <w:rsid w:val="004107CE"/>
  </w:style>
  <w:style w:type="character" w:customStyle="1" w:styleId="Custom6Char">
    <w:name w:val="Custom 6 Char"/>
    <w:basedOn w:val="Custom2Char"/>
    <w:link w:val="Custom6"/>
    <w:rsid w:val="004107CE"/>
    <w:rPr>
      <w:rFonts w:asciiTheme="majorHAnsi" w:eastAsiaTheme="majorEastAsia" w:hAnsiTheme="majorHAnsi" w:cstheme="minorHAnsi"/>
      <w:color w:val="004261" w:themeColor="text2"/>
      <w:sz w:val="22"/>
      <w:szCs w:val="22"/>
    </w:rPr>
  </w:style>
  <w:style w:type="paragraph" w:customStyle="1" w:styleId="Custom11">
    <w:name w:val="Custom1.1"/>
    <w:basedOn w:val="Custom3"/>
    <w:link w:val="Custom11Char"/>
    <w:qFormat/>
    <w:rsid w:val="008F3219"/>
  </w:style>
  <w:style w:type="character" w:customStyle="1" w:styleId="Custom11Char">
    <w:name w:val="Custom1.1 Char"/>
    <w:basedOn w:val="Custom3Char"/>
    <w:link w:val="Custom11"/>
    <w:rsid w:val="008F3219"/>
    <w:rPr>
      <w:rFonts w:asciiTheme="majorHAnsi" w:eastAsiaTheme="majorEastAsia" w:hAnsiTheme="majorHAnsi" w:cstheme="minorHAnsi"/>
      <w:b w:val="0"/>
      <w:color w:val="1C2B39" w:themeColor="accent1"/>
      <w:sz w:val="24"/>
      <w:szCs w:val="24"/>
      <w:lang w:eastAsia="en-AU"/>
    </w:rPr>
  </w:style>
  <w:style w:type="paragraph" w:customStyle="1" w:styleId="Custom31">
    <w:name w:val="Custom3.1"/>
    <w:basedOn w:val="Heading4"/>
    <w:link w:val="Custom31Char"/>
    <w:qFormat/>
    <w:rsid w:val="00663B01"/>
  </w:style>
  <w:style w:type="character" w:customStyle="1" w:styleId="Custom31Char">
    <w:name w:val="Custom3.1 Char"/>
    <w:basedOn w:val="Heading4Char"/>
    <w:link w:val="Custom31"/>
    <w:rsid w:val="00663B01"/>
    <w:rPr>
      <w:rFonts w:asciiTheme="majorHAnsi" w:eastAsiaTheme="majorEastAsia" w:hAnsiTheme="majorHAnsi" w:cstheme="minorHAnsi"/>
      <w:color w:val="004261" w:themeColor="text2"/>
      <w:sz w:val="22"/>
      <w:szCs w:val="22"/>
    </w:rPr>
  </w:style>
  <w:style w:type="paragraph" w:customStyle="1" w:styleId="Custom23">
    <w:name w:val="Custom2.3"/>
    <w:basedOn w:val="Heading3"/>
    <w:link w:val="Custom23Char"/>
    <w:qFormat/>
    <w:rsid w:val="00325D93"/>
  </w:style>
  <w:style w:type="character" w:customStyle="1" w:styleId="Custom23Char">
    <w:name w:val="Custom2.3 Char"/>
    <w:basedOn w:val="Heading3Char"/>
    <w:link w:val="Custom23"/>
    <w:rsid w:val="00325D93"/>
    <w:rPr>
      <w:rFonts w:asciiTheme="majorHAnsi" w:eastAsiaTheme="majorEastAsia" w:hAnsiTheme="majorHAnsi" w:cstheme="minorHAnsi"/>
      <w:b w:val="0"/>
      <w:color w:val="1C2B39" w:themeColor="accent1"/>
      <w:sz w:val="24"/>
      <w:szCs w:val="24"/>
    </w:rPr>
  </w:style>
  <w:style w:type="paragraph" w:customStyle="1" w:styleId="Custom110">
    <w:name w:val="Custom11"/>
    <w:basedOn w:val="Heading3"/>
    <w:link w:val="Custom11Char0"/>
    <w:qFormat/>
    <w:rsid w:val="00325D93"/>
    <w:rPr>
      <w:rFonts w:eastAsia="Times New Roman"/>
    </w:rPr>
  </w:style>
  <w:style w:type="character" w:customStyle="1" w:styleId="Custom11Char0">
    <w:name w:val="Custom11 Char"/>
    <w:basedOn w:val="Heading3Char"/>
    <w:link w:val="Custom110"/>
    <w:rsid w:val="00325D93"/>
    <w:rPr>
      <w:rFonts w:asciiTheme="majorHAnsi" w:eastAsia="Times New Roman" w:hAnsiTheme="majorHAnsi" w:cstheme="minorHAnsi"/>
      <w:b w:val="0"/>
      <w:color w:val="1C2B39" w:themeColor="accent1"/>
      <w:sz w:val="24"/>
      <w:szCs w:val="24"/>
    </w:rPr>
  </w:style>
  <w:style w:type="paragraph" w:customStyle="1" w:styleId="Custom22">
    <w:name w:val="Custom22"/>
    <w:basedOn w:val="Heading3"/>
    <w:link w:val="Custom22Char"/>
    <w:qFormat/>
    <w:rsid w:val="00325D93"/>
  </w:style>
  <w:style w:type="character" w:customStyle="1" w:styleId="Custom22Char">
    <w:name w:val="Custom22 Char"/>
    <w:basedOn w:val="Heading3Char"/>
    <w:link w:val="Custom22"/>
    <w:rsid w:val="00325D93"/>
    <w:rPr>
      <w:rFonts w:asciiTheme="majorHAnsi" w:eastAsiaTheme="majorEastAsia" w:hAnsiTheme="majorHAnsi" w:cstheme="minorHAnsi"/>
      <w:b w:val="0"/>
      <w:color w:val="1C2B39" w:themeColor="accent1"/>
      <w:sz w:val="24"/>
      <w:szCs w:val="24"/>
    </w:rPr>
  </w:style>
  <w:style w:type="paragraph" w:customStyle="1" w:styleId="Custom24">
    <w:name w:val="Custom24"/>
    <w:basedOn w:val="Custom31"/>
    <w:link w:val="Custom24Char"/>
    <w:qFormat/>
    <w:rsid w:val="00325D93"/>
  </w:style>
  <w:style w:type="character" w:customStyle="1" w:styleId="Custom24Char">
    <w:name w:val="Custom24 Char"/>
    <w:basedOn w:val="Custom31Char"/>
    <w:link w:val="Custom24"/>
    <w:rsid w:val="00325D93"/>
    <w:rPr>
      <w:rFonts w:asciiTheme="majorHAnsi" w:eastAsiaTheme="majorEastAsia" w:hAnsiTheme="majorHAnsi" w:cstheme="minorHAnsi"/>
      <w:color w:val="004261" w:themeColor="text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147">
      <w:bodyDiv w:val="1"/>
      <w:marLeft w:val="0"/>
      <w:marRight w:val="0"/>
      <w:marTop w:val="0"/>
      <w:marBottom w:val="0"/>
      <w:divBdr>
        <w:top w:val="none" w:sz="0" w:space="0" w:color="auto"/>
        <w:left w:val="none" w:sz="0" w:space="0" w:color="auto"/>
        <w:bottom w:val="none" w:sz="0" w:space="0" w:color="auto"/>
        <w:right w:val="none" w:sz="0" w:space="0" w:color="auto"/>
      </w:divBdr>
    </w:div>
    <w:div w:id="77600788">
      <w:bodyDiv w:val="1"/>
      <w:marLeft w:val="0"/>
      <w:marRight w:val="0"/>
      <w:marTop w:val="0"/>
      <w:marBottom w:val="0"/>
      <w:divBdr>
        <w:top w:val="none" w:sz="0" w:space="0" w:color="auto"/>
        <w:left w:val="none" w:sz="0" w:space="0" w:color="auto"/>
        <w:bottom w:val="none" w:sz="0" w:space="0" w:color="auto"/>
        <w:right w:val="none" w:sz="0" w:space="0" w:color="auto"/>
      </w:divBdr>
    </w:div>
    <w:div w:id="97989864">
      <w:bodyDiv w:val="1"/>
      <w:marLeft w:val="0"/>
      <w:marRight w:val="0"/>
      <w:marTop w:val="0"/>
      <w:marBottom w:val="0"/>
      <w:divBdr>
        <w:top w:val="none" w:sz="0" w:space="0" w:color="auto"/>
        <w:left w:val="none" w:sz="0" w:space="0" w:color="auto"/>
        <w:bottom w:val="none" w:sz="0" w:space="0" w:color="auto"/>
        <w:right w:val="none" w:sz="0" w:space="0" w:color="auto"/>
      </w:divBdr>
    </w:div>
    <w:div w:id="153840467">
      <w:bodyDiv w:val="1"/>
      <w:marLeft w:val="0"/>
      <w:marRight w:val="0"/>
      <w:marTop w:val="0"/>
      <w:marBottom w:val="0"/>
      <w:divBdr>
        <w:top w:val="none" w:sz="0" w:space="0" w:color="auto"/>
        <w:left w:val="none" w:sz="0" w:space="0" w:color="auto"/>
        <w:bottom w:val="none" w:sz="0" w:space="0" w:color="auto"/>
        <w:right w:val="none" w:sz="0" w:space="0" w:color="auto"/>
      </w:divBdr>
    </w:div>
    <w:div w:id="165486213">
      <w:bodyDiv w:val="1"/>
      <w:marLeft w:val="0"/>
      <w:marRight w:val="0"/>
      <w:marTop w:val="0"/>
      <w:marBottom w:val="0"/>
      <w:divBdr>
        <w:top w:val="none" w:sz="0" w:space="0" w:color="auto"/>
        <w:left w:val="none" w:sz="0" w:space="0" w:color="auto"/>
        <w:bottom w:val="none" w:sz="0" w:space="0" w:color="auto"/>
        <w:right w:val="none" w:sz="0" w:space="0" w:color="auto"/>
      </w:divBdr>
    </w:div>
    <w:div w:id="253562433">
      <w:bodyDiv w:val="1"/>
      <w:marLeft w:val="0"/>
      <w:marRight w:val="0"/>
      <w:marTop w:val="0"/>
      <w:marBottom w:val="0"/>
      <w:divBdr>
        <w:top w:val="none" w:sz="0" w:space="0" w:color="auto"/>
        <w:left w:val="none" w:sz="0" w:space="0" w:color="auto"/>
        <w:bottom w:val="none" w:sz="0" w:space="0" w:color="auto"/>
        <w:right w:val="none" w:sz="0" w:space="0" w:color="auto"/>
      </w:divBdr>
    </w:div>
    <w:div w:id="266471963">
      <w:bodyDiv w:val="1"/>
      <w:marLeft w:val="0"/>
      <w:marRight w:val="0"/>
      <w:marTop w:val="0"/>
      <w:marBottom w:val="0"/>
      <w:divBdr>
        <w:top w:val="none" w:sz="0" w:space="0" w:color="auto"/>
        <w:left w:val="none" w:sz="0" w:space="0" w:color="auto"/>
        <w:bottom w:val="none" w:sz="0" w:space="0" w:color="auto"/>
        <w:right w:val="none" w:sz="0" w:space="0" w:color="auto"/>
      </w:divBdr>
    </w:div>
    <w:div w:id="293756212">
      <w:bodyDiv w:val="1"/>
      <w:marLeft w:val="0"/>
      <w:marRight w:val="0"/>
      <w:marTop w:val="0"/>
      <w:marBottom w:val="0"/>
      <w:divBdr>
        <w:top w:val="none" w:sz="0" w:space="0" w:color="auto"/>
        <w:left w:val="none" w:sz="0" w:space="0" w:color="auto"/>
        <w:bottom w:val="none" w:sz="0" w:space="0" w:color="auto"/>
        <w:right w:val="none" w:sz="0" w:space="0" w:color="auto"/>
      </w:divBdr>
      <w:divsChild>
        <w:div w:id="1826629028">
          <w:marLeft w:val="547"/>
          <w:marRight w:val="0"/>
          <w:marTop w:val="0"/>
          <w:marBottom w:val="0"/>
          <w:divBdr>
            <w:top w:val="none" w:sz="0" w:space="0" w:color="auto"/>
            <w:left w:val="none" w:sz="0" w:space="0" w:color="auto"/>
            <w:bottom w:val="none" w:sz="0" w:space="0" w:color="auto"/>
            <w:right w:val="none" w:sz="0" w:space="0" w:color="auto"/>
          </w:divBdr>
        </w:div>
      </w:divsChild>
    </w:div>
    <w:div w:id="309209807">
      <w:bodyDiv w:val="1"/>
      <w:marLeft w:val="0"/>
      <w:marRight w:val="0"/>
      <w:marTop w:val="0"/>
      <w:marBottom w:val="0"/>
      <w:divBdr>
        <w:top w:val="none" w:sz="0" w:space="0" w:color="auto"/>
        <w:left w:val="none" w:sz="0" w:space="0" w:color="auto"/>
        <w:bottom w:val="none" w:sz="0" w:space="0" w:color="auto"/>
        <w:right w:val="none" w:sz="0" w:space="0" w:color="auto"/>
      </w:divBdr>
    </w:div>
    <w:div w:id="449521170">
      <w:bodyDiv w:val="1"/>
      <w:marLeft w:val="0"/>
      <w:marRight w:val="0"/>
      <w:marTop w:val="0"/>
      <w:marBottom w:val="0"/>
      <w:divBdr>
        <w:top w:val="none" w:sz="0" w:space="0" w:color="auto"/>
        <w:left w:val="none" w:sz="0" w:space="0" w:color="auto"/>
        <w:bottom w:val="none" w:sz="0" w:space="0" w:color="auto"/>
        <w:right w:val="none" w:sz="0" w:space="0" w:color="auto"/>
      </w:divBdr>
    </w:div>
    <w:div w:id="561058203">
      <w:bodyDiv w:val="1"/>
      <w:marLeft w:val="0"/>
      <w:marRight w:val="0"/>
      <w:marTop w:val="0"/>
      <w:marBottom w:val="0"/>
      <w:divBdr>
        <w:top w:val="none" w:sz="0" w:space="0" w:color="auto"/>
        <w:left w:val="none" w:sz="0" w:space="0" w:color="auto"/>
        <w:bottom w:val="none" w:sz="0" w:space="0" w:color="auto"/>
        <w:right w:val="none" w:sz="0" w:space="0" w:color="auto"/>
      </w:divBdr>
    </w:div>
    <w:div w:id="618679921">
      <w:bodyDiv w:val="1"/>
      <w:marLeft w:val="0"/>
      <w:marRight w:val="0"/>
      <w:marTop w:val="0"/>
      <w:marBottom w:val="0"/>
      <w:divBdr>
        <w:top w:val="none" w:sz="0" w:space="0" w:color="auto"/>
        <w:left w:val="none" w:sz="0" w:space="0" w:color="auto"/>
        <w:bottom w:val="none" w:sz="0" w:space="0" w:color="auto"/>
        <w:right w:val="none" w:sz="0" w:space="0" w:color="auto"/>
      </w:divBdr>
    </w:div>
    <w:div w:id="666057444">
      <w:bodyDiv w:val="1"/>
      <w:marLeft w:val="0"/>
      <w:marRight w:val="0"/>
      <w:marTop w:val="0"/>
      <w:marBottom w:val="0"/>
      <w:divBdr>
        <w:top w:val="none" w:sz="0" w:space="0" w:color="auto"/>
        <w:left w:val="none" w:sz="0" w:space="0" w:color="auto"/>
        <w:bottom w:val="none" w:sz="0" w:space="0" w:color="auto"/>
        <w:right w:val="none" w:sz="0" w:space="0" w:color="auto"/>
      </w:divBdr>
    </w:div>
    <w:div w:id="677469139">
      <w:bodyDiv w:val="1"/>
      <w:marLeft w:val="0"/>
      <w:marRight w:val="0"/>
      <w:marTop w:val="0"/>
      <w:marBottom w:val="0"/>
      <w:divBdr>
        <w:top w:val="none" w:sz="0" w:space="0" w:color="auto"/>
        <w:left w:val="none" w:sz="0" w:space="0" w:color="auto"/>
        <w:bottom w:val="none" w:sz="0" w:space="0" w:color="auto"/>
        <w:right w:val="none" w:sz="0" w:space="0" w:color="auto"/>
      </w:divBdr>
    </w:div>
    <w:div w:id="683019037">
      <w:bodyDiv w:val="1"/>
      <w:marLeft w:val="0"/>
      <w:marRight w:val="0"/>
      <w:marTop w:val="0"/>
      <w:marBottom w:val="0"/>
      <w:divBdr>
        <w:top w:val="none" w:sz="0" w:space="0" w:color="auto"/>
        <w:left w:val="none" w:sz="0" w:space="0" w:color="auto"/>
        <w:bottom w:val="none" w:sz="0" w:space="0" w:color="auto"/>
        <w:right w:val="none" w:sz="0" w:space="0" w:color="auto"/>
      </w:divBdr>
    </w:div>
    <w:div w:id="695541045">
      <w:bodyDiv w:val="1"/>
      <w:marLeft w:val="0"/>
      <w:marRight w:val="0"/>
      <w:marTop w:val="0"/>
      <w:marBottom w:val="0"/>
      <w:divBdr>
        <w:top w:val="none" w:sz="0" w:space="0" w:color="auto"/>
        <w:left w:val="none" w:sz="0" w:space="0" w:color="auto"/>
        <w:bottom w:val="none" w:sz="0" w:space="0" w:color="auto"/>
        <w:right w:val="none" w:sz="0" w:space="0" w:color="auto"/>
      </w:divBdr>
    </w:div>
    <w:div w:id="727609997">
      <w:bodyDiv w:val="1"/>
      <w:marLeft w:val="0"/>
      <w:marRight w:val="0"/>
      <w:marTop w:val="0"/>
      <w:marBottom w:val="0"/>
      <w:divBdr>
        <w:top w:val="none" w:sz="0" w:space="0" w:color="auto"/>
        <w:left w:val="none" w:sz="0" w:space="0" w:color="auto"/>
        <w:bottom w:val="none" w:sz="0" w:space="0" w:color="auto"/>
        <w:right w:val="none" w:sz="0" w:space="0" w:color="auto"/>
      </w:divBdr>
    </w:div>
    <w:div w:id="815800018">
      <w:bodyDiv w:val="1"/>
      <w:marLeft w:val="0"/>
      <w:marRight w:val="0"/>
      <w:marTop w:val="0"/>
      <w:marBottom w:val="0"/>
      <w:divBdr>
        <w:top w:val="none" w:sz="0" w:space="0" w:color="auto"/>
        <w:left w:val="none" w:sz="0" w:space="0" w:color="auto"/>
        <w:bottom w:val="none" w:sz="0" w:space="0" w:color="auto"/>
        <w:right w:val="none" w:sz="0" w:space="0" w:color="auto"/>
      </w:divBdr>
    </w:div>
    <w:div w:id="959729411">
      <w:bodyDiv w:val="1"/>
      <w:marLeft w:val="0"/>
      <w:marRight w:val="0"/>
      <w:marTop w:val="0"/>
      <w:marBottom w:val="0"/>
      <w:divBdr>
        <w:top w:val="none" w:sz="0" w:space="0" w:color="auto"/>
        <w:left w:val="none" w:sz="0" w:space="0" w:color="auto"/>
        <w:bottom w:val="none" w:sz="0" w:space="0" w:color="auto"/>
        <w:right w:val="none" w:sz="0" w:space="0" w:color="auto"/>
      </w:divBdr>
    </w:div>
    <w:div w:id="992173860">
      <w:bodyDiv w:val="1"/>
      <w:marLeft w:val="0"/>
      <w:marRight w:val="0"/>
      <w:marTop w:val="0"/>
      <w:marBottom w:val="0"/>
      <w:divBdr>
        <w:top w:val="none" w:sz="0" w:space="0" w:color="auto"/>
        <w:left w:val="none" w:sz="0" w:space="0" w:color="auto"/>
        <w:bottom w:val="none" w:sz="0" w:space="0" w:color="auto"/>
        <w:right w:val="none" w:sz="0" w:space="0" w:color="auto"/>
      </w:divBdr>
    </w:div>
    <w:div w:id="993877036">
      <w:bodyDiv w:val="1"/>
      <w:marLeft w:val="0"/>
      <w:marRight w:val="0"/>
      <w:marTop w:val="0"/>
      <w:marBottom w:val="0"/>
      <w:divBdr>
        <w:top w:val="none" w:sz="0" w:space="0" w:color="auto"/>
        <w:left w:val="none" w:sz="0" w:space="0" w:color="auto"/>
        <w:bottom w:val="none" w:sz="0" w:space="0" w:color="auto"/>
        <w:right w:val="none" w:sz="0" w:space="0" w:color="auto"/>
      </w:divBdr>
      <w:divsChild>
        <w:div w:id="498354383">
          <w:marLeft w:val="0"/>
          <w:marRight w:val="0"/>
          <w:marTop w:val="0"/>
          <w:marBottom w:val="0"/>
          <w:divBdr>
            <w:top w:val="none" w:sz="0" w:space="0" w:color="auto"/>
            <w:left w:val="none" w:sz="0" w:space="0" w:color="auto"/>
            <w:bottom w:val="none" w:sz="0" w:space="0" w:color="auto"/>
            <w:right w:val="none" w:sz="0" w:space="0" w:color="auto"/>
          </w:divBdr>
          <w:divsChild>
            <w:div w:id="502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2512">
      <w:bodyDiv w:val="1"/>
      <w:marLeft w:val="0"/>
      <w:marRight w:val="0"/>
      <w:marTop w:val="0"/>
      <w:marBottom w:val="0"/>
      <w:divBdr>
        <w:top w:val="none" w:sz="0" w:space="0" w:color="auto"/>
        <w:left w:val="none" w:sz="0" w:space="0" w:color="auto"/>
        <w:bottom w:val="none" w:sz="0" w:space="0" w:color="auto"/>
        <w:right w:val="none" w:sz="0" w:space="0" w:color="auto"/>
      </w:divBdr>
    </w:div>
    <w:div w:id="1057633236">
      <w:bodyDiv w:val="1"/>
      <w:marLeft w:val="0"/>
      <w:marRight w:val="0"/>
      <w:marTop w:val="0"/>
      <w:marBottom w:val="0"/>
      <w:divBdr>
        <w:top w:val="none" w:sz="0" w:space="0" w:color="auto"/>
        <w:left w:val="none" w:sz="0" w:space="0" w:color="auto"/>
        <w:bottom w:val="none" w:sz="0" w:space="0" w:color="auto"/>
        <w:right w:val="none" w:sz="0" w:space="0" w:color="auto"/>
      </w:divBdr>
      <w:divsChild>
        <w:div w:id="915556355">
          <w:marLeft w:val="0"/>
          <w:marRight w:val="0"/>
          <w:marTop w:val="0"/>
          <w:marBottom w:val="0"/>
          <w:divBdr>
            <w:top w:val="none" w:sz="0" w:space="0" w:color="auto"/>
            <w:left w:val="none" w:sz="0" w:space="0" w:color="auto"/>
            <w:bottom w:val="none" w:sz="0" w:space="0" w:color="auto"/>
            <w:right w:val="none" w:sz="0" w:space="0" w:color="auto"/>
          </w:divBdr>
          <w:divsChild>
            <w:div w:id="17244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371">
      <w:bodyDiv w:val="1"/>
      <w:marLeft w:val="0"/>
      <w:marRight w:val="0"/>
      <w:marTop w:val="0"/>
      <w:marBottom w:val="0"/>
      <w:divBdr>
        <w:top w:val="none" w:sz="0" w:space="0" w:color="auto"/>
        <w:left w:val="none" w:sz="0" w:space="0" w:color="auto"/>
        <w:bottom w:val="none" w:sz="0" w:space="0" w:color="auto"/>
        <w:right w:val="none" w:sz="0" w:space="0" w:color="auto"/>
      </w:divBdr>
    </w:div>
    <w:div w:id="1137837224">
      <w:bodyDiv w:val="1"/>
      <w:marLeft w:val="0"/>
      <w:marRight w:val="0"/>
      <w:marTop w:val="0"/>
      <w:marBottom w:val="0"/>
      <w:divBdr>
        <w:top w:val="none" w:sz="0" w:space="0" w:color="auto"/>
        <w:left w:val="none" w:sz="0" w:space="0" w:color="auto"/>
        <w:bottom w:val="none" w:sz="0" w:space="0" w:color="auto"/>
        <w:right w:val="none" w:sz="0" w:space="0" w:color="auto"/>
      </w:divBdr>
    </w:div>
    <w:div w:id="1164080121">
      <w:bodyDiv w:val="1"/>
      <w:marLeft w:val="0"/>
      <w:marRight w:val="0"/>
      <w:marTop w:val="0"/>
      <w:marBottom w:val="0"/>
      <w:divBdr>
        <w:top w:val="none" w:sz="0" w:space="0" w:color="auto"/>
        <w:left w:val="none" w:sz="0" w:space="0" w:color="auto"/>
        <w:bottom w:val="none" w:sz="0" w:space="0" w:color="auto"/>
        <w:right w:val="none" w:sz="0" w:space="0" w:color="auto"/>
      </w:divBdr>
    </w:div>
    <w:div w:id="1208225793">
      <w:bodyDiv w:val="1"/>
      <w:marLeft w:val="0"/>
      <w:marRight w:val="0"/>
      <w:marTop w:val="0"/>
      <w:marBottom w:val="0"/>
      <w:divBdr>
        <w:top w:val="none" w:sz="0" w:space="0" w:color="auto"/>
        <w:left w:val="none" w:sz="0" w:space="0" w:color="auto"/>
        <w:bottom w:val="none" w:sz="0" w:space="0" w:color="auto"/>
        <w:right w:val="none" w:sz="0" w:space="0" w:color="auto"/>
      </w:divBdr>
    </w:div>
    <w:div w:id="1237782315">
      <w:bodyDiv w:val="1"/>
      <w:marLeft w:val="0"/>
      <w:marRight w:val="0"/>
      <w:marTop w:val="0"/>
      <w:marBottom w:val="0"/>
      <w:divBdr>
        <w:top w:val="none" w:sz="0" w:space="0" w:color="auto"/>
        <w:left w:val="none" w:sz="0" w:space="0" w:color="auto"/>
        <w:bottom w:val="none" w:sz="0" w:space="0" w:color="auto"/>
        <w:right w:val="none" w:sz="0" w:space="0" w:color="auto"/>
      </w:divBdr>
    </w:div>
    <w:div w:id="1275558679">
      <w:bodyDiv w:val="1"/>
      <w:marLeft w:val="0"/>
      <w:marRight w:val="0"/>
      <w:marTop w:val="0"/>
      <w:marBottom w:val="0"/>
      <w:divBdr>
        <w:top w:val="none" w:sz="0" w:space="0" w:color="auto"/>
        <w:left w:val="none" w:sz="0" w:space="0" w:color="auto"/>
        <w:bottom w:val="none" w:sz="0" w:space="0" w:color="auto"/>
        <w:right w:val="none" w:sz="0" w:space="0" w:color="auto"/>
      </w:divBdr>
    </w:div>
    <w:div w:id="1287196499">
      <w:bodyDiv w:val="1"/>
      <w:marLeft w:val="0"/>
      <w:marRight w:val="0"/>
      <w:marTop w:val="0"/>
      <w:marBottom w:val="0"/>
      <w:divBdr>
        <w:top w:val="none" w:sz="0" w:space="0" w:color="auto"/>
        <w:left w:val="none" w:sz="0" w:space="0" w:color="auto"/>
        <w:bottom w:val="none" w:sz="0" w:space="0" w:color="auto"/>
        <w:right w:val="none" w:sz="0" w:space="0" w:color="auto"/>
      </w:divBdr>
    </w:div>
    <w:div w:id="1291742711">
      <w:bodyDiv w:val="1"/>
      <w:marLeft w:val="0"/>
      <w:marRight w:val="0"/>
      <w:marTop w:val="0"/>
      <w:marBottom w:val="0"/>
      <w:divBdr>
        <w:top w:val="none" w:sz="0" w:space="0" w:color="auto"/>
        <w:left w:val="none" w:sz="0" w:space="0" w:color="auto"/>
        <w:bottom w:val="none" w:sz="0" w:space="0" w:color="auto"/>
        <w:right w:val="none" w:sz="0" w:space="0" w:color="auto"/>
      </w:divBdr>
    </w:div>
    <w:div w:id="1302881248">
      <w:bodyDiv w:val="1"/>
      <w:marLeft w:val="0"/>
      <w:marRight w:val="0"/>
      <w:marTop w:val="0"/>
      <w:marBottom w:val="0"/>
      <w:divBdr>
        <w:top w:val="none" w:sz="0" w:space="0" w:color="auto"/>
        <w:left w:val="none" w:sz="0" w:space="0" w:color="auto"/>
        <w:bottom w:val="none" w:sz="0" w:space="0" w:color="auto"/>
        <w:right w:val="none" w:sz="0" w:space="0" w:color="auto"/>
      </w:divBdr>
    </w:div>
    <w:div w:id="1366100219">
      <w:bodyDiv w:val="1"/>
      <w:marLeft w:val="0"/>
      <w:marRight w:val="0"/>
      <w:marTop w:val="0"/>
      <w:marBottom w:val="0"/>
      <w:divBdr>
        <w:top w:val="none" w:sz="0" w:space="0" w:color="auto"/>
        <w:left w:val="none" w:sz="0" w:space="0" w:color="auto"/>
        <w:bottom w:val="none" w:sz="0" w:space="0" w:color="auto"/>
        <w:right w:val="none" w:sz="0" w:space="0" w:color="auto"/>
      </w:divBdr>
    </w:div>
    <w:div w:id="1392271558">
      <w:bodyDiv w:val="1"/>
      <w:marLeft w:val="0"/>
      <w:marRight w:val="0"/>
      <w:marTop w:val="0"/>
      <w:marBottom w:val="0"/>
      <w:divBdr>
        <w:top w:val="none" w:sz="0" w:space="0" w:color="auto"/>
        <w:left w:val="none" w:sz="0" w:space="0" w:color="auto"/>
        <w:bottom w:val="none" w:sz="0" w:space="0" w:color="auto"/>
        <w:right w:val="none" w:sz="0" w:space="0" w:color="auto"/>
      </w:divBdr>
    </w:div>
    <w:div w:id="1402174529">
      <w:bodyDiv w:val="1"/>
      <w:marLeft w:val="0"/>
      <w:marRight w:val="0"/>
      <w:marTop w:val="0"/>
      <w:marBottom w:val="0"/>
      <w:divBdr>
        <w:top w:val="none" w:sz="0" w:space="0" w:color="auto"/>
        <w:left w:val="none" w:sz="0" w:space="0" w:color="auto"/>
        <w:bottom w:val="none" w:sz="0" w:space="0" w:color="auto"/>
        <w:right w:val="none" w:sz="0" w:space="0" w:color="auto"/>
      </w:divBdr>
    </w:div>
    <w:div w:id="1466266825">
      <w:bodyDiv w:val="1"/>
      <w:marLeft w:val="0"/>
      <w:marRight w:val="0"/>
      <w:marTop w:val="0"/>
      <w:marBottom w:val="0"/>
      <w:divBdr>
        <w:top w:val="none" w:sz="0" w:space="0" w:color="auto"/>
        <w:left w:val="none" w:sz="0" w:space="0" w:color="auto"/>
        <w:bottom w:val="none" w:sz="0" w:space="0" w:color="auto"/>
        <w:right w:val="none" w:sz="0" w:space="0" w:color="auto"/>
      </w:divBdr>
    </w:div>
    <w:div w:id="1472555354">
      <w:bodyDiv w:val="1"/>
      <w:marLeft w:val="0"/>
      <w:marRight w:val="0"/>
      <w:marTop w:val="0"/>
      <w:marBottom w:val="0"/>
      <w:divBdr>
        <w:top w:val="none" w:sz="0" w:space="0" w:color="auto"/>
        <w:left w:val="none" w:sz="0" w:space="0" w:color="auto"/>
        <w:bottom w:val="none" w:sz="0" w:space="0" w:color="auto"/>
        <w:right w:val="none" w:sz="0" w:space="0" w:color="auto"/>
      </w:divBdr>
    </w:div>
    <w:div w:id="1478650417">
      <w:bodyDiv w:val="1"/>
      <w:marLeft w:val="0"/>
      <w:marRight w:val="0"/>
      <w:marTop w:val="0"/>
      <w:marBottom w:val="0"/>
      <w:divBdr>
        <w:top w:val="none" w:sz="0" w:space="0" w:color="auto"/>
        <w:left w:val="none" w:sz="0" w:space="0" w:color="auto"/>
        <w:bottom w:val="none" w:sz="0" w:space="0" w:color="auto"/>
        <w:right w:val="none" w:sz="0" w:space="0" w:color="auto"/>
      </w:divBdr>
    </w:div>
    <w:div w:id="1507478584">
      <w:bodyDiv w:val="1"/>
      <w:marLeft w:val="0"/>
      <w:marRight w:val="0"/>
      <w:marTop w:val="0"/>
      <w:marBottom w:val="0"/>
      <w:divBdr>
        <w:top w:val="none" w:sz="0" w:space="0" w:color="auto"/>
        <w:left w:val="none" w:sz="0" w:space="0" w:color="auto"/>
        <w:bottom w:val="none" w:sz="0" w:space="0" w:color="auto"/>
        <w:right w:val="none" w:sz="0" w:space="0" w:color="auto"/>
      </w:divBdr>
    </w:div>
    <w:div w:id="1515991882">
      <w:bodyDiv w:val="1"/>
      <w:marLeft w:val="0"/>
      <w:marRight w:val="0"/>
      <w:marTop w:val="0"/>
      <w:marBottom w:val="0"/>
      <w:divBdr>
        <w:top w:val="none" w:sz="0" w:space="0" w:color="auto"/>
        <w:left w:val="none" w:sz="0" w:space="0" w:color="auto"/>
        <w:bottom w:val="none" w:sz="0" w:space="0" w:color="auto"/>
        <w:right w:val="none" w:sz="0" w:space="0" w:color="auto"/>
      </w:divBdr>
    </w:div>
    <w:div w:id="1519659195">
      <w:bodyDiv w:val="1"/>
      <w:marLeft w:val="0"/>
      <w:marRight w:val="0"/>
      <w:marTop w:val="0"/>
      <w:marBottom w:val="0"/>
      <w:divBdr>
        <w:top w:val="none" w:sz="0" w:space="0" w:color="auto"/>
        <w:left w:val="none" w:sz="0" w:space="0" w:color="auto"/>
        <w:bottom w:val="none" w:sz="0" w:space="0" w:color="auto"/>
        <w:right w:val="none" w:sz="0" w:space="0" w:color="auto"/>
      </w:divBdr>
    </w:div>
    <w:div w:id="1522819654">
      <w:bodyDiv w:val="1"/>
      <w:marLeft w:val="0"/>
      <w:marRight w:val="0"/>
      <w:marTop w:val="0"/>
      <w:marBottom w:val="0"/>
      <w:divBdr>
        <w:top w:val="none" w:sz="0" w:space="0" w:color="auto"/>
        <w:left w:val="none" w:sz="0" w:space="0" w:color="auto"/>
        <w:bottom w:val="none" w:sz="0" w:space="0" w:color="auto"/>
        <w:right w:val="none" w:sz="0" w:space="0" w:color="auto"/>
      </w:divBdr>
    </w:div>
    <w:div w:id="1544370700">
      <w:bodyDiv w:val="1"/>
      <w:marLeft w:val="0"/>
      <w:marRight w:val="0"/>
      <w:marTop w:val="0"/>
      <w:marBottom w:val="0"/>
      <w:divBdr>
        <w:top w:val="none" w:sz="0" w:space="0" w:color="auto"/>
        <w:left w:val="none" w:sz="0" w:space="0" w:color="auto"/>
        <w:bottom w:val="none" w:sz="0" w:space="0" w:color="auto"/>
        <w:right w:val="none" w:sz="0" w:space="0" w:color="auto"/>
      </w:divBdr>
    </w:div>
    <w:div w:id="1553805232">
      <w:bodyDiv w:val="1"/>
      <w:marLeft w:val="0"/>
      <w:marRight w:val="0"/>
      <w:marTop w:val="0"/>
      <w:marBottom w:val="0"/>
      <w:divBdr>
        <w:top w:val="none" w:sz="0" w:space="0" w:color="auto"/>
        <w:left w:val="none" w:sz="0" w:space="0" w:color="auto"/>
        <w:bottom w:val="none" w:sz="0" w:space="0" w:color="auto"/>
        <w:right w:val="none" w:sz="0" w:space="0" w:color="auto"/>
      </w:divBdr>
    </w:div>
    <w:div w:id="1617060481">
      <w:bodyDiv w:val="1"/>
      <w:marLeft w:val="0"/>
      <w:marRight w:val="0"/>
      <w:marTop w:val="0"/>
      <w:marBottom w:val="0"/>
      <w:divBdr>
        <w:top w:val="none" w:sz="0" w:space="0" w:color="auto"/>
        <w:left w:val="none" w:sz="0" w:space="0" w:color="auto"/>
        <w:bottom w:val="none" w:sz="0" w:space="0" w:color="auto"/>
        <w:right w:val="none" w:sz="0" w:space="0" w:color="auto"/>
      </w:divBdr>
    </w:div>
    <w:div w:id="1628732314">
      <w:bodyDiv w:val="1"/>
      <w:marLeft w:val="0"/>
      <w:marRight w:val="0"/>
      <w:marTop w:val="0"/>
      <w:marBottom w:val="0"/>
      <w:divBdr>
        <w:top w:val="none" w:sz="0" w:space="0" w:color="auto"/>
        <w:left w:val="none" w:sz="0" w:space="0" w:color="auto"/>
        <w:bottom w:val="none" w:sz="0" w:space="0" w:color="auto"/>
        <w:right w:val="none" w:sz="0" w:space="0" w:color="auto"/>
      </w:divBdr>
    </w:div>
    <w:div w:id="1630626415">
      <w:bodyDiv w:val="1"/>
      <w:marLeft w:val="0"/>
      <w:marRight w:val="0"/>
      <w:marTop w:val="0"/>
      <w:marBottom w:val="0"/>
      <w:divBdr>
        <w:top w:val="none" w:sz="0" w:space="0" w:color="auto"/>
        <w:left w:val="none" w:sz="0" w:space="0" w:color="auto"/>
        <w:bottom w:val="none" w:sz="0" w:space="0" w:color="auto"/>
        <w:right w:val="none" w:sz="0" w:space="0" w:color="auto"/>
      </w:divBdr>
    </w:div>
    <w:div w:id="1667786843">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694763033">
      <w:bodyDiv w:val="1"/>
      <w:marLeft w:val="0"/>
      <w:marRight w:val="0"/>
      <w:marTop w:val="0"/>
      <w:marBottom w:val="0"/>
      <w:divBdr>
        <w:top w:val="none" w:sz="0" w:space="0" w:color="auto"/>
        <w:left w:val="none" w:sz="0" w:space="0" w:color="auto"/>
        <w:bottom w:val="none" w:sz="0" w:space="0" w:color="auto"/>
        <w:right w:val="none" w:sz="0" w:space="0" w:color="auto"/>
      </w:divBdr>
    </w:div>
    <w:div w:id="1788771064">
      <w:bodyDiv w:val="1"/>
      <w:marLeft w:val="0"/>
      <w:marRight w:val="0"/>
      <w:marTop w:val="0"/>
      <w:marBottom w:val="0"/>
      <w:divBdr>
        <w:top w:val="none" w:sz="0" w:space="0" w:color="auto"/>
        <w:left w:val="none" w:sz="0" w:space="0" w:color="auto"/>
        <w:bottom w:val="none" w:sz="0" w:space="0" w:color="auto"/>
        <w:right w:val="none" w:sz="0" w:space="0" w:color="auto"/>
      </w:divBdr>
    </w:div>
    <w:div w:id="1808817613">
      <w:bodyDiv w:val="1"/>
      <w:marLeft w:val="0"/>
      <w:marRight w:val="0"/>
      <w:marTop w:val="0"/>
      <w:marBottom w:val="0"/>
      <w:divBdr>
        <w:top w:val="none" w:sz="0" w:space="0" w:color="auto"/>
        <w:left w:val="none" w:sz="0" w:space="0" w:color="auto"/>
        <w:bottom w:val="none" w:sz="0" w:space="0" w:color="auto"/>
        <w:right w:val="none" w:sz="0" w:space="0" w:color="auto"/>
      </w:divBdr>
    </w:div>
    <w:div w:id="1859078753">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879202493">
      <w:bodyDiv w:val="1"/>
      <w:marLeft w:val="0"/>
      <w:marRight w:val="0"/>
      <w:marTop w:val="0"/>
      <w:marBottom w:val="0"/>
      <w:divBdr>
        <w:top w:val="none" w:sz="0" w:space="0" w:color="auto"/>
        <w:left w:val="none" w:sz="0" w:space="0" w:color="auto"/>
        <w:bottom w:val="none" w:sz="0" w:space="0" w:color="auto"/>
        <w:right w:val="none" w:sz="0" w:space="0" w:color="auto"/>
      </w:divBdr>
    </w:div>
    <w:div w:id="1907957956">
      <w:bodyDiv w:val="1"/>
      <w:marLeft w:val="0"/>
      <w:marRight w:val="0"/>
      <w:marTop w:val="0"/>
      <w:marBottom w:val="0"/>
      <w:divBdr>
        <w:top w:val="none" w:sz="0" w:space="0" w:color="auto"/>
        <w:left w:val="none" w:sz="0" w:space="0" w:color="auto"/>
        <w:bottom w:val="none" w:sz="0" w:space="0" w:color="auto"/>
        <w:right w:val="none" w:sz="0" w:space="0" w:color="auto"/>
      </w:divBdr>
    </w:div>
    <w:div w:id="1939018075">
      <w:bodyDiv w:val="1"/>
      <w:marLeft w:val="0"/>
      <w:marRight w:val="0"/>
      <w:marTop w:val="0"/>
      <w:marBottom w:val="0"/>
      <w:divBdr>
        <w:top w:val="none" w:sz="0" w:space="0" w:color="auto"/>
        <w:left w:val="none" w:sz="0" w:space="0" w:color="auto"/>
        <w:bottom w:val="none" w:sz="0" w:space="0" w:color="auto"/>
        <w:right w:val="none" w:sz="0" w:space="0" w:color="auto"/>
      </w:divBdr>
    </w:div>
    <w:div w:id="1952005793">
      <w:bodyDiv w:val="1"/>
      <w:marLeft w:val="0"/>
      <w:marRight w:val="0"/>
      <w:marTop w:val="0"/>
      <w:marBottom w:val="0"/>
      <w:divBdr>
        <w:top w:val="none" w:sz="0" w:space="0" w:color="auto"/>
        <w:left w:val="none" w:sz="0" w:space="0" w:color="auto"/>
        <w:bottom w:val="none" w:sz="0" w:space="0" w:color="auto"/>
        <w:right w:val="none" w:sz="0" w:space="0" w:color="auto"/>
      </w:divBdr>
    </w:div>
    <w:div w:id="2014183460">
      <w:bodyDiv w:val="1"/>
      <w:marLeft w:val="0"/>
      <w:marRight w:val="0"/>
      <w:marTop w:val="0"/>
      <w:marBottom w:val="0"/>
      <w:divBdr>
        <w:top w:val="none" w:sz="0" w:space="0" w:color="auto"/>
        <w:left w:val="none" w:sz="0" w:space="0" w:color="auto"/>
        <w:bottom w:val="none" w:sz="0" w:space="0" w:color="auto"/>
        <w:right w:val="none" w:sz="0" w:space="0" w:color="auto"/>
      </w:divBdr>
    </w:div>
    <w:div w:id="203491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diagramQuickStyle" Target="diagrams/quickStyle2.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cid:image001.png@01D37000.DB8E8DE0" TargetMode="External"/><Relationship Id="rId28" Type="http://schemas.microsoft.com/office/2007/relationships/diagramDrawing" Target="diagrams/drawing2.xml"/><Relationship Id="rId10" Type="http://schemas.openxmlformats.org/officeDocument/2006/relationships/image" Target="media/image4.jpeg"/><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diagramColors" Target="diagrams/colors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spistrategist.org.au/safe-shipping-a-forgotten-aspect-of-maritime-security-in-the-pacific/" TargetMode="External"/><Relationship Id="rId13" Type="http://schemas.openxmlformats.org/officeDocument/2006/relationships/hyperlink" Target="https://www.ipcc.ch/report/ar6/syr/downloads/report/IPCC_AR6_SYR_SPM.pdf" TargetMode="External"/><Relationship Id="rId18" Type="http://schemas.openxmlformats.org/officeDocument/2006/relationships/hyperlink" Target="https://www.aic.gov.au/sites/default/files/2023-03/ti665_enablers_of_illicit_drug_trafficking_by_organised_crime_groups.pdf" TargetMode="External"/><Relationship Id="rId26" Type="http://schemas.openxmlformats.org/officeDocument/2006/relationships/hyperlink" Target="https://www.cisc.gov.au/resources-subsite/Documents/critical-infrastructure-annual-risk-review-first-edition-2023.pdf" TargetMode="External"/><Relationship Id="rId39" Type="http://schemas.openxmlformats.org/officeDocument/2006/relationships/hyperlink" Target="https://www.legislation.gov.au/C2020G01032/latest/text" TargetMode="External"/><Relationship Id="rId3" Type="http://schemas.openxmlformats.org/officeDocument/2006/relationships/hyperlink" Target="https://www.eraa.org/update-ground-handling-matters" TargetMode="External"/><Relationship Id="rId21" Type="http://schemas.openxmlformats.org/officeDocument/2006/relationships/hyperlink" Target="http://www.icao.net/cybersecurity-and-resilience-symposism-presentation" TargetMode="External"/><Relationship Id="rId34" Type="http://schemas.openxmlformats.org/officeDocument/2006/relationships/hyperlink" Target="https://www.cisc.gov.au/resources-subsite/Documents/critical-infrastructure-resilience-strategy-2023.pdf" TargetMode="External"/><Relationship Id="rId42" Type="http://schemas.openxmlformats.org/officeDocument/2006/relationships/hyperlink" Target="https://www.abc.net.au/news/2023-11-11/dp-world-australian-ports-cyber-security-incident/103094358" TargetMode="External"/><Relationship Id="rId47" Type="http://schemas.openxmlformats.org/officeDocument/2006/relationships/hyperlink" Target="https://oia.pmc.gov.au/sites/default/files/2023-10/value-of-statistical-life.pdf" TargetMode="External"/><Relationship Id="rId7" Type="http://schemas.openxmlformats.org/officeDocument/2006/relationships/hyperlink" Target="https://www.homeaffairs.gov.au/cyber-security-subsite/files/cyber-security-strategy-2023-30-consultation-paper.pdf" TargetMode="External"/><Relationship Id="rId12" Type="http://schemas.openxmlformats.org/officeDocument/2006/relationships/hyperlink" Target="https://www.ipcc.ch/report/ar6/syr/downloads/report/IPCC_AR6_SYR_SPM.pdf" TargetMode="External"/><Relationship Id="rId17" Type="http://schemas.openxmlformats.org/officeDocument/2006/relationships/hyperlink" Target="https://www.cisc.gov.au/resources-subsite/Documents/critical-infrastructure-annual-risk-review-first-edition-2023.pdf" TargetMode="External"/><Relationship Id="rId25" Type="http://schemas.openxmlformats.org/officeDocument/2006/relationships/hyperlink" Target="https://www.uscg.mil/Portals/0/Images/cyber/CTIME_2023_FINAL.pdf?bcsi_scan_1080eee1ed9cbeb8=vKAPxSOGIy63PpZgYVrr4kZZhhpIAAAAFAezQw==&amp;bcsi_scan_filename=CTIME_2023_FINAL.pdf&amp;bcsi_scan_10800217a24af7f5=XyDA9xFOi3ljzusGe9UDL/HXQG4JAAAAfpIDEg==&amp;bcsi_scan_filename=CTIME_2023_FINAL.pdf%3fbcsi_scan_1080eee1ed9cbeb8%3dvKAPxSOG" TargetMode="External"/><Relationship Id="rId33" Type="http://schemas.openxmlformats.org/officeDocument/2006/relationships/hyperlink" Target="file:///C:/Users/TT82TR/AppData/Local/Microsoft/Windows/INetCache/Content.Outlook/NBD2A0PQ/www.independent.co.uk/travel/news-and-advice/british-airways-data-breach-compensation" TargetMode="External"/><Relationship Id="rId38" Type="http://schemas.openxmlformats.org/officeDocument/2006/relationships/hyperlink" Target="https://www.cisc.gov.au/resources-subsite/Documents/guidance-for-the-critical-infrastructure-risk-management-program.pdf" TargetMode="External"/><Relationship Id="rId46" Type="http://schemas.openxmlformats.org/officeDocument/2006/relationships/hyperlink" Target="https://www.wypr.org/wypr-news/2024-03-28/shipping-closure-at-port-of-baltimore-could-have-worldwide-economic-impacts" TargetMode="External"/><Relationship Id="rId2" Type="http://schemas.openxmlformats.org/officeDocument/2006/relationships/hyperlink" Target="http://www.icao.net/cybersecurity-and-resilience-symposism-presentation" TargetMode="External"/><Relationship Id="rId16" Type="http://schemas.openxmlformats.org/officeDocument/2006/relationships/hyperlink" Target="https://www.cisc.gov.au/resources-subsite/Documents/critical-infrastructure-annual-risk-review-first-edition-2023.pdf" TargetMode="External"/><Relationship Id="rId20" Type="http://schemas.openxmlformats.org/officeDocument/2006/relationships/hyperlink" Target="https://www.weforum.org/agenda/2024/06/transport-supply-chain-ecosystems-cyber-resilience/" TargetMode="External"/><Relationship Id="rId29" Type="http://schemas.openxmlformats.org/officeDocument/2006/relationships/hyperlink" Target="https://www.afr.com/policy/energy-and-climate/cairns-floods-break-records-as-cyclone-jasper-hits-queensland-20231218-p5es2r" TargetMode="External"/><Relationship Id="rId41" Type="http://schemas.openxmlformats.org/officeDocument/2006/relationships/hyperlink" Target="https://oia.pmc.gov.au/resources/guidance-assessing-impacts/regulatory-burden-measurement-framework" TargetMode="External"/><Relationship Id="rId1" Type="http://schemas.openxmlformats.org/officeDocument/2006/relationships/hyperlink" Target="https://www.cisc.gov.au/resources-subsite/Documents/critical-infrastructure-resilience-strategy-2023.pdf" TargetMode="External"/><Relationship Id="rId6" Type="http://schemas.openxmlformats.org/officeDocument/2006/relationships/hyperlink" Target="https://www.smh.com.au/national/airport-worker-arrested-and-charged-with-drug-trafficking-and-money-laundering-20210611-p580c8.html" TargetMode="External"/><Relationship Id="rId11" Type="http://schemas.openxmlformats.org/officeDocument/2006/relationships/hyperlink" Target="https://www.ipcc.ch/report/ar6/syr/downloads/report/IPCC_AR6_SYR_SPM.pdf" TargetMode="External"/><Relationship Id="rId24" Type="http://schemas.openxmlformats.org/officeDocument/2006/relationships/hyperlink" Target="https://www.amsa.gov.au/book/export/html/10150" TargetMode="External"/><Relationship Id="rId32" Type="http://schemas.openxmlformats.org/officeDocument/2006/relationships/hyperlink" Target="https://www.herbertsmithfreehills.com/notes/data/2021-07/british-airways-data-class-action-settles" TargetMode="External"/><Relationship Id="rId37" Type="http://schemas.openxmlformats.org/officeDocument/2006/relationships/hyperlink" Target="https://www.cisc.gov.au/resources-subsite/Documents/critical-infrastructure-annual-risk-review-first-edition-2023.pdf" TargetMode="External"/><Relationship Id="rId40" Type="http://schemas.openxmlformats.org/officeDocument/2006/relationships/hyperlink" Target="https://www.google.com/url?sa=t&amp;rct=j&amp;q=&amp;esrc=s&amp;source=web&amp;cd=&amp;ved=2ahUKEwi3xsv2iY-JAxUp4zgGHRy_PR4QFnoECA4QAw&amp;url=https%3A%2F%2Fwww.aph.gov.au%2FDocumentStore.ashx%3Fid%3Df46ef55d-029b-4e1c-ab0a-6486fcc820ba%26subId%3D667062%23%3A~%3Atext%3DAs%2520at%252023%2520January%25202019%2Cfacilities%2520and%252042%2520Australian%2520ships.%26text%3DThe%2520Department%2520collects%2520pre%252Darrival%2Cand%2520passengers%2520travelling%2520on%2520it.&amp;usg=AOvVaw3MFfAYqvjWMz7Xf1d_iO2E&amp;opi=89978449" TargetMode="External"/><Relationship Id="rId45" Type="http://schemas.openxmlformats.org/officeDocument/2006/relationships/hyperlink" Target="https://www.taylorfrancis.com/chapters/edit/10.4324/9781315756813-22/impact-climate-change-australian-ports-supply-chains-emergence-adaptation-strategies-stephen-cahoon-shu-ling-chen-benjamin-brooks" TargetMode="External"/><Relationship Id="rId5" Type="http://schemas.openxmlformats.org/officeDocument/2006/relationships/hyperlink" Target="https://www.uscg.mil/Portals/0/Images/cyber/CTIME_2023_FINAL.pdf?bcsi_scan_1080eee1ed9cbeb8=vKAPxSOGIy63PpZgYVrr4kZZhhpIAAAAFAezQw==&amp;bcsi_scan_filename=CTIME_2023_FINAL.pdf&amp;bcsi_scan_10800217a24af7f5=XyDA9xFOi3ljzusGe9UDL/HXQG4JAAAAfpIDEg==&amp;bcsi_scan_filename=CTIME_2023_FINAL.pdf%3fbcsi_scan_1080eee1ed9cbeb8%3dvKAPxSOG" TargetMode="External"/><Relationship Id="rId15" Type="http://schemas.openxmlformats.org/officeDocument/2006/relationships/hyperlink" Target="https://www.cyber.gov.au/sites/default/files/2023-11/asd-cyber-threat-report-2023.pdf" TargetMode="External"/><Relationship Id="rId23" Type="http://schemas.openxmlformats.org/officeDocument/2006/relationships/hyperlink" Target="https://databank.worldbank.org/source/world-development-indicators/Series/IS.SHP.GOOD.TU" TargetMode="External"/><Relationship Id="rId28" Type="http://schemas.openxmlformats.org/officeDocument/2006/relationships/hyperlink" Target="https://www.csis.org/programs/strategic-technologies-program/significant-cyber-incidents" TargetMode="External"/><Relationship Id="rId36" Type="http://schemas.openxmlformats.org/officeDocument/2006/relationships/hyperlink" Target="https://www.cisc.gov.au/about-us" TargetMode="External"/><Relationship Id="rId10" Type="http://schemas.openxmlformats.org/officeDocument/2006/relationships/hyperlink" Target="file:///H:/Downloads/Sub%2061%20-%20The%20Defence%20Teaming%20Centre%20(DTC)_Redacted%20(3).pdf" TargetMode="External"/><Relationship Id="rId19" Type="http://schemas.openxmlformats.org/officeDocument/2006/relationships/hyperlink" Target="https://www.protectivesecurity.gov.au/system/files/2022-04/PSPF%20assessment%20report%202020-21.PDF" TargetMode="External"/><Relationship Id="rId31" Type="http://schemas.openxmlformats.org/officeDocument/2006/relationships/hyperlink" Target="https://www.independent.co.uk/travel/news-and-advice/british-airways-data-breach-compensation-b1786805.html" TargetMode="External"/><Relationship Id="rId44" Type="http://schemas.openxmlformats.org/officeDocument/2006/relationships/hyperlink" Target="https://www.herbertsmithfreehills.com/notes/data/2021-07/british-airways-data-class-action-settles" TargetMode="External"/><Relationship Id="rId4" Type="http://schemas.openxmlformats.org/officeDocument/2006/relationships/hyperlink" Target="http://www.weforum.org/agenda/2024/06/transport-supply-chain-ecosystems-cyber-resilience/" TargetMode="External"/><Relationship Id="rId9" Type="http://schemas.openxmlformats.org/officeDocument/2006/relationships/hyperlink" Target="https://seapower.navy.gov.au/media-room/publications/soundings-42" TargetMode="External"/><Relationship Id="rId14" Type="http://schemas.openxmlformats.org/officeDocument/2006/relationships/hyperlink" Target="https://www.cyber.gov.au/sites/default/files/2023-11/asd-cyber-threat-report-2023.pdf" TargetMode="External"/><Relationship Id="rId22" Type="http://schemas.openxmlformats.org/officeDocument/2006/relationships/hyperlink" Target="https://databank.worldbank.org/source/world-development-indicators/Series/IS.SHP.GOOD.TU" TargetMode="External"/><Relationship Id="rId27" Type="http://schemas.openxmlformats.org/officeDocument/2006/relationships/hyperlink" Target="https://www.reuters.com/technology/cybersecurity/dp-world-says-hackers-stole-australian-ports-employee-data-2023-11-28/" TargetMode="External"/><Relationship Id="rId30" Type="http://schemas.openxmlformats.org/officeDocument/2006/relationships/hyperlink" Target="https://www.bbc.com/news/technology-54568784" TargetMode="External"/><Relationship Id="rId35" Type="http://schemas.openxmlformats.org/officeDocument/2006/relationships/hyperlink" Target="https://www.cisc.gov.au/how-we-support-industry/partnership-and-collaboration/trusted-information-sharing-network" TargetMode="External"/><Relationship Id="rId43" Type="http://schemas.openxmlformats.org/officeDocument/2006/relationships/hyperlink" Target="https://www.dpworld.com/australia/news/releases/media-statement-update-on-cybersecurity-incident/" TargetMode="External"/><Relationship Id="rId48" Type="http://schemas.openxmlformats.org/officeDocument/2006/relationships/hyperlink" Target="https://www.cisc.gov.au/legislation-regulation-and-compliance/our-regulatory-principles-and-approach" TargetMode="External"/></Relationships>
</file>

<file path=word/diagrams/_rels/data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svg"/><Relationship Id="rId1" Type="http://schemas.openxmlformats.org/officeDocument/2006/relationships/image" Target="../media/image6.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s>
</file>

<file path=word/diagrams/_rels/drawing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svg"/><Relationship Id="rId1" Type="http://schemas.openxmlformats.org/officeDocument/2006/relationships/image" Target="../media/image6.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F3039-DFCA-4A74-A4BB-777AB16DD83D}" type="doc">
      <dgm:prSet loTypeId="urn:microsoft.com/office/officeart/2005/8/layout/bProcess3" loCatId="process" qsTypeId="urn:microsoft.com/office/officeart/2005/8/quickstyle/simple4" qsCatId="simple" csTypeId="urn:microsoft.com/office/officeart/2005/8/colors/accent0_1" csCatId="mainScheme" phldr="1"/>
      <dgm:spPr/>
    </dgm:pt>
    <dgm:pt modelId="{50DAF4D4-BF59-4E1F-8EC7-0C5F18D4FC88}">
      <dgm:prSet phldrT="[Text]" custT="1"/>
      <dgm:spPr/>
      <dgm:t>
        <a:bodyPr/>
        <a:lstStyle/>
        <a:p>
          <a:pPr algn="ctr"/>
          <a:r>
            <a:rPr lang="en-AU" sz="1000" b="1">
              <a:latin typeface="Arial" panose="020B0604020202020204" pitchFamily="34" charset="0"/>
              <a:cs typeface="Arial" panose="020B0604020202020204" pitchFamily="34" charset="0"/>
            </a:rPr>
            <a:t>Stage 2: </a:t>
          </a:r>
          <a:r>
            <a:rPr lang="en-AU" sz="1000" b="0">
              <a:latin typeface="Arial" panose="020B0604020202020204" pitchFamily="34" charset="0"/>
              <a:cs typeface="Arial" panose="020B0604020202020204" pitchFamily="34" charset="0"/>
            </a:rPr>
            <a:t>Development of supporting regulations</a:t>
          </a:r>
        </a:p>
      </dgm:t>
      <dgm:extLst>
        <a:ext uri="{E40237B7-FDA0-4F09-8148-C483321AD2D9}">
          <dgm14:cNvPr xmlns:dgm14="http://schemas.microsoft.com/office/drawing/2010/diagram" id="0" name="" descr="Stage 2: Development of supporting regulations&#10;"/>
        </a:ext>
      </dgm:extLst>
    </dgm:pt>
    <dgm:pt modelId="{A42EDF71-CAE9-470E-B123-7A767DBF7B3D}" type="parTrans" cxnId="{F6CB43FD-C111-4129-80E7-43E4D8558298}">
      <dgm:prSet/>
      <dgm:spPr/>
      <dgm:t>
        <a:bodyPr/>
        <a:lstStyle/>
        <a:p>
          <a:pPr algn="ctr"/>
          <a:endParaRPr lang="en-AU" sz="1000">
            <a:latin typeface="Arial" panose="020B0604020202020204" pitchFamily="34" charset="0"/>
            <a:cs typeface="Arial" panose="020B0604020202020204" pitchFamily="34" charset="0"/>
          </a:endParaRPr>
        </a:p>
      </dgm:t>
    </dgm:pt>
    <dgm:pt modelId="{A392DFD7-BCB6-4AAA-954D-D844EC40C3DB}" type="sibTrans" cxnId="{F6CB43FD-C111-4129-80E7-43E4D8558298}">
      <dgm:prSet custT="1"/>
      <dgm:spPr/>
      <dgm:t>
        <a:bodyPr/>
        <a:lstStyle/>
        <a:p>
          <a:pPr algn="ctr"/>
          <a:endParaRPr lang="en-AU" sz="1000">
            <a:latin typeface="Arial" panose="020B0604020202020204" pitchFamily="34" charset="0"/>
            <a:cs typeface="Arial" panose="020B0604020202020204" pitchFamily="34" charset="0"/>
          </a:endParaRPr>
        </a:p>
      </dgm:t>
    </dgm:pt>
    <dgm:pt modelId="{E26AEAB6-1643-4F58-A624-1D8FE409273A}">
      <dgm:prSet phldrT="[Text]" custT="1"/>
      <dgm:spPr/>
      <dgm:t>
        <a:bodyPr/>
        <a:lstStyle/>
        <a:p>
          <a:pPr algn="ctr"/>
          <a:r>
            <a:rPr lang="en-AU" sz="1000" b="1">
              <a:latin typeface="Arial" panose="020B0604020202020204" pitchFamily="34" charset="0"/>
              <a:cs typeface="Arial" panose="020B0604020202020204" pitchFamily="34" charset="0"/>
            </a:rPr>
            <a:t>Stage 3: </a:t>
          </a:r>
          <a:r>
            <a:rPr lang="en-AU" sz="1000" b="0">
              <a:latin typeface="Arial" panose="020B0604020202020204" pitchFamily="34" charset="0"/>
              <a:cs typeface="Arial" panose="020B0604020202020204" pitchFamily="34" charset="0"/>
            </a:rPr>
            <a:t>Transition period, supported by guidance</a:t>
          </a:r>
        </a:p>
      </dgm:t>
      <dgm:extLst>
        <a:ext uri="{E40237B7-FDA0-4F09-8148-C483321AD2D9}">
          <dgm14:cNvPr xmlns:dgm14="http://schemas.microsoft.com/office/drawing/2010/diagram" id="0" name="" descr="Stage 3: Transition period, supported by guidance&#10;"/>
        </a:ext>
      </dgm:extLst>
    </dgm:pt>
    <dgm:pt modelId="{4FFE97DE-5C8C-49F1-8F26-6830ADADFB9F}" type="parTrans" cxnId="{5B353739-34F6-4669-B368-3F696AAF6D01}">
      <dgm:prSet/>
      <dgm:spPr/>
      <dgm:t>
        <a:bodyPr/>
        <a:lstStyle/>
        <a:p>
          <a:pPr algn="ctr"/>
          <a:endParaRPr lang="en-AU" sz="1000">
            <a:latin typeface="Arial" panose="020B0604020202020204" pitchFamily="34" charset="0"/>
            <a:cs typeface="Arial" panose="020B0604020202020204" pitchFamily="34" charset="0"/>
          </a:endParaRPr>
        </a:p>
      </dgm:t>
    </dgm:pt>
    <dgm:pt modelId="{1F261F6B-C6FC-4E52-AF4C-60A224BDFC4E}" type="sibTrans" cxnId="{5B353739-34F6-4669-B368-3F696AAF6D01}">
      <dgm:prSet custT="1"/>
      <dgm:spPr/>
      <dgm:t>
        <a:bodyPr/>
        <a:lstStyle/>
        <a:p>
          <a:pPr algn="ctr"/>
          <a:endParaRPr lang="en-AU" sz="1000">
            <a:latin typeface="Arial" panose="020B0604020202020204" pitchFamily="34" charset="0"/>
            <a:cs typeface="Arial" panose="020B0604020202020204" pitchFamily="34" charset="0"/>
          </a:endParaRPr>
        </a:p>
      </dgm:t>
    </dgm:pt>
    <dgm:pt modelId="{712B9AF9-09B8-4F42-A384-F8E96667BD22}">
      <dgm:prSet custT="1"/>
      <dgm:spPr/>
      <dgm:t>
        <a:bodyPr/>
        <a:lstStyle/>
        <a:p>
          <a:pPr algn="ctr"/>
          <a:r>
            <a:rPr lang="en-AU" sz="1000" b="1">
              <a:latin typeface="Arial" panose="020B0604020202020204" pitchFamily="34" charset="0"/>
              <a:cs typeface="Arial" panose="020B0604020202020204" pitchFamily="34" charset="0"/>
            </a:rPr>
            <a:t>Stage 4:</a:t>
          </a:r>
          <a:r>
            <a:rPr lang="en-AU" sz="1000" b="0">
              <a:latin typeface="Arial" panose="020B0604020202020204" pitchFamily="34" charset="0"/>
              <a:cs typeface="Arial" panose="020B0604020202020204" pitchFamily="34" charset="0"/>
            </a:rPr>
            <a:t> New obligations become enforceable (12 months following regulatory passage)</a:t>
          </a:r>
          <a:endParaRPr lang="en-AU" sz="1000">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Stage 4: New obligations become enforceable (12 months following regulatory passage)&#10;"/>
        </a:ext>
      </dgm:extLst>
    </dgm:pt>
    <dgm:pt modelId="{6F1A5A7F-FBAD-44A5-BFE7-16AA94D7C1ED}" type="parTrans" cxnId="{B3D64A0D-194E-4E9C-8067-E649132D30C8}">
      <dgm:prSet/>
      <dgm:spPr/>
      <dgm:t>
        <a:bodyPr/>
        <a:lstStyle/>
        <a:p>
          <a:pPr algn="ctr"/>
          <a:endParaRPr lang="en-AU" sz="1000">
            <a:latin typeface="Arial" panose="020B0604020202020204" pitchFamily="34" charset="0"/>
            <a:cs typeface="Arial" panose="020B0604020202020204" pitchFamily="34" charset="0"/>
          </a:endParaRPr>
        </a:p>
      </dgm:t>
    </dgm:pt>
    <dgm:pt modelId="{D4C09666-3440-474F-8140-893A31C5508B}" type="sibTrans" cxnId="{B3D64A0D-194E-4E9C-8067-E649132D30C8}">
      <dgm:prSet custT="1"/>
      <dgm:spPr/>
      <dgm:t>
        <a:bodyPr/>
        <a:lstStyle/>
        <a:p>
          <a:pPr algn="ctr"/>
          <a:endParaRPr lang="en-AU" sz="1000">
            <a:latin typeface="Arial" panose="020B0604020202020204" pitchFamily="34" charset="0"/>
            <a:cs typeface="Arial" panose="020B0604020202020204" pitchFamily="34" charset="0"/>
          </a:endParaRPr>
        </a:p>
      </dgm:t>
    </dgm:pt>
    <dgm:pt modelId="{FB36EDE8-6B6E-4128-95E6-2073A69573C6}">
      <dgm:prSet custT="1"/>
      <dgm:spPr/>
      <dgm:t>
        <a:bodyPr/>
        <a:lstStyle/>
        <a:p>
          <a:pPr algn="ctr"/>
          <a:r>
            <a:rPr lang="en-AU" sz="1000" b="1">
              <a:latin typeface="Arial" panose="020B0604020202020204" pitchFamily="34" charset="0"/>
              <a:cs typeface="Arial" panose="020B0604020202020204" pitchFamily="34" charset="0"/>
            </a:rPr>
            <a:t>Stage 5: </a:t>
          </a:r>
          <a:r>
            <a:rPr lang="en-AU" sz="1000" b="0">
              <a:latin typeface="Arial" panose="020B0604020202020204" pitchFamily="34" charset="0"/>
              <a:cs typeface="Arial" panose="020B0604020202020204" pitchFamily="34" charset="0"/>
            </a:rPr>
            <a:t>Post-implementation review</a:t>
          </a:r>
        </a:p>
      </dgm:t>
      <dgm:extLst>
        <a:ext uri="{E40237B7-FDA0-4F09-8148-C483321AD2D9}">
          <dgm14:cNvPr xmlns:dgm14="http://schemas.microsoft.com/office/drawing/2010/diagram" id="0" name="" descr="Stage 5: Post-implementation review&#10;"/>
        </a:ext>
      </dgm:extLst>
    </dgm:pt>
    <dgm:pt modelId="{624183DC-6933-4DDD-8F5C-E28848ECC5AA}" type="parTrans" cxnId="{5437037D-7A2B-4ABD-A710-8EA8A78FE1EC}">
      <dgm:prSet/>
      <dgm:spPr/>
      <dgm:t>
        <a:bodyPr/>
        <a:lstStyle/>
        <a:p>
          <a:pPr algn="ctr"/>
          <a:endParaRPr lang="en-AU" sz="1000">
            <a:latin typeface="Arial" panose="020B0604020202020204" pitchFamily="34" charset="0"/>
            <a:cs typeface="Arial" panose="020B0604020202020204" pitchFamily="34" charset="0"/>
          </a:endParaRPr>
        </a:p>
      </dgm:t>
    </dgm:pt>
    <dgm:pt modelId="{7692103F-53A1-407A-B384-F3577B03D8AC}" type="sibTrans" cxnId="{5437037D-7A2B-4ABD-A710-8EA8A78FE1EC}">
      <dgm:prSet custT="1"/>
      <dgm:spPr/>
      <dgm:t>
        <a:bodyPr/>
        <a:lstStyle/>
        <a:p>
          <a:pPr algn="ctr"/>
          <a:endParaRPr lang="en-AU" sz="1000">
            <a:latin typeface="Arial" panose="020B0604020202020204" pitchFamily="34" charset="0"/>
            <a:cs typeface="Arial" panose="020B0604020202020204" pitchFamily="34" charset="0"/>
          </a:endParaRPr>
        </a:p>
      </dgm:t>
    </dgm:pt>
    <dgm:pt modelId="{787F7E96-2C8A-4E94-82D0-0BC98EB3744E}">
      <dgm:prSet phldrT="[Text]" custT="1"/>
      <dgm:spPr/>
      <dgm:t>
        <a:bodyPr/>
        <a:lstStyle/>
        <a:p>
          <a:pPr algn="ctr"/>
          <a:r>
            <a:rPr lang="en-AU" sz="1000" b="1">
              <a:latin typeface="Arial" panose="020B0604020202020204" pitchFamily="34" charset="0"/>
              <a:cs typeface="Arial" panose="020B0604020202020204" pitchFamily="34" charset="0"/>
            </a:rPr>
            <a:t>Stage 1: </a:t>
          </a:r>
          <a:r>
            <a:rPr lang="en-AU" sz="1000">
              <a:latin typeface="Arial" panose="020B0604020202020204" pitchFamily="34" charset="0"/>
              <a:cs typeface="Arial" panose="020B0604020202020204" pitchFamily="34" charset="0"/>
            </a:rPr>
            <a:t>Consideration and passage of amendments captured under option 4</a:t>
          </a:r>
        </a:p>
      </dgm:t>
      <dgm:extLst>
        <a:ext uri="{E40237B7-FDA0-4F09-8148-C483321AD2D9}">
          <dgm14:cNvPr xmlns:dgm14="http://schemas.microsoft.com/office/drawing/2010/diagram" id="0" name="" descr="Stage 1: Consideration and passage of amendments captured under option 4&#10;"/>
        </a:ext>
      </dgm:extLst>
    </dgm:pt>
    <dgm:pt modelId="{D8FD547A-03AD-4775-836B-A00FE00D0B9F}" type="sibTrans" cxnId="{26FCAA6F-3AC6-41BC-AC13-502B71A88271}">
      <dgm:prSet custT="1"/>
      <dgm:spPr/>
      <dgm:t>
        <a:bodyPr/>
        <a:lstStyle/>
        <a:p>
          <a:pPr algn="ctr"/>
          <a:endParaRPr lang="en-AU" sz="1000">
            <a:latin typeface="Arial" panose="020B0604020202020204" pitchFamily="34" charset="0"/>
            <a:cs typeface="Arial" panose="020B0604020202020204" pitchFamily="34" charset="0"/>
          </a:endParaRPr>
        </a:p>
      </dgm:t>
    </dgm:pt>
    <dgm:pt modelId="{653F864D-0473-4994-B48F-295D0B4B4035}" type="parTrans" cxnId="{26FCAA6F-3AC6-41BC-AC13-502B71A88271}">
      <dgm:prSet/>
      <dgm:spPr/>
      <dgm:t>
        <a:bodyPr/>
        <a:lstStyle/>
        <a:p>
          <a:pPr algn="ctr"/>
          <a:endParaRPr lang="en-AU" sz="1000">
            <a:latin typeface="Arial" panose="020B0604020202020204" pitchFamily="34" charset="0"/>
            <a:cs typeface="Arial" panose="020B0604020202020204" pitchFamily="34" charset="0"/>
          </a:endParaRPr>
        </a:p>
      </dgm:t>
    </dgm:pt>
    <dgm:pt modelId="{68603B87-C3D6-4861-BECB-DE06556BC906}" type="pres">
      <dgm:prSet presAssocID="{C3FF3039-DFCA-4A74-A4BB-777AB16DD83D}" presName="Name0" presStyleCnt="0">
        <dgm:presLayoutVars>
          <dgm:dir/>
          <dgm:resizeHandles val="exact"/>
        </dgm:presLayoutVars>
      </dgm:prSet>
      <dgm:spPr/>
    </dgm:pt>
    <dgm:pt modelId="{11B98EBA-7F4A-4A9E-9D6E-167C6AE72333}" type="pres">
      <dgm:prSet presAssocID="{787F7E96-2C8A-4E94-82D0-0BC98EB3744E}" presName="node" presStyleLbl="node1" presStyleIdx="0" presStyleCnt="5">
        <dgm:presLayoutVars>
          <dgm:bulletEnabled val="1"/>
        </dgm:presLayoutVars>
      </dgm:prSet>
      <dgm:spPr/>
      <dgm:t>
        <a:bodyPr/>
        <a:lstStyle/>
        <a:p>
          <a:endParaRPr lang="en-US"/>
        </a:p>
      </dgm:t>
    </dgm:pt>
    <dgm:pt modelId="{B4D759DC-BD55-4BDB-97A3-BB234E8484B3}" type="pres">
      <dgm:prSet presAssocID="{D8FD547A-03AD-4775-836B-A00FE00D0B9F}" presName="sibTrans" presStyleLbl="sibTrans1D1" presStyleIdx="0" presStyleCnt="4"/>
      <dgm:spPr/>
      <dgm:t>
        <a:bodyPr/>
        <a:lstStyle/>
        <a:p>
          <a:endParaRPr lang="en-US"/>
        </a:p>
      </dgm:t>
    </dgm:pt>
    <dgm:pt modelId="{5A5B5CFE-DF3E-4DC0-A852-26BBD7E504C0}" type="pres">
      <dgm:prSet presAssocID="{D8FD547A-03AD-4775-836B-A00FE00D0B9F}" presName="connectorText" presStyleLbl="sibTrans1D1" presStyleIdx="0" presStyleCnt="4"/>
      <dgm:spPr/>
      <dgm:t>
        <a:bodyPr/>
        <a:lstStyle/>
        <a:p>
          <a:endParaRPr lang="en-US"/>
        </a:p>
      </dgm:t>
    </dgm:pt>
    <dgm:pt modelId="{22BB0286-B079-4692-9BE2-45133365C54E}" type="pres">
      <dgm:prSet presAssocID="{50DAF4D4-BF59-4E1F-8EC7-0C5F18D4FC88}" presName="node" presStyleLbl="node1" presStyleIdx="1" presStyleCnt="5">
        <dgm:presLayoutVars>
          <dgm:bulletEnabled val="1"/>
        </dgm:presLayoutVars>
      </dgm:prSet>
      <dgm:spPr/>
      <dgm:t>
        <a:bodyPr/>
        <a:lstStyle/>
        <a:p>
          <a:endParaRPr lang="en-US"/>
        </a:p>
      </dgm:t>
    </dgm:pt>
    <dgm:pt modelId="{DA55B05C-093D-433D-A68B-9F7AE60CCCAA}" type="pres">
      <dgm:prSet presAssocID="{A392DFD7-BCB6-4AAA-954D-D844EC40C3DB}" presName="sibTrans" presStyleLbl="sibTrans1D1" presStyleIdx="1" presStyleCnt="4"/>
      <dgm:spPr/>
      <dgm:t>
        <a:bodyPr/>
        <a:lstStyle/>
        <a:p>
          <a:endParaRPr lang="en-US"/>
        </a:p>
      </dgm:t>
    </dgm:pt>
    <dgm:pt modelId="{B8EAF156-A644-4019-8A21-A8A97498FF45}" type="pres">
      <dgm:prSet presAssocID="{A392DFD7-BCB6-4AAA-954D-D844EC40C3DB}" presName="connectorText" presStyleLbl="sibTrans1D1" presStyleIdx="1" presStyleCnt="4"/>
      <dgm:spPr/>
      <dgm:t>
        <a:bodyPr/>
        <a:lstStyle/>
        <a:p>
          <a:endParaRPr lang="en-US"/>
        </a:p>
      </dgm:t>
    </dgm:pt>
    <dgm:pt modelId="{EBCEE134-C2AA-4A21-9381-0B2A75E423AE}" type="pres">
      <dgm:prSet presAssocID="{E26AEAB6-1643-4F58-A624-1D8FE409273A}" presName="node" presStyleLbl="node1" presStyleIdx="2" presStyleCnt="5">
        <dgm:presLayoutVars>
          <dgm:bulletEnabled val="1"/>
        </dgm:presLayoutVars>
      </dgm:prSet>
      <dgm:spPr/>
      <dgm:t>
        <a:bodyPr/>
        <a:lstStyle/>
        <a:p>
          <a:endParaRPr lang="en-US"/>
        </a:p>
      </dgm:t>
    </dgm:pt>
    <dgm:pt modelId="{4F01B851-1F02-43E4-9BFB-5C4A3719BF5A}" type="pres">
      <dgm:prSet presAssocID="{1F261F6B-C6FC-4E52-AF4C-60A224BDFC4E}" presName="sibTrans" presStyleLbl="sibTrans1D1" presStyleIdx="2" presStyleCnt="4"/>
      <dgm:spPr/>
      <dgm:t>
        <a:bodyPr/>
        <a:lstStyle/>
        <a:p>
          <a:endParaRPr lang="en-US"/>
        </a:p>
      </dgm:t>
    </dgm:pt>
    <dgm:pt modelId="{B41542FA-5985-445F-9625-235BF5A97284}" type="pres">
      <dgm:prSet presAssocID="{1F261F6B-C6FC-4E52-AF4C-60A224BDFC4E}" presName="connectorText" presStyleLbl="sibTrans1D1" presStyleIdx="2" presStyleCnt="4"/>
      <dgm:spPr/>
      <dgm:t>
        <a:bodyPr/>
        <a:lstStyle/>
        <a:p>
          <a:endParaRPr lang="en-US"/>
        </a:p>
      </dgm:t>
    </dgm:pt>
    <dgm:pt modelId="{1DC48CE4-25D6-4B3D-BE5D-02F176C1D8D8}" type="pres">
      <dgm:prSet presAssocID="{712B9AF9-09B8-4F42-A384-F8E96667BD22}" presName="node" presStyleLbl="node1" presStyleIdx="3" presStyleCnt="5" custScaleX="132628" custScaleY="44163" custLinFactNeighborX="26881" custLinFactNeighborY="0">
        <dgm:presLayoutVars>
          <dgm:bulletEnabled val="1"/>
        </dgm:presLayoutVars>
      </dgm:prSet>
      <dgm:spPr/>
      <dgm:t>
        <a:bodyPr/>
        <a:lstStyle/>
        <a:p>
          <a:endParaRPr lang="en-US"/>
        </a:p>
      </dgm:t>
    </dgm:pt>
    <dgm:pt modelId="{A8081007-99D9-4836-BD3B-615782339257}" type="pres">
      <dgm:prSet presAssocID="{D4C09666-3440-474F-8140-893A31C5508B}" presName="sibTrans" presStyleLbl="sibTrans1D1" presStyleIdx="3" presStyleCnt="4"/>
      <dgm:spPr/>
      <dgm:t>
        <a:bodyPr/>
        <a:lstStyle/>
        <a:p>
          <a:endParaRPr lang="en-US"/>
        </a:p>
      </dgm:t>
    </dgm:pt>
    <dgm:pt modelId="{8EA08C93-5349-4A44-BD45-6618F8FDE08B}" type="pres">
      <dgm:prSet presAssocID="{D4C09666-3440-474F-8140-893A31C5508B}" presName="connectorText" presStyleLbl="sibTrans1D1" presStyleIdx="3" presStyleCnt="4"/>
      <dgm:spPr/>
      <dgm:t>
        <a:bodyPr/>
        <a:lstStyle/>
        <a:p>
          <a:endParaRPr lang="en-US"/>
        </a:p>
      </dgm:t>
    </dgm:pt>
    <dgm:pt modelId="{E27FEC02-FB76-4E9D-A23A-D383C31B8A4E}" type="pres">
      <dgm:prSet presAssocID="{FB36EDE8-6B6E-4128-95E6-2073A69573C6}" presName="node" presStyleLbl="node1" presStyleIdx="4" presStyleCnt="5" custScaleX="146716" custScaleY="39905" custLinFactNeighborX="44091" custLinFactNeighborY="200">
        <dgm:presLayoutVars>
          <dgm:bulletEnabled val="1"/>
        </dgm:presLayoutVars>
      </dgm:prSet>
      <dgm:spPr/>
      <dgm:t>
        <a:bodyPr/>
        <a:lstStyle/>
        <a:p>
          <a:endParaRPr lang="en-US"/>
        </a:p>
      </dgm:t>
    </dgm:pt>
  </dgm:ptLst>
  <dgm:cxnLst>
    <dgm:cxn modelId="{4834A081-DD95-4BB1-8F41-FCD6F949D1F4}" type="presOf" srcId="{A392DFD7-BCB6-4AAA-954D-D844EC40C3DB}" destId="{B8EAF156-A644-4019-8A21-A8A97498FF45}" srcOrd="1" destOrd="0" presId="urn:microsoft.com/office/officeart/2005/8/layout/bProcess3"/>
    <dgm:cxn modelId="{4B4A6EB4-3E8F-452C-9719-671FFDE325AC}" type="presOf" srcId="{D4C09666-3440-474F-8140-893A31C5508B}" destId="{A8081007-99D9-4836-BD3B-615782339257}" srcOrd="0" destOrd="0" presId="urn:microsoft.com/office/officeart/2005/8/layout/bProcess3"/>
    <dgm:cxn modelId="{7D380895-5806-44D6-96D9-15C6D345D8D5}" type="presOf" srcId="{D8FD547A-03AD-4775-836B-A00FE00D0B9F}" destId="{B4D759DC-BD55-4BDB-97A3-BB234E8484B3}" srcOrd="0" destOrd="0" presId="urn:microsoft.com/office/officeart/2005/8/layout/bProcess3"/>
    <dgm:cxn modelId="{26FCAA6F-3AC6-41BC-AC13-502B71A88271}" srcId="{C3FF3039-DFCA-4A74-A4BB-777AB16DD83D}" destId="{787F7E96-2C8A-4E94-82D0-0BC98EB3744E}" srcOrd="0" destOrd="0" parTransId="{653F864D-0473-4994-B48F-295D0B4B4035}" sibTransId="{D8FD547A-03AD-4775-836B-A00FE00D0B9F}"/>
    <dgm:cxn modelId="{AB1E473E-7B1F-47E4-9F60-58DDF4F88046}" type="presOf" srcId="{712B9AF9-09B8-4F42-A384-F8E96667BD22}" destId="{1DC48CE4-25D6-4B3D-BE5D-02F176C1D8D8}" srcOrd="0" destOrd="0" presId="urn:microsoft.com/office/officeart/2005/8/layout/bProcess3"/>
    <dgm:cxn modelId="{1CA8B839-EAC1-46AD-B6C5-1DAE5EEAEC2F}" type="presOf" srcId="{50DAF4D4-BF59-4E1F-8EC7-0C5F18D4FC88}" destId="{22BB0286-B079-4692-9BE2-45133365C54E}" srcOrd="0" destOrd="0" presId="urn:microsoft.com/office/officeart/2005/8/layout/bProcess3"/>
    <dgm:cxn modelId="{CEA84F19-CB75-47FC-A869-F52ED712FDC6}" type="presOf" srcId="{787F7E96-2C8A-4E94-82D0-0BC98EB3744E}" destId="{11B98EBA-7F4A-4A9E-9D6E-167C6AE72333}" srcOrd="0" destOrd="0" presId="urn:microsoft.com/office/officeart/2005/8/layout/bProcess3"/>
    <dgm:cxn modelId="{5437037D-7A2B-4ABD-A710-8EA8A78FE1EC}" srcId="{C3FF3039-DFCA-4A74-A4BB-777AB16DD83D}" destId="{FB36EDE8-6B6E-4128-95E6-2073A69573C6}" srcOrd="4" destOrd="0" parTransId="{624183DC-6933-4DDD-8F5C-E28848ECC5AA}" sibTransId="{7692103F-53A1-407A-B384-F3577B03D8AC}"/>
    <dgm:cxn modelId="{4E19AF44-DF4A-439E-83EF-BB4FD761C862}" type="presOf" srcId="{A392DFD7-BCB6-4AAA-954D-D844EC40C3DB}" destId="{DA55B05C-093D-433D-A68B-9F7AE60CCCAA}" srcOrd="0" destOrd="0" presId="urn:microsoft.com/office/officeart/2005/8/layout/bProcess3"/>
    <dgm:cxn modelId="{80BFD260-EDD1-4795-9C37-9024C1924189}" type="presOf" srcId="{FB36EDE8-6B6E-4128-95E6-2073A69573C6}" destId="{E27FEC02-FB76-4E9D-A23A-D383C31B8A4E}" srcOrd="0" destOrd="0" presId="urn:microsoft.com/office/officeart/2005/8/layout/bProcess3"/>
    <dgm:cxn modelId="{B3D64A0D-194E-4E9C-8067-E649132D30C8}" srcId="{C3FF3039-DFCA-4A74-A4BB-777AB16DD83D}" destId="{712B9AF9-09B8-4F42-A384-F8E96667BD22}" srcOrd="3" destOrd="0" parTransId="{6F1A5A7F-FBAD-44A5-BFE7-16AA94D7C1ED}" sibTransId="{D4C09666-3440-474F-8140-893A31C5508B}"/>
    <dgm:cxn modelId="{7EF80333-DC2B-4ECF-8924-5666CA58FD25}" type="presOf" srcId="{D4C09666-3440-474F-8140-893A31C5508B}" destId="{8EA08C93-5349-4A44-BD45-6618F8FDE08B}" srcOrd="1" destOrd="0" presId="urn:microsoft.com/office/officeart/2005/8/layout/bProcess3"/>
    <dgm:cxn modelId="{5D24ADF5-E0F5-4AB6-89C1-12DD280A763C}" type="presOf" srcId="{1F261F6B-C6FC-4E52-AF4C-60A224BDFC4E}" destId="{B41542FA-5985-445F-9625-235BF5A97284}" srcOrd="1" destOrd="0" presId="urn:microsoft.com/office/officeart/2005/8/layout/bProcess3"/>
    <dgm:cxn modelId="{593665AA-D8B8-4FB8-9EE3-4A35FEB139AA}" type="presOf" srcId="{D8FD547A-03AD-4775-836B-A00FE00D0B9F}" destId="{5A5B5CFE-DF3E-4DC0-A852-26BBD7E504C0}" srcOrd="1" destOrd="0" presId="urn:microsoft.com/office/officeart/2005/8/layout/bProcess3"/>
    <dgm:cxn modelId="{0C3C4D2B-434E-400B-B9E7-56D99B8112C3}" type="presOf" srcId="{1F261F6B-C6FC-4E52-AF4C-60A224BDFC4E}" destId="{4F01B851-1F02-43E4-9BFB-5C4A3719BF5A}" srcOrd="0" destOrd="0" presId="urn:microsoft.com/office/officeart/2005/8/layout/bProcess3"/>
    <dgm:cxn modelId="{5B353739-34F6-4669-B368-3F696AAF6D01}" srcId="{C3FF3039-DFCA-4A74-A4BB-777AB16DD83D}" destId="{E26AEAB6-1643-4F58-A624-1D8FE409273A}" srcOrd="2" destOrd="0" parTransId="{4FFE97DE-5C8C-49F1-8F26-6830ADADFB9F}" sibTransId="{1F261F6B-C6FC-4E52-AF4C-60A224BDFC4E}"/>
    <dgm:cxn modelId="{BCAFA0D3-E3B0-425B-B54B-E4D5057F9965}" type="presOf" srcId="{C3FF3039-DFCA-4A74-A4BB-777AB16DD83D}" destId="{68603B87-C3D6-4861-BECB-DE06556BC906}" srcOrd="0" destOrd="0" presId="urn:microsoft.com/office/officeart/2005/8/layout/bProcess3"/>
    <dgm:cxn modelId="{02EF3540-E4D9-40FE-878A-AD8811859B01}" type="presOf" srcId="{E26AEAB6-1643-4F58-A624-1D8FE409273A}" destId="{EBCEE134-C2AA-4A21-9381-0B2A75E423AE}" srcOrd="0" destOrd="0" presId="urn:microsoft.com/office/officeart/2005/8/layout/bProcess3"/>
    <dgm:cxn modelId="{F6CB43FD-C111-4129-80E7-43E4D8558298}" srcId="{C3FF3039-DFCA-4A74-A4BB-777AB16DD83D}" destId="{50DAF4D4-BF59-4E1F-8EC7-0C5F18D4FC88}" srcOrd="1" destOrd="0" parTransId="{A42EDF71-CAE9-470E-B123-7A767DBF7B3D}" sibTransId="{A392DFD7-BCB6-4AAA-954D-D844EC40C3DB}"/>
    <dgm:cxn modelId="{18CEA491-0180-4B7D-AC3D-DB97BC35FC64}" type="presParOf" srcId="{68603B87-C3D6-4861-BECB-DE06556BC906}" destId="{11B98EBA-7F4A-4A9E-9D6E-167C6AE72333}" srcOrd="0" destOrd="0" presId="urn:microsoft.com/office/officeart/2005/8/layout/bProcess3"/>
    <dgm:cxn modelId="{EEF15B5E-96D4-4FA1-B6C4-297A499D026C}" type="presParOf" srcId="{68603B87-C3D6-4861-BECB-DE06556BC906}" destId="{B4D759DC-BD55-4BDB-97A3-BB234E8484B3}" srcOrd="1" destOrd="0" presId="urn:microsoft.com/office/officeart/2005/8/layout/bProcess3"/>
    <dgm:cxn modelId="{5EB2E2ED-D21E-4016-8340-AF7BB8848FFC}" type="presParOf" srcId="{B4D759DC-BD55-4BDB-97A3-BB234E8484B3}" destId="{5A5B5CFE-DF3E-4DC0-A852-26BBD7E504C0}" srcOrd="0" destOrd="0" presId="urn:microsoft.com/office/officeart/2005/8/layout/bProcess3"/>
    <dgm:cxn modelId="{90A28745-439E-459F-AEB7-753ABA4435A3}" type="presParOf" srcId="{68603B87-C3D6-4861-BECB-DE06556BC906}" destId="{22BB0286-B079-4692-9BE2-45133365C54E}" srcOrd="2" destOrd="0" presId="urn:microsoft.com/office/officeart/2005/8/layout/bProcess3"/>
    <dgm:cxn modelId="{6F00816E-26A8-447D-B744-EFABFF5FDD14}" type="presParOf" srcId="{68603B87-C3D6-4861-BECB-DE06556BC906}" destId="{DA55B05C-093D-433D-A68B-9F7AE60CCCAA}" srcOrd="3" destOrd="0" presId="urn:microsoft.com/office/officeart/2005/8/layout/bProcess3"/>
    <dgm:cxn modelId="{B27FAC32-C6A1-4472-AA3B-7A082A3AE2E0}" type="presParOf" srcId="{DA55B05C-093D-433D-A68B-9F7AE60CCCAA}" destId="{B8EAF156-A644-4019-8A21-A8A97498FF45}" srcOrd="0" destOrd="0" presId="urn:microsoft.com/office/officeart/2005/8/layout/bProcess3"/>
    <dgm:cxn modelId="{4B70AA3B-4E3E-49F3-8B1E-D0660EDB5054}" type="presParOf" srcId="{68603B87-C3D6-4861-BECB-DE06556BC906}" destId="{EBCEE134-C2AA-4A21-9381-0B2A75E423AE}" srcOrd="4" destOrd="0" presId="urn:microsoft.com/office/officeart/2005/8/layout/bProcess3"/>
    <dgm:cxn modelId="{163445E7-FF69-42AF-AFDA-602100468F41}" type="presParOf" srcId="{68603B87-C3D6-4861-BECB-DE06556BC906}" destId="{4F01B851-1F02-43E4-9BFB-5C4A3719BF5A}" srcOrd="5" destOrd="0" presId="urn:microsoft.com/office/officeart/2005/8/layout/bProcess3"/>
    <dgm:cxn modelId="{C0615141-C6FC-4B34-B5CC-76D33E99F75F}" type="presParOf" srcId="{4F01B851-1F02-43E4-9BFB-5C4A3719BF5A}" destId="{B41542FA-5985-445F-9625-235BF5A97284}" srcOrd="0" destOrd="0" presId="urn:microsoft.com/office/officeart/2005/8/layout/bProcess3"/>
    <dgm:cxn modelId="{F4AF5F32-DAB9-4122-8E9B-7EDA62D9E82B}" type="presParOf" srcId="{68603B87-C3D6-4861-BECB-DE06556BC906}" destId="{1DC48CE4-25D6-4B3D-BE5D-02F176C1D8D8}" srcOrd="6" destOrd="0" presId="urn:microsoft.com/office/officeart/2005/8/layout/bProcess3"/>
    <dgm:cxn modelId="{41D8543A-0158-4D12-80EB-6B7BA43487F6}" type="presParOf" srcId="{68603B87-C3D6-4861-BECB-DE06556BC906}" destId="{A8081007-99D9-4836-BD3B-615782339257}" srcOrd="7" destOrd="0" presId="urn:microsoft.com/office/officeart/2005/8/layout/bProcess3"/>
    <dgm:cxn modelId="{46E9A1CD-FF88-4E36-A3E4-2E48ED08C8CC}" type="presParOf" srcId="{A8081007-99D9-4836-BD3B-615782339257}" destId="{8EA08C93-5349-4A44-BD45-6618F8FDE08B}" srcOrd="0" destOrd="0" presId="urn:microsoft.com/office/officeart/2005/8/layout/bProcess3"/>
    <dgm:cxn modelId="{639CC667-7F6F-410C-842D-F3C451D95E11}" type="presParOf" srcId="{68603B87-C3D6-4861-BECB-DE06556BC906}" destId="{E27FEC02-FB76-4E9D-A23A-D383C31B8A4E}" srcOrd="8" destOrd="0" presId="urn:microsoft.com/office/officeart/2005/8/layout/bProcess3"/>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51D7AE5-41D4-4F33-88AC-EBDE0B4411AA}" type="doc">
      <dgm:prSet loTypeId="urn:microsoft.com/office/officeart/2005/8/layout/bList2" loCatId="list" qsTypeId="urn:microsoft.com/office/officeart/2005/8/quickstyle/simple1" qsCatId="simple" csTypeId="urn:microsoft.com/office/officeart/2005/8/colors/accent0_1" csCatId="mainScheme" phldr="1"/>
      <dgm:spPr/>
      <dgm:t>
        <a:bodyPr/>
        <a:lstStyle/>
        <a:p>
          <a:endParaRPr lang="en-AU"/>
        </a:p>
      </dgm:t>
    </dgm:pt>
    <dgm:pt modelId="{B564E497-64DB-4229-8241-9DB9206BD345}">
      <dgm:prSet phldrT="[Text]" custT="1"/>
      <dgm:spPr/>
      <dgm:t>
        <a:bodyPr/>
        <a:lstStyle/>
        <a:p>
          <a:pPr algn="ctr"/>
          <a:r>
            <a:rPr lang="en-AU" sz="1000" b="1">
              <a:latin typeface="+mn-lt"/>
              <a:cs typeface="Arial" panose="020B0604020202020204" pitchFamily="34" charset="0"/>
            </a:rPr>
            <a:t>Engagement</a:t>
          </a:r>
        </a:p>
      </dgm:t>
      <dgm:extLst>
        <a:ext uri="{E40237B7-FDA0-4F09-8148-C483321AD2D9}">
          <dgm14:cNvPr xmlns:dgm14="http://schemas.microsoft.com/office/drawing/2010/diagram" id="0" name="" descr="Engagement&#10;"/>
        </a:ext>
      </dgm:extLst>
    </dgm:pt>
    <dgm:pt modelId="{8B2E24E8-D61E-4E4A-8BE3-68D040E959FF}" type="parTrans" cxnId="{91FD0872-ECDB-47D0-889B-31154729794F}">
      <dgm:prSet/>
      <dgm:spPr/>
      <dgm:t>
        <a:bodyPr/>
        <a:lstStyle/>
        <a:p>
          <a:endParaRPr lang="en-AU" sz="1000">
            <a:latin typeface="+mn-lt"/>
            <a:cs typeface="Arial" panose="020B0604020202020204" pitchFamily="34" charset="0"/>
          </a:endParaRPr>
        </a:p>
      </dgm:t>
    </dgm:pt>
    <dgm:pt modelId="{F42CD0B0-0B46-4C47-9547-A839846A338E}" type="sibTrans" cxnId="{91FD0872-ECDB-47D0-889B-31154729794F}">
      <dgm:prSet/>
      <dgm:spPr/>
      <dgm:t>
        <a:bodyPr/>
        <a:lstStyle/>
        <a:p>
          <a:endParaRPr lang="en-AU" sz="1000">
            <a:latin typeface="+mn-lt"/>
            <a:cs typeface="Arial" panose="020B0604020202020204" pitchFamily="34" charset="0"/>
          </a:endParaRPr>
        </a:p>
      </dgm:t>
    </dgm:pt>
    <dgm:pt modelId="{705AD10E-0E81-45BE-BF70-16216CF91987}">
      <dgm:prSet phldrT="[Text]" custT="1"/>
      <dgm:spPr/>
      <dgm:t>
        <a:bodyPr/>
        <a:lstStyle/>
        <a:p>
          <a:pPr algn="ctr"/>
          <a:r>
            <a:rPr lang="en-AU" sz="1000" b="1">
              <a:latin typeface="+mn-lt"/>
              <a:cs typeface="Arial" panose="020B0604020202020204" pitchFamily="34" charset="0"/>
            </a:rPr>
            <a:t>Assurance</a:t>
          </a:r>
        </a:p>
      </dgm:t>
      <dgm:extLst>
        <a:ext uri="{E40237B7-FDA0-4F09-8148-C483321AD2D9}">
          <dgm14:cNvPr xmlns:dgm14="http://schemas.microsoft.com/office/drawing/2010/diagram" id="0" name="" descr="Assurance&#10;"/>
        </a:ext>
      </dgm:extLst>
    </dgm:pt>
    <dgm:pt modelId="{60EBB9E7-A855-41D2-AF81-90D146F02069}" type="parTrans" cxnId="{09422D44-0B32-46A6-929A-8104F7D5480A}">
      <dgm:prSet/>
      <dgm:spPr/>
      <dgm:t>
        <a:bodyPr/>
        <a:lstStyle/>
        <a:p>
          <a:endParaRPr lang="en-AU" sz="1000">
            <a:latin typeface="+mn-lt"/>
            <a:cs typeface="Arial" panose="020B0604020202020204" pitchFamily="34" charset="0"/>
          </a:endParaRPr>
        </a:p>
      </dgm:t>
    </dgm:pt>
    <dgm:pt modelId="{1BEA3CA4-183E-49E9-86FF-778192A505D3}" type="sibTrans" cxnId="{09422D44-0B32-46A6-929A-8104F7D5480A}">
      <dgm:prSet/>
      <dgm:spPr/>
      <dgm:t>
        <a:bodyPr/>
        <a:lstStyle/>
        <a:p>
          <a:endParaRPr lang="en-AU" sz="1000">
            <a:latin typeface="+mn-lt"/>
            <a:cs typeface="Arial" panose="020B0604020202020204" pitchFamily="34" charset="0"/>
          </a:endParaRPr>
        </a:p>
      </dgm:t>
    </dgm:pt>
    <dgm:pt modelId="{48685019-1D6E-4EFC-8F2C-2DC135EF8FE9}">
      <dgm:prSet phldrT="[Text]" custT="1"/>
      <dgm:spPr/>
      <dgm:t>
        <a:bodyPr/>
        <a:lstStyle/>
        <a:p>
          <a:pPr algn="ctr"/>
          <a:r>
            <a:rPr lang="en-AU" sz="1000" b="1">
              <a:latin typeface="+mn-lt"/>
              <a:cs typeface="Arial" panose="020B0604020202020204" pitchFamily="34" charset="0"/>
            </a:rPr>
            <a:t>Reporting</a:t>
          </a:r>
        </a:p>
      </dgm:t>
      <dgm:extLst>
        <a:ext uri="{E40237B7-FDA0-4F09-8148-C483321AD2D9}">
          <dgm14:cNvPr xmlns:dgm14="http://schemas.microsoft.com/office/drawing/2010/diagram" id="0" name="" descr="Reporting&#10;"/>
        </a:ext>
      </dgm:extLst>
    </dgm:pt>
    <dgm:pt modelId="{1669B1BC-5B1D-480B-AB11-EC9ECA1C0647}" type="parTrans" cxnId="{E28B5EB1-BF84-46B4-8033-F494B44BB890}">
      <dgm:prSet/>
      <dgm:spPr/>
      <dgm:t>
        <a:bodyPr/>
        <a:lstStyle/>
        <a:p>
          <a:endParaRPr lang="en-AU" sz="1000">
            <a:latin typeface="+mn-lt"/>
            <a:cs typeface="Arial" panose="020B0604020202020204" pitchFamily="34" charset="0"/>
          </a:endParaRPr>
        </a:p>
      </dgm:t>
    </dgm:pt>
    <dgm:pt modelId="{4473249A-70B8-4CF1-8578-68A57B094246}" type="sibTrans" cxnId="{E28B5EB1-BF84-46B4-8033-F494B44BB890}">
      <dgm:prSet/>
      <dgm:spPr/>
      <dgm:t>
        <a:bodyPr/>
        <a:lstStyle/>
        <a:p>
          <a:endParaRPr lang="en-AU" sz="1000">
            <a:latin typeface="+mn-lt"/>
            <a:cs typeface="Arial" panose="020B0604020202020204" pitchFamily="34" charset="0"/>
          </a:endParaRPr>
        </a:p>
      </dgm:t>
    </dgm:pt>
    <dgm:pt modelId="{0CE18872-5184-48F8-B66E-AB5784A0A154}">
      <dgm:prSet custT="1"/>
      <dgm:spPr/>
      <dgm:t>
        <a:bodyPr/>
        <a:lstStyle/>
        <a:p>
          <a:r>
            <a:rPr lang="en-AU" sz="1000">
              <a:solidFill>
                <a:sysClr val="windowText" lastClr="000000"/>
              </a:solidFill>
              <a:latin typeface="+mn-lt"/>
              <a:cs typeface="Arial" panose="020B0604020202020204" pitchFamily="34" charset="0"/>
            </a:rPr>
            <a:t>The department will continue to engage with industry for formal and informal review of the amendments' effectiveness </a:t>
          </a:r>
        </a:p>
      </dgm:t>
      <dgm:extLst>
        <a:ext uri="{E40237B7-FDA0-4F09-8148-C483321AD2D9}">
          <dgm14:cNvPr xmlns:dgm14="http://schemas.microsoft.com/office/drawing/2010/diagram" id="0" name="" descr="The department will continue to engage with industry for formal and informal review of the amendments' effectiveness &#10;The department also engages closely with other regulators and technical advisors (such as the AFP and ASIO) to ensure indsutry recieves timely and consistent advice regarding threats that may impact the aviation, maritime, offshore oil and gas and air cargo sectors&#10;"/>
        </a:ext>
      </dgm:extLst>
    </dgm:pt>
    <dgm:pt modelId="{6A4B5621-A534-4B9E-B03B-8D9A7B86312B}" type="parTrans" cxnId="{68827F8B-D1F4-43F9-868D-AAFBE8E4DD34}">
      <dgm:prSet/>
      <dgm:spPr/>
      <dgm:t>
        <a:bodyPr/>
        <a:lstStyle/>
        <a:p>
          <a:endParaRPr lang="en-AU" sz="1000">
            <a:latin typeface="+mn-lt"/>
            <a:cs typeface="Arial" panose="020B0604020202020204" pitchFamily="34" charset="0"/>
          </a:endParaRPr>
        </a:p>
      </dgm:t>
    </dgm:pt>
    <dgm:pt modelId="{696BD2D9-D0B9-4B83-AA72-421D465EC397}" type="sibTrans" cxnId="{68827F8B-D1F4-43F9-868D-AAFBE8E4DD34}">
      <dgm:prSet/>
      <dgm:spPr/>
      <dgm:t>
        <a:bodyPr/>
        <a:lstStyle/>
        <a:p>
          <a:endParaRPr lang="en-AU" sz="1000">
            <a:latin typeface="+mn-lt"/>
            <a:cs typeface="Arial" panose="020B0604020202020204" pitchFamily="34" charset="0"/>
          </a:endParaRPr>
        </a:p>
      </dgm:t>
    </dgm:pt>
    <dgm:pt modelId="{00875187-64E4-44C3-8E72-9CA257C954A4}">
      <dgm:prSet custT="1"/>
      <dgm:spPr/>
      <dgm:t>
        <a:bodyPr/>
        <a:lstStyle/>
        <a:p>
          <a:r>
            <a:rPr lang="en-AU" sz="1000" b="0" i="0">
              <a:solidFill>
                <a:sysClr val="windowText" lastClr="000000"/>
              </a:solidFill>
              <a:latin typeface="+mn-lt"/>
              <a:cs typeface="Arial" panose="020B0604020202020204" pitchFamily="34" charset="0"/>
            </a:rPr>
            <a:t>Internally, the department maintains a comprehensive compliance scorecard that allows for evaluation over the years for screening performance. This can be used to gage the effectiveness of measures relating to screening. </a:t>
          </a:r>
          <a:endParaRPr lang="en-AU" sz="1000">
            <a:solidFill>
              <a:sysClr val="windowText" lastClr="000000"/>
            </a:solidFill>
            <a:latin typeface="+mn-lt"/>
            <a:cs typeface="Arial" panose="020B0604020202020204" pitchFamily="34" charset="0"/>
          </a:endParaRPr>
        </a:p>
      </dgm:t>
      <dgm:extLst>
        <a:ext uri="{E40237B7-FDA0-4F09-8148-C483321AD2D9}">
          <dgm14:cNvPr xmlns:dgm14="http://schemas.microsoft.com/office/drawing/2010/diagram" id="0" name="" descr="Internally, the department maintains a comprehensive compliance scorecard that allows for evaluation over the years for screening performance. This can be used to gage the effectiveness of measures relating to screening. &#10;The department will consistently report to ASAF, RASAF, ACSIAF and MISCF to share a comprehensive picture of the security environment, including how it is impacted by reforms. "/>
        </a:ext>
      </dgm:extLst>
    </dgm:pt>
    <dgm:pt modelId="{34E7D078-A009-4B63-8393-168E607EE62F}" type="parTrans" cxnId="{A57126F9-A2EE-4B07-ACB3-5212269A6528}">
      <dgm:prSet/>
      <dgm:spPr/>
      <dgm:t>
        <a:bodyPr/>
        <a:lstStyle/>
        <a:p>
          <a:endParaRPr lang="en-AU">
            <a:latin typeface="+mn-lt"/>
          </a:endParaRPr>
        </a:p>
      </dgm:t>
    </dgm:pt>
    <dgm:pt modelId="{1A003B04-11FE-4D7C-B087-CB36BDD32D13}" type="sibTrans" cxnId="{A57126F9-A2EE-4B07-ACB3-5212269A6528}">
      <dgm:prSet/>
      <dgm:spPr/>
      <dgm:t>
        <a:bodyPr/>
        <a:lstStyle/>
        <a:p>
          <a:endParaRPr lang="en-AU">
            <a:latin typeface="+mn-lt"/>
          </a:endParaRPr>
        </a:p>
      </dgm:t>
    </dgm:pt>
    <dgm:pt modelId="{894C77ED-E8AF-4203-9D71-9CE8DCA997B1}">
      <dgm:prSet custT="1"/>
      <dgm:spPr/>
      <dgm:t>
        <a:bodyPr/>
        <a:lstStyle/>
        <a:p>
          <a:r>
            <a:rPr lang="en-AU" sz="1000">
              <a:solidFill>
                <a:sysClr val="windowText" lastClr="000000"/>
              </a:solidFill>
              <a:latin typeface="+mn-lt"/>
              <a:cs typeface="Arial" panose="020B0604020202020204" pitchFamily="34" charset="0"/>
            </a:rPr>
            <a:t>Regulators, including the department, will have an ongoing responsibility to assure government that industry's compliance obligations are being met </a:t>
          </a:r>
        </a:p>
      </dgm:t>
      <dgm:extLst>
        <a:ext uri="{E40237B7-FDA0-4F09-8148-C483321AD2D9}">
          <dgm14:cNvPr xmlns:dgm14="http://schemas.microsoft.com/office/drawing/2010/diagram" id="0" name="" descr="Regulators, including the department, will have an ongoing responsibility to assure government that industry's compliance obligations are being met &#10;The CISC's education, awareness, compliance and enforcement infrastructure will provide data on adoption of standards and practices by industry. This data will provide crucial insights on the amendments' effectiveness&#10;Regulators, including the department, will have an ongoing responsibility to assure government that industry's compliance obligations are being met &#10;The CISC's education, awareness, compliance and enforcement infrastructure will provide data on adoption of standards and practices by industry. This data will provide crucial insights on the amendments' effectiveness&#10;"/>
        </a:ext>
      </dgm:extLst>
    </dgm:pt>
    <dgm:pt modelId="{7B7ADBBA-F6EB-4DE3-B20D-6879E0EFD96F}" type="parTrans" cxnId="{B1C7BB9D-9D12-4B41-A9AE-CA5E796316D1}">
      <dgm:prSet/>
      <dgm:spPr/>
      <dgm:t>
        <a:bodyPr/>
        <a:lstStyle/>
        <a:p>
          <a:endParaRPr lang="en-AU">
            <a:latin typeface="+mn-lt"/>
          </a:endParaRPr>
        </a:p>
      </dgm:t>
    </dgm:pt>
    <dgm:pt modelId="{71E2B048-A6ED-41AE-8DB4-1EBCEBCBF2D0}" type="sibTrans" cxnId="{B1C7BB9D-9D12-4B41-A9AE-CA5E796316D1}">
      <dgm:prSet/>
      <dgm:spPr/>
      <dgm:t>
        <a:bodyPr/>
        <a:lstStyle/>
        <a:p>
          <a:endParaRPr lang="en-AU">
            <a:latin typeface="+mn-lt"/>
          </a:endParaRPr>
        </a:p>
      </dgm:t>
    </dgm:pt>
    <dgm:pt modelId="{049BB08A-0A2A-4999-A2CE-BAF23C372ED4}">
      <dgm:prSet custT="1"/>
      <dgm:spPr/>
      <dgm:t>
        <a:bodyPr/>
        <a:lstStyle/>
        <a:p>
          <a:r>
            <a:rPr lang="en-AU" sz="1000">
              <a:solidFill>
                <a:sysClr val="windowText" lastClr="000000"/>
              </a:solidFill>
              <a:latin typeface="+mn-lt"/>
              <a:cs typeface="Arial" panose="020B0604020202020204" pitchFamily="34" charset="0"/>
            </a:rPr>
            <a:t>The CISC's education, awareness, compliance and enforcement infrastructure will provide data on adoption of standards and practices by industry. This data will provide crucial insights on the amendments' effectiveness</a:t>
          </a:r>
        </a:p>
      </dgm:t>
    </dgm:pt>
    <dgm:pt modelId="{4CAC33CA-E631-4A3B-AFE9-D5E3771F53C6}" type="parTrans" cxnId="{C1459367-4034-4092-8E98-105C0622442A}">
      <dgm:prSet/>
      <dgm:spPr/>
      <dgm:t>
        <a:bodyPr/>
        <a:lstStyle/>
        <a:p>
          <a:endParaRPr lang="en-AU">
            <a:latin typeface="+mn-lt"/>
          </a:endParaRPr>
        </a:p>
      </dgm:t>
    </dgm:pt>
    <dgm:pt modelId="{7A445307-1132-45BB-AD6F-990720D629D9}" type="sibTrans" cxnId="{C1459367-4034-4092-8E98-105C0622442A}">
      <dgm:prSet/>
      <dgm:spPr/>
      <dgm:t>
        <a:bodyPr/>
        <a:lstStyle/>
        <a:p>
          <a:endParaRPr lang="en-AU">
            <a:latin typeface="+mn-lt"/>
          </a:endParaRPr>
        </a:p>
      </dgm:t>
    </dgm:pt>
    <dgm:pt modelId="{7F99605A-96F9-4497-A0E4-FF0D9F2F1840}">
      <dgm:prSet custT="1"/>
      <dgm:spPr/>
      <dgm:t>
        <a:bodyPr/>
        <a:lstStyle/>
        <a:p>
          <a:r>
            <a:rPr lang="en-AU" sz="1000">
              <a:solidFill>
                <a:sysClr val="windowText" lastClr="000000"/>
              </a:solidFill>
              <a:latin typeface="+mn-lt"/>
              <a:cs typeface="Arial" panose="020B0604020202020204" pitchFamily="34" charset="0"/>
            </a:rPr>
            <a:t>The department also engages closely with other regulators and technical advisors (such as the AFP and ASIO) to ensure indsutry recieves timely and consistent advice regarding threats that may impact the aviation, maritime, offshore oil and gas and air cargo sectors</a:t>
          </a:r>
        </a:p>
      </dgm:t>
    </dgm:pt>
    <dgm:pt modelId="{33A1B06D-A0CF-4D79-8AF8-7EFF3FD176B2}" type="parTrans" cxnId="{B3DF2599-02C8-4837-B086-F2159434B0A1}">
      <dgm:prSet/>
      <dgm:spPr/>
      <dgm:t>
        <a:bodyPr/>
        <a:lstStyle/>
        <a:p>
          <a:endParaRPr lang="en-AU">
            <a:latin typeface="+mn-lt"/>
          </a:endParaRPr>
        </a:p>
      </dgm:t>
    </dgm:pt>
    <dgm:pt modelId="{F9E5F5D6-C11F-4708-A40F-751B269B826C}" type="sibTrans" cxnId="{B3DF2599-02C8-4837-B086-F2159434B0A1}">
      <dgm:prSet/>
      <dgm:spPr/>
      <dgm:t>
        <a:bodyPr/>
        <a:lstStyle/>
        <a:p>
          <a:endParaRPr lang="en-AU">
            <a:latin typeface="+mn-lt"/>
          </a:endParaRPr>
        </a:p>
      </dgm:t>
    </dgm:pt>
    <dgm:pt modelId="{136562BA-57FF-4956-8C6E-40DC75346691}">
      <dgm:prSet custT="1"/>
      <dgm:spPr/>
      <dgm:t>
        <a:bodyPr/>
        <a:lstStyle/>
        <a:p>
          <a:r>
            <a:rPr lang="en-AU" sz="1000">
              <a:solidFill>
                <a:sysClr val="windowText" lastClr="000000"/>
              </a:solidFill>
              <a:latin typeface="+mn-lt"/>
              <a:cs typeface="Arial" panose="020B0604020202020204" pitchFamily="34" charset="0"/>
            </a:rPr>
            <a:t>The department will consistently report to ASAF, RASAF, ACSIAF and MISCF to share a comprehensive picture of the security environment, including how it is impacted by reforms. </a:t>
          </a:r>
        </a:p>
      </dgm:t>
    </dgm:pt>
    <dgm:pt modelId="{A1E48AC4-E508-4BC3-8DB5-9E413BD79325}" type="parTrans" cxnId="{CE9CEEC4-89D2-46F9-95E9-3269A4895FA6}">
      <dgm:prSet/>
      <dgm:spPr/>
      <dgm:t>
        <a:bodyPr/>
        <a:lstStyle/>
        <a:p>
          <a:endParaRPr lang="en-US"/>
        </a:p>
      </dgm:t>
    </dgm:pt>
    <dgm:pt modelId="{F4FC1A5D-D890-4B7B-BF65-6730C5619CB0}" type="sibTrans" cxnId="{CE9CEEC4-89D2-46F9-95E9-3269A4895FA6}">
      <dgm:prSet/>
      <dgm:spPr/>
      <dgm:t>
        <a:bodyPr/>
        <a:lstStyle/>
        <a:p>
          <a:endParaRPr lang="en-US"/>
        </a:p>
      </dgm:t>
    </dgm:pt>
    <dgm:pt modelId="{83D011AA-2133-4DBB-B796-1C8A04D5C473}" type="pres">
      <dgm:prSet presAssocID="{B51D7AE5-41D4-4F33-88AC-EBDE0B4411AA}" presName="diagram" presStyleCnt="0">
        <dgm:presLayoutVars>
          <dgm:dir/>
          <dgm:animLvl val="lvl"/>
          <dgm:resizeHandles val="exact"/>
        </dgm:presLayoutVars>
      </dgm:prSet>
      <dgm:spPr/>
      <dgm:t>
        <a:bodyPr/>
        <a:lstStyle/>
        <a:p>
          <a:endParaRPr lang="en-US"/>
        </a:p>
      </dgm:t>
    </dgm:pt>
    <dgm:pt modelId="{D2B26408-CE7E-403F-A120-B41EB94F6D43}" type="pres">
      <dgm:prSet presAssocID="{B564E497-64DB-4229-8241-9DB9206BD345}" presName="compNode" presStyleCnt="0"/>
      <dgm:spPr/>
    </dgm:pt>
    <dgm:pt modelId="{67D58123-7169-4314-9B7A-B8EE6C38886C}" type="pres">
      <dgm:prSet presAssocID="{B564E497-64DB-4229-8241-9DB9206BD345}" presName="childRect" presStyleLbl="bgAcc1" presStyleIdx="0" presStyleCnt="3" custScaleY="235920">
        <dgm:presLayoutVars>
          <dgm:bulletEnabled val="1"/>
        </dgm:presLayoutVars>
      </dgm:prSet>
      <dgm:spPr/>
      <dgm:t>
        <a:bodyPr/>
        <a:lstStyle/>
        <a:p>
          <a:endParaRPr lang="en-US"/>
        </a:p>
      </dgm:t>
    </dgm:pt>
    <dgm:pt modelId="{F64ECA93-DD97-49C9-8837-2D0985CBF890}" type="pres">
      <dgm:prSet presAssocID="{B564E497-64DB-4229-8241-9DB9206BD345}" presName="parentText" presStyleLbl="node1" presStyleIdx="0" presStyleCnt="0">
        <dgm:presLayoutVars>
          <dgm:chMax val="0"/>
          <dgm:bulletEnabled val="1"/>
        </dgm:presLayoutVars>
      </dgm:prSet>
      <dgm:spPr/>
      <dgm:t>
        <a:bodyPr/>
        <a:lstStyle/>
        <a:p>
          <a:endParaRPr lang="en-US"/>
        </a:p>
      </dgm:t>
    </dgm:pt>
    <dgm:pt modelId="{C4FEDC2C-4655-4E2B-8EF1-2D70C7F4537D}" type="pres">
      <dgm:prSet presAssocID="{B564E497-64DB-4229-8241-9DB9206BD345}" presName="parentRect" presStyleLbl="alignNode1" presStyleIdx="0" presStyleCnt="3" custLinFactNeighborY="17629"/>
      <dgm:spPr/>
      <dgm:t>
        <a:bodyPr/>
        <a:lstStyle/>
        <a:p>
          <a:endParaRPr lang="en-US"/>
        </a:p>
      </dgm:t>
    </dgm:pt>
    <dgm:pt modelId="{848850EF-134E-42BF-87EA-9B719BB5D967}" type="pres">
      <dgm:prSet presAssocID="{B564E497-64DB-4229-8241-9DB9206BD345}" presName="adorn" presStyleLbl="fgAccFollowNode1" presStyleIdx="0" presStyleCnt="3"/>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dgm:spPr>
      <dgm:t>
        <a:bodyPr/>
        <a:lstStyle/>
        <a:p>
          <a:endParaRPr lang="en-US"/>
        </a:p>
      </dgm:t>
      <dgm:extLst>
        <a:ext uri="{E40237B7-FDA0-4F09-8148-C483321AD2D9}">
          <dgm14:cNvPr xmlns:dgm14="http://schemas.microsoft.com/office/drawing/2010/diagram" id="0" name="" descr="Cycle with people with solid fill"/>
        </a:ext>
      </dgm:extLst>
    </dgm:pt>
    <dgm:pt modelId="{E41F38B5-CB6A-4BDF-BAE8-6987BFF93911}" type="pres">
      <dgm:prSet presAssocID="{F42CD0B0-0B46-4C47-9547-A839846A338E}" presName="sibTrans" presStyleLbl="sibTrans2D1" presStyleIdx="0" presStyleCnt="0"/>
      <dgm:spPr/>
      <dgm:t>
        <a:bodyPr/>
        <a:lstStyle/>
        <a:p>
          <a:endParaRPr lang="en-US"/>
        </a:p>
      </dgm:t>
    </dgm:pt>
    <dgm:pt modelId="{2D94710D-0F83-4E5B-98C9-BCBF15851950}" type="pres">
      <dgm:prSet presAssocID="{705AD10E-0E81-45BE-BF70-16216CF91987}" presName="compNode" presStyleCnt="0"/>
      <dgm:spPr/>
    </dgm:pt>
    <dgm:pt modelId="{D2074260-2AB1-491D-8088-3B04CE139680}" type="pres">
      <dgm:prSet presAssocID="{705AD10E-0E81-45BE-BF70-16216CF91987}" presName="childRect" presStyleLbl="bgAcc1" presStyleIdx="1" presStyleCnt="3" custScaleY="235027">
        <dgm:presLayoutVars>
          <dgm:bulletEnabled val="1"/>
        </dgm:presLayoutVars>
      </dgm:prSet>
      <dgm:spPr/>
      <dgm:t>
        <a:bodyPr/>
        <a:lstStyle/>
        <a:p>
          <a:endParaRPr lang="en-US"/>
        </a:p>
      </dgm:t>
    </dgm:pt>
    <dgm:pt modelId="{3944CDB2-AA3C-4FC7-9B87-75599155C34B}" type="pres">
      <dgm:prSet presAssocID="{705AD10E-0E81-45BE-BF70-16216CF91987}" presName="parentText" presStyleLbl="node1" presStyleIdx="0" presStyleCnt="0">
        <dgm:presLayoutVars>
          <dgm:chMax val="0"/>
          <dgm:bulletEnabled val="1"/>
        </dgm:presLayoutVars>
      </dgm:prSet>
      <dgm:spPr/>
      <dgm:t>
        <a:bodyPr/>
        <a:lstStyle/>
        <a:p>
          <a:endParaRPr lang="en-US"/>
        </a:p>
      </dgm:t>
    </dgm:pt>
    <dgm:pt modelId="{BCCFAF36-D182-4AE2-AFDC-DDC4CCD8F165}" type="pres">
      <dgm:prSet presAssocID="{705AD10E-0E81-45BE-BF70-16216CF91987}" presName="parentRect" presStyleLbl="alignNode1" presStyleIdx="1" presStyleCnt="3" custLinFactNeighborY="17629"/>
      <dgm:spPr/>
      <dgm:t>
        <a:bodyPr/>
        <a:lstStyle/>
        <a:p>
          <a:endParaRPr lang="en-US"/>
        </a:p>
      </dgm:t>
    </dgm:pt>
    <dgm:pt modelId="{940D4D73-9D95-4503-93EC-FB0330C5D11A}" type="pres">
      <dgm:prSet presAssocID="{705AD10E-0E81-45BE-BF70-16216CF91987}" presName="adorn" presStyleLbl="fgAccFollowNode1" presStyleIdx="1" presStyleCnt="3"/>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rcRect/>
          <a:stretch>
            <a:fillRect/>
          </a:stretch>
        </a:blipFill>
      </dgm:spPr>
      <dgm:t>
        <a:bodyPr/>
        <a:lstStyle/>
        <a:p>
          <a:endParaRPr lang="en-US"/>
        </a:p>
      </dgm:t>
      <dgm:extLst>
        <a:ext uri="{E40237B7-FDA0-4F09-8148-C483321AD2D9}">
          <dgm14:cNvPr xmlns:dgm14="http://schemas.microsoft.com/office/drawing/2010/diagram" id="0" name="" descr="Badge Tick with solid fill"/>
        </a:ext>
      </dgm:extLst>
    </dgm:pt>
    <dgm:pt modelId="{BEA3DADA-8AA0-4310-8397-6E82CC874449}" type="pres">
      <dgm:prSet presAssocID="{1BEA3CA4-183E-49E9-86FF-778192A505D3}" presName="sibTrans" presStyleLbl="sibTrans2D1" presStyleIdx="0" presStyleCnt="0"/>
      <dgm:spPr/>
      <dgm:t>
        <a:bodyPr/>
        <a:lstStyle/>
        <a:p>
          <a:endParaRPr lang="en-US"/>
        </a:p>
      </dgm:t>
    </dgm:pt>
    <dgm:pt modelId="{28C75D21-5130-4E6B-ABF1-CD4606D8DDFF}" type="pres">
      <dgm:prSet presAssocID="{48685019-1D6E-4EFC-8F2C-2DC135EF8FE9}" presName="compNode" presStyleCnt="0"/>
      <dgm:spPr/>
    </dgm:pt>
    <dgm:pt modelId="{A7225471-4CA2-42B5-81B6-FDF502A10844}" type="pres">
      <dgm:prSet presAssocID="{48685019-1D6E-4EFC-8F2C-2DC135EF8FE9}" presName="childRect" presStyleLbl="bgAcc1" presStyleIdx="2" presStyleCnt="3" custScaleY="227914">
        <dgm:presLayoutVars>
          <dgm:bulletEnabled val="1"/>
        </dgm:presLayoutVars>
      </dgm:prSet>
      <dgm:spPr/>
      <dgm:t>
        <a:bodyPr/>
        <a:lstStyle/>
        <a:p>
          <a:endParaRPr lang="en-US"/>
        </a:p>
      </dgm:t>
    </dgm:pt>
    <dgm:pt modelId="{AC09C0C7-FD68-4E52-B512-3D37B2634885}" type="pres">
      <dgm:prSet presAssocID="{48685019-1D6E-4EFC-8F2C-2DC135EF8FE9}" presName="parentText" presStyleLbl="node1" presStyleIdx="0" presStyleCnt="0">
        <dgm:presLayoutVars>
          <dgm:chMax val="0"/>
          <dgm:bulletEnabled val="1"/>
        </dgm:presLayoutVars>
      </dgm:prSet>
      <dgm:spPr/>
      <dgm:t>
        <a:bodyPr/>
        <a:lstStyle/>
        <a:p>
          <a:endParaRPr lang="en-US"/>
        </a:p>
      </dgm:t>
    </dgm:pt>
    <dgm:pt modelId="{DAEBA126-60B7-40DD-B22B-7D21CA62241B}" type="pres">
      <dgm:prSet presAssocID="{48685019-1D6E-4EFC-8F2C-2DC135EF8FE9}" presName="parentRect" presStyleLbl="alignNode1" presStyleIdx="2" presStyleCnt="3" custLinFactNeighborY="17629"/>
      <dgm:spPr/>
      <dgm:t>
        <a:bodyPr/>
        <a:lstStyle/>
        <a:p>
          <a:endParaRPr lang="en-US"/>
        </a:p>
      </dgm:t>
    </dgm:pt>
    <dgm:pt modelId="{0912D4FC-1554-4FB5-9515-028A9608C2F3}" type="pres">
      <dgm:prSet presAssocID="{48685019-1D6E-4EFC-8F2C-2DC135EF8FE9}" presName="adorn" presStyleLbl="fgAccFollowNode1" presStyleIdx="2" presStyleCnt="3"/>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dgm:spPr>
      <dgm:t>
        <a:bodyPr/>
        <a:lstStyle/>
        <a:p>
          <a:endParaRPr lang="en-US"/>
        </a:p>
      </dgm:t>
      <dgm:extLst>
        <a:ext uri="{E40237B7-FDA0-4F09-8148-C483321AD2D9}">
          <dgm14:cNvPr xmlns:dgm14="http://schemas.microsoft.com/office/drawing/2010/diagram" id="0" name="" descr="Document with solid fill"/>
        </a:ext>
      </dgm:extLst>
    </dgm:pt>
  </dgm:ptLst>
  <dgm:cxnLst>
    <dgm:cxn modelId="{C1459367-4034-4092-8E98-105C0622442A}" srcId="{705AD10E-0E81-45BE-BF70-16216CF91987}" destId="{049BB08A-0A2A-4999-A2CE-BAF23C372ED4}" srcOrd="1" destOrd="0" parTransId="{4CAC33CA-E631-4A3B-AFE9-D5E3771F53C6}" sibTransId="{7A445307-1132-45BB-AD6F-990720D629D9}"/>
    <dgm:cxn modelId="{A57126F9-A2EE-4B07-ACB3-5212269A6528}" srcId="{48685019-1D6E-4EFC-8F2C-2DC135EF8FE9}" destId="{00875187-64E4-44C3-8E72-9CA257C954A4}" srcOrd="0" destOrd="0" parTransId="{34E7D078-A009-4B63-8393-168E607EE62F}" sibTransId="{1A003B04-11FE-4D7C-B087-CB36BDD32D13}"/>
    <dgm:cxn modelId="{CDAD4AB2-9539-4B33-AC18-620FEEE2F60E}" type="presOf" srcId="{7F99605A-96F9-4497-A0E4-FF0D9F2F1840}" destId="{67D58123-7169-4314-9B7A-B8EE6C38886C}" srcOrd="0" destOrd="1" presId="urn:microsoft.com/office/officeart/2005/8/layout/bList2"/>
    <dgm:cxn modelId="{0E8145F7-9CB9-415C-8FDC-1DF924F23CC1}" type="presOf" srcId="{894C77ED-E8AF-4203-9D71-9CE8DCA997B1}" destId="{D2074260-2AB1-491D-8088-3B04CE139680}" srcOrd="0" destOrd="0" presId="urn:microsoft.com/office/officeart/2005/8/layout/bList2"/>
    <dgm:cxn modelId="{07497409-98B2-481F-B329-3B0481B100D1}" type="presOf" srcId="{B564E497-64DB-4229-8241-9DB9206BD345}" destId="{C4FEDC2C-4655-4E2B-8EF1-2D70C7F4537D}" srcOrd="1" destOrd="0" presId="urn:microsoft.com/office/officeart/2005/8/layout/bList2"/>
    <dgm:cxn modelId="{B3DF2599-02C8-4837-B086-F2159434B0A1}" srcId="{B564E497-64DB-4229-8241-9DB9206BD345}" destId="{7F99605A-96F9-4497-A0E4-FF0D9F2F1840}" srcOrd="1" destOrd="0" parTransId="{33A1B06D-A0CF-4D79-8AF8-7EFF3FD176B2}" sibTransId="{F9E5F5D6-C11F-4708-A40F-751B269B826C}"/>
    <dgm:cxn modelId="{E9C802E7-7A46-4249-80FF-6E27A74E3701}" type="presOf" srcId="{48685019-1D6E-4EFC-8F2C-2DC135EF8FE9}" destId="{DAEBA126-60B7-40DD-B22B-7D21CA62241B}" srcOrd="1" destOrd="0" presId="urn:microsoft.com/office/officeart/2005/8/layout/bList2"/>
    <dgm:cxn modelId="{68827F8B-D1F4-43F9-868D-AAFBE8E4DD34}" srcId="{B564E497-64DB-4229-8241-9DB9206BD345}" destId="{0CE18872-5184-48F8-B66E-AB5784A0A154}" srcOrd="0" destOrd="0" parTransId="{6A4B5621-A534-4B9E-B03B-8D9A7B86312B}" sibTransId="{696BD2D9-D0B9-4B83-AA72-421D465EC397}"/>
    <dgm:cxn modelId="{09422D44-0B32-46A6-929A-8104F7D5480A}" srcId="{B51D7AE5-41D4-4F33-88AC-EBDE0B4411AA}" destId="{705AD10E-0E81-45BE-BF70-16216CF91987}" srcOrd="1" destOrd="0" parTransId="{60EBB9E7-A855-41D2-AF81-90D146F02069}" sibTransId="{1BEA3CA4-183E-49E9-86FF-778192A505D3}"/>
    <dgm:cxn modelId="{B1C7BB9D-9D12-4B41-A9AE-CA5E796316D1}" srcId="{705AD10E-0E81-45BE-BF70-16216CF91987}" destId="{894C77ED-E8AF-4203-9D71-9CE8DCA997B1}" srcOrd="0" destOrd="0" parTransId="{7B7ADBBA-F6EB-4DE3-B20D-6879E0EFD96F}" sibTransId="{71E2B048-A6ED-41AE-8DB4-1EBCEBCBF2D0}"/>
    <dgm:cxn modelId="{10A2FC8A-0B0C-44C2-BD17-AC896F2B7629}" type="presOf" srcId="{049BB08A-0A2A-4999-A2CE-BAF23C372ED4}" destId="{D2074260-2AB1-491D-8088-3B04CE139680}" srcOrd="0" destOrd="1" presId="urn:microsoft.com/office/officeart/2005/8/layout/bList2"/>
    <dgm:cxn modelId="{8155FA4F-1168-46D1-8176-F1A615C691CB}" type="presOf" srcId="{705AD10E-0E81-45BE-BF70-16216CF91987}" destId="{3944CDB2-AA3C-4FC7-9B87-75599155C34B}" srcOrd="0" destOrd="0" presId="urn:microsoft.com/office/officeart/2005/8/layout/bList2"/>
    <dgm:cxn modelId="{82944750-A61F-427D-9C2F-6728D1ED171E}" type="presOf" srcId="{48685019-1D6E-4EFC-8F2C-2DC135EF8FE9}" destId="{AC09C0C7-FD68-4E52-B512-3D37B2634885}" srcOrd="0" destOrd="0" presId="urn:microsoft.com/office/officeart/2005/8/layout/bList2"/>
    <dgm:cxn modelId="{93AE8190-59CA-48D8-B01A-687ED80BE7AB}" type="presOf" srcId="{B564E497-64DB-4229-8241-9DB9206BD345}" destId="{F64ECA93-DD97-49C9-8837-2D0985CBF890}" srcOrd="0" destOrd="0" presId="urn:microsoft.com/office/officeart/2005/8/layout/bList2"/>
    <dgm:cxn modelId="{91FD0872-ECDB-47D0-889B-31154729794F}" srcId="{B51D7AE5-41D4-4F33-88AC-EBDE0B4411AA}" destId="{B564E497-64DB-4229-8241-9DB9206BD345}" srcOrd="0" destOrd="0" parTransId="{8B2E24E8-D61E-4E4A-8BE3-68D040E959FF}" sibTransId="{F42CD0B0-0B46-4C47-9547-A839846A338E}"/>
    <dgm:cxn modelId="{B84B9A86-A191-4E1D-A709-F526D1939EEC}" type="presOf" srcId="{B51D7AE5-41D4-4F33-88AC-EBDE0B4411AA}" destId="{83D011AA-2133-4DBB-B796-1C8A04D5C473}" srcOrd="0" destOrd="0" presId="urn:microsoft.com/office/officeart/2005/8/layout/bList2"/>
    <dgm:cxn modelId="{A9E8A3DA-57B4-425B-8AF9-4F9332A43AB6}" type="presOf" srcId="{0CE18872-5184-48F8-B66E-AB5784A0A154}" destId="{67D58123-7169-4314-9B7A-B8EE6C38886C}" srcOrd="0" destOrd="0" presId="urn:microsoft.com/office/officeart/2005/8/layout/bList2"/>
    <dgm:cxn modelId="{CE9CEEC4-89D2-46F9-95E9-3269A4895FA6}" srcId="{48685019-1D6E-4EFC-8F2C-2DC135EF8FE9}" destId="{136562BA-57FF-4956-8C6E-40DC75346691}" srcOrd="1" destOrd="0" parTransId="{A1E48AC4-E508-4BC3-8DB5-9E413BD79325}" sibTransId="{F4FC1A5D-D890-4B7B-BF65-6730C5619CB0}"/>
    <dgm:cxn modelId="{21588E9C-7259-405B-816B-99CD9881889C}" type="presOf" srcId="{00875187-64E4-44C3-8E72-9CA257C954A4}" destId="{A7225471-4CA2-42B5-81B6-FDF502A10844}" srcOrd="0" destOrd="0" presId="urn:microsoft.com/office/officeart/2005/8/layout/bList2"/>
    <dgm:cxn modelId="{B9211765-2904-4165-9256-D84F62647128}" type="presOf" srcId="{1BEA3CA4-183E-49E9-86FF-778192A505D3}" destId="{BEA3DADA-8AA0-4310-8397-6E82CC874449}" srcOrd="0" destOrd="0" presId="urn:microsoft.com/office/officeart/2005/8/layout/bList2"/>
    <dgm:cxn modelId="{E3224DF0-10D5-40DE-9FA0-D702323C239D}" type="presOf" srcId="{F42CD0B0-0B46-4C47-9547-A839846A338E}" destId="{E41F38B5-CB6A-4BDF-BAE8-6987BFF93911}" srcOrd="0" destOrd="0" presId="urn:microsoft.com/office/officeart/2005/8/layout/bList2"/>
    <dgm:cxn modelId="{95E48F8A-551A-45E0-8B01-A9616338086A}" type="presOf" srcId="{136562BA-57FF-4956-8C6E-40DC75346691}" destId="{A7225471-4CA2-42B5-81B6-FDF502A10844}" srcOrd="0" destOrd="1" presId="urn:microsoft.com/office/officeart/2005/8/layout/bList2"/>
    <dgm:cxn modelId="{E28B5EB1-BF84-46B4-8033-F494B44BB890}" srcId="{B51D7AE5-41D4-4F33-88AC-EBDE0B4411AA}" destId="{48685019-1D6E-4EFC-8F2C-2DC135EF8FE9}" srcOrd="2" destOrd="0" parTransId="{1669B1BC-5B1D-480B-AB11-EC9ECA1C0647}" sibTransId="{4473249A-70B8-4CF1-8578-68A57B094246}"/>
    <dgm:cxn modelId="{4EE92855-DEB3-49F2-95FD-22D1AD265280}" type="presOf" srcId="{705AD10E-0E81-45BE-BF70-16216CF91987}" destId="{BCCFAF36-D182-4AE2-AFDC-DDC4CCD8F165}" srcOrd="1" destOrd="0" presId="urn:microsoft.com/office/officeart/2005/8/layout/bList2"/>
    <dgm:cxn modelId="{42465422-8989-4AC3-B4B8-9BB15FF34143}" type="presParOf" srcId="{83D011AA-2133-4DBB-B796-1C8A04D5C473}" destId="{D2B26408-CE7E-403F-A120-B41EB94F6D43}" srcOrd="0" destOrd="0" presId="urn:microsoft.com/office/officeart/2005/8/layout/bList2"/>
    <dgm:cxn modelId="{42EC52A5-EEBC-4D20-941E-AAAD3CCE4AB1}" type="presParOf" srcId="{D2B26408-CE7E-403F-A120-B41EB94F6D43}" destId="{67D58123-7169-4314-9B7A-B8EE6C38886C}" srcOrd="0" destOrd="0" presId="urn:microsoft.com/office/officeart/2005/8/layout/bList2"/>
    <dgm:cxn modelId="{D79E30A7-0081-4D3F-9EC3-B627884AE6DC}" type="presParOf" srcId="{D2B26408-CE7E-403F-A120-B41EB94F6D43}" destId="{F64ECA93-DD97-49C9-8837-2D0985CBF890}" srcOrd="1" destOrd="0" presId="urn:microsoft.com/office/officeart/2005/8/layout/bList2"/>
    <dgm:cxn modelId="{10F75B65-20F4-440B-8FB8-CF9F9675213D}" type="presParOf" srcId="{D2B26408-CE7E-403F-A120-B41EB94F6D43}" destId="{C4FEDC2C-4655-4E2B-8EF1-2D70C7F4537D}" srcOrd="2" destOrd="0" presId="urn:microsoft.com/office/officeart/2005/8/layout/bList2"/>
    <dgm:cxn modelId="{CAF5EC75-BEC8-478A-B60D-AF1C8640A77E}" type="presParOf" srcId="{D2B26408-CE7E-403F-A120-B41EB94F6D43}" destId="{848850EF-134E-42BF-87EA-9B719BB5D967}" srcOrd="3" destOrd="0" presId="urn:microsoft.com/office/officeart/2005/8/layout/bList2"/>
    <dgm:cxn modelId="{D5A09ACC-9F12-4DE1-B32B-914D59116776}" type="presParOf" srcId="{83D011AA-2133-4DBB-B796-1C8A04D5C473}" destId="{E41F38B5-CB6A-4BDF-BAE8-6987BFF93911}" srcOrd="1" destOrd="0" presId="urn:microsoft.com/office/officeart/2005/8/layout/bList2"/>
    <dgm:cxn modelId="{4283699A-1E2A-4099-A2DE-58F2337C80B2}" type="presParOf" srcId="{83D011AA-2133-4DBB-B796-1C8A04D5C473}" destId="{2D94710D-0F83-4E5B-98C9-BCBF15851950}" srcOrd="2" destOrd="0" presId="urn:microsoft.com/office/officeart/2005/8/layout/bList2"/>
    <dgm:cxn modelId="{0AF3D84A-C594-4637-9E61-F9FA4FFE8903}" type="presParOf" srcId="{2D94710D-0F83-4E5B-98C9-BCBF15851950}" destId="{D2074260-2AB1-491D-8088-3B04CE139680}" srcOrd="0" destOrd="0" presId="urn:microsoft.com/office/officeart/2005/8/layout/bList2"/>
    <dgm:cxn modelId="{BAA0E6D4-E4B6-46B2-8FA9-9208E29D7D6F}" type="presParOf" srcId="{2D94710D-0F83-4E5B-98C9-BCBF15851950}" destId="{3944CDB2-AA3C-4FC7-9B87-75599155C34B}" srcOrd="1" destOrd="0" presId="urn:microsoft.com/office/officeart/2005/8/layout/bList2"/>
    <dgm:cxn modelId="{F98893A1-38CD-40F3-BE2B-AA7B37E7EFFC}" type="presParOf" srcId="{2D94710D-0F83-4E5B-98C9-BCBF15851950}" destId="{BCCFAF36-D182-4AE2-AFDC-DDC4CCD8F165}" srcOrd="2" destOrd="0" presId="urn:microsoft.com/office/officeart/2005/8/layout/bList2"/>
    <dgm:cxn modelId="{44CE343E-85BA-4622-8083-BCDE79FB0072}" type="presParOf" srcId="{2D94710D-0F83-4E5B-98C9-BCBF15851950}" destId="{940D4D73-9D95-4503-93EC-FB0330C5D11A}" srcOrd="3" destOrd="0" presId="urn:microsoft.com/office/officeart/2005/8/layout/bList2"/>
    <dgm:cxn modelId="{26BB29C1-B725-4001-B730-0174A033C3D5}" type="presParOf" srcId="{83D011AA-2133-4DBB-B796-1C8A04D5C473}" destId="{BEA3DADA-8AA0-4310-8397-6E82CC874449}" srcOrd="3" destOrd="0" presId="urn:microsoft.com/office/officeart/2005/8/layout/bList2"/>
    <dgm:cxn modelId="{29306AC7-361B-4F0F-A07F-A774BBB2DF93}" type="presParOf" srcId="{83D011AA-2133-4DBB-B796-1C8A04D5C473}" destId="{28C75D21-5130-4E6B-ABF1-CD4606D8DDFF}" srcOrd="4" destOrd="0" presId="urn:microsoft.com/office/officeart/2005/8/layout/bList2"/>
    <dgm:cxn modelId="{068AE1E2-85DA-4631-951F-503736E2AAC3}" type="presParOf" srcId="{28C75D21-5130-4E6B-ABF1-CD4606D8DDFF}" destId="{A7225471-4CA2-42B5-81B6-FDF502A10844}" srcOrd="0" destOrd="0" presId="urn:microsoft.com/office/officeart/2005/8/layout/bList2"/>
    <dgm:cxn modelId="{5C12B02D-CF02-49EB-A8AD-419ABF57C463}" type="presParOf" srcId="{28C75D21-5130-4E6B-ABF1-CD4606D8DDFF}" destId="{AC09C0C7-FD68-4E52-B512-3D37B2634885}" srcOrd="1" destOrd="0" presId="urn:microsoft.com/office/officeart/2005/8/layout/bList2"/>
    <dgm:cxn modelId="{17C9B14C-5900-4C32-988B-3D1324405150}" type="presParOf" srcId="{28C75D21-5130-4E6B-ABF1-CD4606D8DDFF}" destId="{DAEBA126-60B7-40DD-B22B-7D21CA62241B}" srcOrd="2" destOrd="0" presId="urn:microsoft.com/office/officeart/2005/8/layout/bList2"/>
    <dgm:cxn modelId="{F09CD023-AEA1-4BEF-8621-2384268FF44A}" type="presParOf" srcId="{28C75D21-5130-4E6B-ABF1-CD4606D8DDFF}" destId="{0912D4FC-1554-4FB5-9515-028A9608C2F3}" srcOrd="3" destOrd="0" presId="urn:microsoft.com/office/officeart/2005/8/layout/bList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D759DC-BD55-4BDB-97A3-BB234E8484B3}">
      <dsp:nvSpPr>
        <dsp:cNvPr id="0" name=""/>
        <dsp:cNvSpPr/>
      </dsp:nvSpPr>
      <dsp:spPr>
        <a:xfrm>
          <a:off x="1922051" y="450289"/>
          <a:ext cx="348192" cy="91440"/>
        </a:xfrm>
        <a:custGeom>
          <a:avLst/>
          <a:gdLst/>
          <a:ahLst/>
          <a:cxnLst/>
          <a:rect l="0" t="0" r="0" b="0"/>
          <a:pathLst>
            <a:path>
              <a:moveTo>
                <a:pt x="0" y="45720"/>
              </a:moveTo>
              <a:lnTo>
                <a:pt x="34819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AU" sz="1000" kern="1200">
            <a:latin typeface="Arial" panose="020B0604020202020204" pitchFamily="34" charset="0"/>
            <a:cs typeface="Arial" panose="020B0604020202020204" pitchFamily="34" charset="0"/>
          </a:endParaRPr>
        </a:p>
      </dsp:txBody>
      <dsp:txXfrm>
        <a:off x="2086678" y="494114"/>
        <a:ext cx="18939" cy="3791"/>
      </dsp:txXfrm>
    </dsp:sp>
    <dsp:sp modelId="{11B98EBA-7F4A-4A9E-9D6E-167C6AE72333}">
      <dsp:nvSpPr>
        <dsp:cNvPr id="0" name=""/>
        <dsp:cNvSpPr/>
      </dsp:nvSpPr>
      <dsp:spPr>
        <a:xfrm>
          <a:off x="276929" y="1933"/>
          <a:ext cx="1646922" cy="98815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Stage 1: </a:t>
          </a:r>
          <a:r>
            <a:rPr lang="en-AU" sz="1000" kern="1200">
              <a:latin typeface="Arial" panose="020B0604020202020204" pitchFamily="34" charset="0"/>
              <a:cs typeface="Arial" panose="020B0604020202020204" pitchFamily="34" charset="0"/>
            </a:rPr>
            <a:t>Consideration and passage of amendments captured under option 4</a:t>
          </a:r>
        </a:p>
      </dsp:txBody>
      <dsp:txXfrm>
        <a:off x="276929" y="1933"/>
        <a:ext cx="1646922" cy="988153"/>
      </dsp:txXfrm>
    </dsp:sp>
    <dsp:sp modelId="{DA55B05C-093D-433D-A68B-9F7AE60CCCAA}">
      <dsp:nvSpPr>
        <dsp:cNvPr id="0" name=""/>
        <dsp:cNvSpPr/>
      </dsp:nvSpPr>
      <dsp:spPr>
        <a:xfrm>
          <a:off x="3947766" y="450289"/>
          <a:ext cx="348192" cy="91440"/>
        </a:xfrm>
        <a:custGeom>
          <a:avLst/>
          <a:gdLst/>
          <a:ahLst/>
          <a:cxnLst/>
          <a:rect l="0" t="0" r="0" b="0"/>
          <a:pathLst>
            <a:path>
              <a:moveTo>
                <a:pt x="0" y="45720"/>
              </a:moveTo>
              <a:lnTo>
                <a:pt x="348192"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AU" sz="1000" kern="1200">
            <a:latin typeface="Arial" panose="020B0604020202020204" pitchFamily="34" charset="0"/>
            <a:cs typeface="Arial" panose="020B0604020202020204" pitchFamily="34" charset="0"/>
          </a:endParaRPr>
        </a:p>
      </dsp:txBody>
      <dsp:txXfrm>
        <a:off x="4112392" y="494114"/>
        <a:ext cx="18939" cy="3791"/>
      </dsp:txXfrm>
    </dsp:sp>
    <dsp:sp modelId="{22BB0286-B079-4692-9BE2-45133365C54E}">
      <dsp:nvSpPr>
        <dsp:cNvPr id="0" name=""/>
        <dsp:cNvSpPr/>
      </dsp:nvSpPr>
      <dsp:spPr>
        <a:xfrm>
          <a:off x="2302643" y="1933"/>
          <a:ext cx="1646922" cy="98815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Stage 2: </a:t>
          </a:r>
          <a:r>
            <a:rPr lang="en-AU" sz="1000" b="0" kern="1200">
              <a:latin typeface="Arial" panose="020B0604020202020204" pitchFamily="34" charset="0"/>
              <a:cs typeface="Arial" panose="020B0604020202020204" pitchFamily="34" charset="0"/>
            </a:rPr>
            <a:t>Development of supporting regulations</a:t>
          </a:r>
        </a:p>
      </dsp:txBody>
      <dsp:txXfrm>
        <a:off x="2302643" y="1933"/>
        <a:ext cx="1646922" cy="988153"/>
      </dsp:txXfrm>
    </dsp:sp>
    <dsp:sp modelId="{4F01B851-1F02-43E4-9BFB-5C4A3719BF5A}">
      <dsp:nvSpPr>
        <dsp:cNvPr id="0" name=""/>
        <dsp:cNvSpPr/>
      </dsp:nvSpPr>
      <dsp:spPr>
        <a:xfrm>
          <a:off x="1811778" y="988286"/>
          <a:ext cx="3340040" cy="348192"/>
        </a:xfrm>
        <a:custGeom>
          <a:avLst/>
          <a:gdLst/>
          <a:ahLst/>
          <a:cxnLst/>
          <a:rect l="0" t="0" r="0" b="0"/>
          <a:pathLst>
            <a:path>
              <a:moveTo>
                <a:pt x="3340040" y="0"/>
              </a:moveTo>
              <a:lnTo>
                <a:pt x="3340040" y="191196"/>
              </a:lnTo>
              <a:lnTo>
                <a:pt x="0" y="191196"/>
              </a:lnTo>
              <a:lnTo>
                <a:pt x="0" y="348192"/>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AU" sz="1000" kern="1200">
            <a:latin typeface="Arial" panose="020B0604020202020204" pitchFamily="34" charset="0"/>
            <a:cs typeface="Arial" panose="020B0604020202020204" pitchFamily="34" charset="0"/>
          </a:endParaRPr>
        </a:p>
      </dsp:txBody>
      <dsp:txXfrm>
        <a:off x="3397762" y="1160486"/>
        <a:ext cx="168072" cy="3791"/>
      </dsp:txXfrm>
    </dsp:sp>
    <dsp:sp modelId="{EBCEE134-C2AA-4A21-9381-0B2A75E423AE}">
      <dsp:nvSpPr>
        <dsp:cNvPr id="0" name=""/>
        <dsp:cNvSpPr/>
      </dsp:nvSpPr>
      <dsp:spPr>
        <a:xfrm>
          <a:off x="4328358" y="1933"/>
          <a:ext cx="1646922" cy="988153"/>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Stage 3: </a:t>
          </a:r>
          <a:r>
            <a:rPr lang="en-AU" sz="1000" b="0" kern="1200">
              <a:latin typeface="Arial" panose="020B0604020202020204" pitchFamily="34" charset="0"/>
              <a:cs typeface="Arial" panose="020B0604020202020204" pitchFamily="34" charset="0"/>
            </a:rPr>
            <a:t>Transition period, supported by guidance</a:t>
          </a:r>
        </a:p>
      </dsp:txBody>
      <dsp:txXfrm>
        <a:off x="4328358" y="1933"/>
        <a:ext cx="1646922" cy="988153"/>
      </dsp:txXfrm>
    </dsp:sp>
    <dsp:sp modelId="{A8081007-99D9-4836-BD3B-615782339257}">
      <dsp:nvSpPr>
        <dsp:cNvPr id="0" name=""/>
        <dsp:cNvSpPr/>
      </dsp:nvSpPr>
      <dsp:spPr>
        <a:xfrm>
          <a:off x="2902118" y="1541357"/>
          <a:ext cx="631627" cy="91440"/>
        </a:xfrm>
        <a:custGeom>
          <a:avLst/>
          <a:gdLst/>
          <a:ahLst/>
          <a:cxnLst/>
          <a:rect l="0" t="0" r="0" b="0"/>
          <a:pathLst>
            <a:path>
              <a:moveTo>
                <a:pt x="0" y="45720"/>
              </a:moveTo>
              <a:lnTo>
                <a:pt x="332913" y="45720"/>
              </a:lnTo>
              <a:lnTo>
                <a:pt x="332913" y="47696"/>
              </a:lnTo>
              <a:lnTo>
                <a:pt x="631627" y="47696"/>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AU" sz="1000" kern="1200">
            <a:latin typeface="Arial" panose="020B0604020202020204" pitchFamily="34" charset="0"/>
            <a:cs typeface="Arial" panose="020B0604020202020204" pitchFamily="34" charset="0"/>
          </a:endParaRPr>
        </a:p>
      </dsp:txBody>
      <dsp:txXfrm>
        <a:off x="3201376" y="1585181"/>
        <a:ext cx="33111" cy="3791"/>
      </dsp:txXfrm>
    </dsp:sp>
    <dsp:sp modelId="{1DC48CE4-25D6-4B3D-BE5D-02F176C1D8D8}">
      <dsp:nvSpPr>
        <dsp:cNvPr id="0" name=""/>
        <dsp:cNvSpPr/>
      </dsp:nvSpPr>
      <dsp:spPr>
        <a:xfrm>
          <a:off x="719638" y="1368878"/>
          <a:ext cx="2184279" cy="43639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Stage 4:</a:t>
          </a:r>
          <a:r>
            <a:rPr lang="en-AU" sz="1000" b="0" kern="1200">
              <a:latin typeface="Arial" panose="020B0604020202020204" pitchFamily="34" charset="0"/>
              <a:cs typeface="Arial" panose="020B0604020202020204" pitchFamily="34" charset="0"/>
            </a:rPr>
            <a:t> New obligations become enforceable (12 months following regulatory passage)</a:t>
          </a:r>
          <a:endParaRPr lang="en-AU" sz="1000" kern="1200">
            <a:latin typeface="Arial" panose="020B0604020202020204" pitchFamily="34" charset="0"/>
            <a:cs typeface="Arial" panose="020B0604020202020204" pitchFamily="34" charset="0"/>
          </a:endParaRPr>
        </a:p>
      </dsp:txBody>
      <dsp:txXfrm>
        <a:off x="719638" y="1368878"/>
        <a:ext cx="2184279" cy="436398"/>
      </dsp:txXfrm>
    </dsp:sp>
    <dsp:sp modelId="{E27FEC02-FB76-4E9D-A23A-D383C31B8A4E}">
      <dsp:nvSpPr>
        <dsp:cNvPr id="0" name=""/>
        <dsp:cNvSpPr/>
      </dsp:nvSpPr>
      <dsp:spPr>
        <a:xfrm>
          <a:off x="3566146" y="1391892"/>
          <a:ext cx="2416298" cy="3943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Stage 5: </a:t>
          </a:r>
          <a:r>
            <a:rPr lang="en-AU" sz="1000" b="0" kern="1200">
              <a:latin typeface="Arial" panose="020B0604020202020204" pitchFamily="34" charset="0"/>
              <a:cs typeface="Arial" panose="020B0604020202020204" pitchFamily="34" charset="0"/>
            </a:rPr>
            <a:t>Post-implementation review</a:t>
          </a:r>
        </a:p>
      </dsp:txBody>
      <dsp:txXfrm>
        <a:off x="3566146" y="1391892"/>
        <a:ext cx="2416298" cy="3943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D58123-7169-4314-9B7A-B8EE6C38886C}">
      <dsp:nvSpPr>
        <dsp:cNvPr id="0" name=""/>
        <dsp:cNvSpPr/>
      </dsp:nvSpPr>
      <dsp:spPr>
        <a:xfrm>
          <a:off x="4466" y="95023"/>
          <a:ext cx="1928953" cy="3397067"/>
        </a:xfrm>
        <a:prstGeom prst="round2SameRect">
          <a:avLst>
            <a:gd name="adj1" fmla="val 8000"/>
            <a:gd name="adj2" fmla="val 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AU" sz="1000" kern="1200">
              <a:solidFill>
                <a:sysClr val="windowText" lastClr="000000"/>
              </a:solidFill>
              <a:latin typeface="+mn-lt"/>
              <a:cs typeface="Arial" panose="020B0604020202020204" pitchFamily="34" charset="0"/>
            </a:rPr>
            <a:t>The department will continue to engage with industry for formal and informal review of the amendments' effectiveness </a:t>
          </a:r>
        </a:p>
        <a:p>
          <a:pPr marL="57150" lvl="1" indent="-57150" algn="l" defTabSz="444500">
            <a:lnSpc>
              <a:spcPct val="90000"/>
            </a:lnSpc>
            <a:spcBef>
              <a:spcPct val="0"/>
            </a:spcBef>
            <a:spcAft>
              <a:spcPct val="15000"/>
            </a:spcAft>
            <a:buChar char="••"/>
          </a:pPr>
          <a:r>
            <a:rPr lang="en-AU" sz="1000" kern="1200">
              <a:solidFill>
                <a:sysClr val="windowText" lastClr="000000"/>
              </a:solidFill>
              <a:latin typeface="+mn-lt"/>
              <a:cs typeface="Arial" panose="020B0604020202020204" pitchFamily="34" charset="0"/>
            </a:rPr>
            <a:t>The department also engages closely with other regulators and technical advisors (such as the AFP and ASIO) to ensure indsutry recieves timely and consistent advice regarding threats that may impact the aviation, maritime, offshore oil and gas and air cargo sectors</a:t>
          </a:r>
        </a:p>
      </dsp:txBody>
      <dsp:txXfrm>
        <a:off x="49664" y="140221"/>
        <a:ext cx="1838557" cy="3351869"/>
      </dsp:txXfrm>
    </dsp:sp>
    <dsp:sp modelId="{C4FEDC2C-4655-4E2B-8EF1-2D70C7F4537D}">
      <dsp:nvSpPr>
        <dsp:cNvPr id="0" name=""/>
        <dsp:cNvSpPr/>
      </dsp:nvSpPr>
      <dsp:spPr>
        <a:xfrm>
          <a:off x="4466" y="2622672"/>
          <a:ext cx="1928953" cy="6191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0" rIns="12700" bIns="0" numCol="1" spcCol="1270" anchor="ctr" anchorCtr="0">
          <a:noAutofit/>
        </a:bodyPr>
        <a:lstStyle/>
        <a:p>
          <a:pPr lvl="0" algn="ctr" defTabSz="444500">
            <a:lnSpc>
              <a:spcPct val="90000"/>
            </a:lnSpc>
            <a:spcBef>
              <a:spcPct val="0"/>
            </a:spcBef>
            <a:spcAft>
              <a:spcPct val="35000"/>
            </a:spcAft>
          </a:pPr>
          <a:r>
            <a:rPr lang="en-AU" sz="1000" b="1" kern="1200">
              <a:latin typeface="+mn-lt"/>
              <a:cs typeface="Arial" panose="020B0604020202020204" pitchFamily="34" charset="0"/>
            </a:rPr>
            <a:t>Engagement</a:t>
          </a:r>
        </a:p>
      </dsp:txBody>
      <dsp:txXfrm>
        <a:off x="4466" y="2622672"/>
        <a:ext cx="1358418" cy="619167"/>
      </dsp:txXfrm>
    </dsp:sp>
    <dsp:sp modelId="{848850EF-134E-42BF-87EA-9B719BB5D967}">
      <dsp:nvSpPr>
        <dsp:cNvPr id="0" name=""/>
        <dsp:cNvSpPr/>
      </dsp:nvSpPr>
      <dsp:spPr>
        <a:xfrm>
          <a:off x="1417451" y="2611868"/>
          <a:ext cx="675133" cy="675133"/>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2074260-2AB1-491D-8088-3B04CE139680}">
      <dsp:nvSpPr>
        <dsp:cNvPr id="0" name=""/>
        <dsp:cNvSpPr/>
      </dsp:nvSpPr>
      <dsp:spPr>
        <a:xfrm>
          <a:off x="2259845" y="101453"/>
          <a:ext cx="1928953" cy="3384208"/>
        </a:xfrm>
        <a:prstGeom prst="round2SameRect">
          <a:avLst>
            <a:gd name="adj1" fmla="val 8000"/>
            <a:gd name="adj2" fmla="val 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AU" sz="1000" kern="1200">
              <a:solidFill>
                <a:sysClr val="windowText" lastClr="000000"/>
              </a:solidFill>
              <a:latin typeface="+mn-lt"/>
              <a:cs typeface="Arial" panose="020B0604020202020204" pitchFamily="34" charset="0"/>
            </a:rPr>
            <a:t>Regulators, including the department, will have an ongoing responsibility to assure government that industry's compliance obligations are being met </a:t>
          </a:r>
        </a:p>
        <a:p>
          <a:pPr marL="57150" lvl="1" indent="-57150" algn="l" defTabSz="444500">
            <a:lnSpc>
              <a:spcPct val="90000"/>
            </a:lnSpc>
            <a:spcBef>
              <a:spcPct val="0"/>
            </a:spcBef>
            <a:spcAft>
              <a:spcPct val="15000"/>
            </a:spcAft>
            <a:buChar char="••"/>
          </a:pPr>
          <a:r>
            <a:rPr lang="en-AU" sz="1000" kern="1200">
              <a:solidFill>
                <a:sysClr val="windowText" lastClr="000000"/>
              </a:solidFill>
              <a:latin typeface="+mn-lt"/>
              <a:cs typeface="Arial" panose="020B0604020202020204" pitchFamily="34" charset="0"/>
            </a:rPr>
            <a:t>The CISC's education, awareness, compliance and enforcement infrastructure will provide data on adoption of standards and practices by industry. This data will provide crucial insights on the amendments' effectiveness</a:t>
          </a:r>
        </a:p>
      </dsp:txBody>
      <dsp:txXfrm>
        <a:off x="2305043" y="146651"/>
        <a:ext cx="1838557" cy="3339010"/>
      </dsp:txXfrm>
    </dsp:sp>
    <dsp:sp modelId="{BCCFAF36-D182-4AE2-AFDC-DDC4CCD8F165}">
      <dsp:nvSpPr>
        <dsp:cNvPr id="0" name=""/>
        <dsp:cNvSpPr/>
      </dsp:nvSpPr>
      <dsp:spPr>
        <a:xfrm>
          <a:off x="2259845" y="2622672"/>
          <a:ext cx="1928953" cy="6191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0" rIns="12700" bIns="0" numCol="1" spcCol="1270" anchor="ctr" anchorCtr="0">
          <a:noAutofit/>
        </a:bodyPr>
        <a:lstStyle/>
        <a:p>
          <a:pPr lvl="0" algn="ctr" defTabSz="444500">
            <a:lnSpc>
              <a:spcPct val="90000"/>
            </a:lnSpc>
            <a:spcBef>
              <a:spcPct val="0"/>
            </a:spcBef>
            <a:spcAft>
              <a:spcPct val="35000"/>
            </a:spcAft>
          </a:pPr>
          <a:r>
            <a:rPr lang="en-AU" sz="1000" b="1" kern="1200">
              <a:latin typeface="+mn-lt"/>
              <a:cs typeface="Arial" panose="020B0604020202020204" pitchFamily="34" charset="0"/>
            </a:rPr>
            <a:t>Assurance</a:t>
          </a:r>
        </a:p>
      </dsp:txBody>
      <dsp:txXfrm>
        <a:off x="2259845" y="2622672"/>
        <a:ext cx="1358418" cy="619167"/>
      </dsp:txXfrm>
    </dsp:sp>
    <dsp:sp modelId="{940D4D73-9D95-4503-93EC-FB0330C5D11A}">
      <dsp:nvSpPr>
        <dsp:cNvPr id="0" name=""/>
        <dsp:cNvSpPr/>
      </dsp:nvSpPr>
      <dsp:spPr>
        <a:xfrm>
          <a:off x="3672830" y="2611868"/>
          <a:ext cx="675133" cy="675133"/>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rcRect/>
          <a:stretch>
            <a:fillRect/>
          </a:stretch>
        </a:blip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7225471-4CA2-42B5-81B6-FDF502A10844}">
      <dsp:nvSpPr>
        <dsp:cNvPr id="0" name=""/>
        <dsp:cNvSpPr/>
      </dsp:nvSpPr>
      <dsp:spPr>
        <a:xfrm>
          <a:off x="4515224" y="152664"/>
          <a:ext cx="1928953" cy="3281786"/>
        </a:xfrm>
        <a:prstGeom prst="round2SameRect">
          <a:avLst>
            <a:gd name="adj1" fmla="val 8000"/>
            <a:gd name="adj2" fmla="val 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AU" sz="1000" b="0" i="0" kern="1200">
              <a:solidFill>
                <a:sysClr val="windowText" lastClr="000000"/>
              </a:solidFill>
              <a:latin typeface="+mn-lt"/>
              <a:cs typeface="Arial" panose="020B0604020202020204" pitchFamily="34" charset="0"/>
            </a:rPr>
            <a:t>Internally, the department maintains a comprehensive compliance scorecard that allows for evaluation over the years for screening performance. This can be used to gage the effectiveness of measures relating to screening. </a:t>
          </a:r>
          <a:endParaRPr lang="en-AU" sz="1000" kern="1200">
            <a:solidFill>
              <a:sysClr val="windowText" lastClr="000000"/>
            </a:solidFill>
            <a:latin typeface="+mn-lt"/>
            <a:cs typeface="Arial" panose="020B0604020202020204" pitchFamily="34" charset="0"/>
          </a:endParaRPr>
        </a:p>
        <a:p>
          <a:pPr marL="57150" lvl="1" indent="-57150" algn="l" defTabSz="444500">
            <a:lnSpc>
              <a:spcPct val="90000"/>
            </a:lnSpc>
            <a:spcBef>
              <a:spcPct val="0"/>
            </a:spcBef>
            <a:spcAft>
              <a:spcPct val="15000"/>
            </a:spcAft>
            <a:buChar char="••"/>
          </a:pPr>
          <a:r>
            <a:rPr lang="en-AU" sz="1000" kern="1200">
              <a:solidFill>
                <a:sysClr val="windowText" lastClr="000000"/>
              </a:solidFill>
              <a:latin typeface="+mn-lt"/>
              <a:cs typeface="Arial" panose="020B0604020202020204" pitchFamily="34" charset="0"/>
            </a:rPr>
            <a:t>The department will consistently report to ASAF, RASAF, ACSIAF and MISCF to share a comprehensive picture of the security environment, including how it is impacted by reforms. </a:t>
          </a:r>
        </a:p>
      </dsp:txBody>
      <dsp:txXfrm>
        <a:off x="4560422" y="197862"/>
        <a:ext cx="1838557" cy="3236588"/>
      </dsp:txXfrm>
    </dsp:sp>
    <dsp:sp modelId="{DAEBA126-60B7-40DD-B22B-7D21CA62241B}">
      <dsp:nvSpPr>
        <dsp:cNvPr id="0" name=""/>
        <dsp:cNvSpPr/>
      </dsp:nvSpPr>
      <dsp:spPr>
        <a:xfrm>
          <a:off x="4515224" y="2622672"/>
          <a:ext cx="1928953" cy="6191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0" rIns="12700" bIns="0" numCol="1" spcCol="1270" anchor="ctr" anchorCtr="0">
          <a:noAutofit/>
        </a:bodyPr>
        <a:lstStyle/>
        <a:p>
          <a:pPr lvl="0" algn="ctr" defTabSz="444500">
            <a:lnSpc>
              <a:spcPct val="90000"/>
            </a:lnSpc>
            <a:spcBef>
              <a:spcPct val="0"/>
            </a:spcBef>
            <a:spcAft>
              <a:spcPct val="35000"/>
            </a:spcAft>
          </a:pPr>
          <a:r>
            <a:rPr lang="en-AU" sz="1000" b="1" kern="1200">
              <a:latin typeface="+mn-lt"/>
              <a:cs typeface="Arial" panose="020B0604020202020204" pitchFamily="34" charset="0"/>
            </a:rPr>
            <a:t>Reporting</a:t>
          </a:r>
        </a:p>
      </dsp:txBody>
      <dsp:txXfrm>
        <a:off x="4515224" y="2622672"/>
        <a:ext cx="1358418" cy="619167"/>
      </dsp:txXfrm>
    </dsp:sp>
    <dsp:sp modelId="{0912D4FC-1554-4FB5-9515-028A9608C2F3}">
      <dsp:nvSpPr>
        <dsp:cNvPr id="0" name=""/>
        <dsp:cNvSpPr/>
      </dsp:nvSpPr>
      <dsp:spPr>
        <a:xfrm>
          <a:off x="5928210" y="2611868"/>
          <a:ext cx="675133" cy="675133"/>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89</Pages>
  <Words>27956</Words>
  <Characters>159353</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2024-12-17T01:18:00Z</dcterms:created>
  <dcterms:modified xsi:type="dcterms:W3CDTF">2024-12-17T01:21:00Z</dcterms:modified>
  <cp:category/>
</cp:coreProperties>
</file>