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96D06E" w14:textId="3EE656B9" w:rsidR="00F06E14" w:rsidRPr="00A17B1B" w:rsidRDefault="00843C0B" w:rsidP="00A51D1A">
      <w:pPr>
        <w:pStyle w:val="Reporttitle"/>
      </w:pPr>
      <w:bookmarkStart w:id="0" w:name="_GoBack"/>
      <w:bookmarkEnd w:id="0"/>
      <w:r>
        <w:t>Future use of the upper 6</w:t>
      </w:r>
      <w:r w:rsidR="002D0D47">
        <w:t> GHz</w:t>
      </w:r>
      <w:r>
        <w:t xml:space="preserve"> band</w:t>
      </w:r>
      <w:r>
        <w:tab/>
      </w:r>
    </w:p>
    <w:p w14:paraId="7EC6EC3E" w14:textId="3996520E" w:rsidR="00F06E14" w:rsidRPr="00A17B1B" w:rsidRDefault="00843C0B" w:rsidP="00F06E14">
      <w:pPr>
        <w:pStyle w:val="Reportsubtitle"/>
      </w:pPr>
      <w:r>
        <w:t>Outcomes paper</w:t>
      </w:r>
    </w:p>
    <w:p w14:paraId="3061F006" w14:textId="3F0C2EF8" w:rsidR="00C97736" w:rsidRPr="00A17B1B" w:rsidRDefault="006F5639" w:rsidP="00EC2B68">
      <w:pPr>
        <w:pStyle w:val="Reportdate"/>
        <w:spacing w:after="720"/>
        <w:rPr>
          <w:rFonts w:cs="Arial"/>
        </w:rPr>
        <w:sectPr w:rsidR="00C97736" w:rsidRPr="00A17B1B" w:rsidSect="005A62E5">
          <w:headerReference w:type="even" r:id="rId7"/>
          <w:headerReference w:type="default" r:id="rId8"/>
          <w:footerReference w:type="even" r:id="rId9"/>
          <w:footerReference w:type="default" r:id="rId10"/>
          <w:headerReference w:type="first" r:id="rId11"/>
          <w:footerReference w:type="first" r:id="rId12"/>
          <w:pgSz w:w="11906" w:h="16838" w:code="9"/>
          <w:pgMar w:top="3924" w:right="1418" w:bottom="1134" w:left="1418" w:header="850" w:footer="454" w:gutter="0"/>
          <w:cols w:space="708"/>
          <w:docGrid w:linePitch="360"/>
        </w:sectPr>
      </w:pPr>
      <w:r>
        <w:t>December</w:t>
      </w:r>
      <w:r w:rsidR="00BD4421" w:rsidRPr="00A17B1B">
        <w:t xml:space="preserve"> 20</w:t>
      </w:r>
      <w:r w:rsidR="000971BD" w:rsidRPr="00A17B1B">
        <w:t>2</w:t>
      </w:r>
      <w:r w:rsidR="00306491">
        <w:t>4</w:t>
      </w:r>
    </w:p>
    <w:p w14:paraId="3841E66E" w14:textId="77777777" w:rsidR="00284A74" w:rsidRPr="00A17B1B" w:rsidRDefault="00284A74" w:rsidP="00284A74">
      <w:pPr>
        <w:pStyle w:val="ACMACorporateAddressHeader"/>
      </w:pPr>
      <w:r w:rsidRPr="00A17B1B">
        <w:lastRenderedPageBreak/>
        <w:t>Canberra</w:t>
      </w:r>
    </w:p>
    <w:p w14:paraId="5331D20B" w14:textId="77777777" w:rsidR="00284A74" w:rsidRPr="00A17B1B" w:rsidRDefault="00181180" w:rsidP="00284A74">
      <w:pPr>
        <w:pStyle w:val="ACMACorporateAddresses"/>
      </w:pPr>
      <w:r>
        <w:t>Level 3</w:t>
      </w:r>
      <w:r>
        <w:br/>
        <w:t>40 Cameron Avenue</w:t>
      </w:r>
      <w:r w:rsidR="00284A74" w:rsidRPr="00A17B1B">
        <w:t xml:space="preserve"> </w:t>
      </w:r>
      <w:r w:rsidR="00284A74" w:rsidRPr="00A17B1B">
        <w:br/>
        <w:t>Belconnen ACT</w:t>
      </w:r>
    </w:p>
    <w:p w14:paraId="3953BFCC" w14:textId="77777777" w:rsidR="00284A74" w:rsidRPr="00A17B1B" w:rsidRDefault="00284A74" w:rsidP="00284A74">
      <w:pPr>
        <w:pStyle w:val="ACMACorporateAddresses"/>
      </w:pPr>
      <w:r w:rsidRPr="00A17B1B">
        <w:t>PO Box 78</w:t>
      </w:r>
      <w:r w:rsidRPr="00A17B1B">
        <w:br/>
        <w:t>Belconnen ACT 2616</w:t>
      </w:r>
    </w:p>
    <w:p w14:paraId="5CF1B9BE" w14:textId="77777777" w:rsidR="00284A74" w:rsidRPr="00A17B1B" w:rsidRDefault="00284A74" w:rsidP="00284A74">
      <w:pPr>
        <w:pStyle w:val="ACMACorporateAddresses"/>
      </w:pPr>
      <w:r w:rsidRPr="00A17B1B">
        <w:t>T</w:t>
      </w:r>
      <w:r w:rsidRPr="00A17B1B">
        <w:tab/>
        <w:t>+61 2 6219 5555</w:t>
      </w:r>
      <w:r w:rsidRPr="00A17B1B">
        <w:br/>
        <w:t>F</w:t>
      </w:r>
      <w:r w:rsidRPr="00A17B1B">
        <w:tab/>
        <w:t>+61 2 6219 5353</w:t>
      </w:r>
    </w:p>
    <w:p w14:paraId="406F968C" w14:textId="77777777" w:rsidR="00284A74" w:rsidRPr="00A17B1B" w:rsidRDefault="00284A74" w:rsidP="00284A74">
      <w:pPr>
        <w:pStyle w:val="ACMACorporateAddressHeader"/>
      </w:pPr>
      <w:r w:rsidRPr="00A17B1B">
        <w:t>Melbourne</w:t>
      </w:r>
    </w:p>
    <w:p w14:paraId="13EF619D" w14:textId="77777777" w:rsidR="00284A74" w:rsidRPr="00A17B1B" w:rsidRDefault="00284A74" w:rsidP="00284A74">
      <w:pPr>
        <w:pStyle w:val="ACMACorporateAddresses"/>
      </w:pPr>
      <w:r w:rsidRPr="00A17B1B">
        <w:t xml:space="preserve">Level 32 </w:t>
      </w:r>
      <w:r w:rsidRPr="00A17B1B">
        <w:br/>
        <w:t>Melbourne Central Tower</w:t>
      </w:r>
      <w:r w:rsidRPr="00A17B1B">
        <w:br/>
        <w:t xml:space="preserve">360 Elizabeth Street </w:t>
      </w:r>
      <w:r w:rsidRPr="00A17B1B">
        <w:br/>
        <w:t>Melbourne VIC</w:t>
      </w:r>
    </w:p>
    <w:p w14:paraId="618074F6" w14:textId="77777777" w:rsidR="00284A74" w:rsidRPr="00A17B1B" w:rsidRDefault="00284A74" w:rsidP="00284A74">
      <w:pPr>
        <w:pStyle w:val="ACMACorporateAddresses"/>
      </w:pPr>
      <w:r w:rsidRPr="00A17B1B">
        <w:t>PO Box 13112</w:t>
      </w:r>
      <w:r w:rsidRPr="00A17B1B">
        <w:br/>
        <w:t xml:space="preserve">Law Courts </w:t>
      </w:r>
      <w:r w:rsidRPr="00A17B1B">
        <w:br/>
        <w:t>Melbourne VIC 8010</w:t>
      </w:r>
    </w:p>
    <w:p w14:paraId="1813F2A9" w14:textId="77777777" w:rsidR="00284A74" w:rsidRPr="00A17B1B" w:rsidRDefault="00284A74" w:rsidP="00284A74">
      <w:pPr>
        <w:pStyle w:val="ACMACorporateAddresses"/>
      </w:pPr>
      <w:r w:rsidRPr="00A17B1B">
        <w:t>T</w:t>
      </w:r>
      <w:r w:rsidRPr="00A17B1B">
        <w:tab/>
        <w:t>+61 3 9963 6800</w:t>
      </w:r>
      <w:r w:rsidRPr="00A17B1B">
        <w:br/>
        <w:t>F</w:t>
      </w:r>
      <w:r w:rsidRPr="00A17B1B">
        <w:tab/>
        <w:t>+61 3 9963 6899</w:t>
      </w:r>
    </w:p>
    <w:p w14:paraId="50510972" w14:textId="77777777" w:rsidR="00284A74" w:rsidRPr="00A17B1B" w:rsidRDefault="00284A74" w:rsidP="00284A74">
      <w:pPr>
        <w:pStyle w:val="ACMACorporateAddressHeader"/>
      </w:pPr>
      <w:r w:rsidRPr="00A17B1B">
        <w:t>Sydney</w:t>
      </w:r>
    </w:p>
    <w:p w14:paraId="4FE44244" w14:textId="77777777" w:rsidR="00284A74" w:rsidRPr="00A17B1B" w:rsidRDefault="00284A74" w:rsidP="00284A74">
      <w:pPr>
        <w:pStyle w:val="ACMACorporateAddresses"/>
      </w:pPr>
      <w:r w:rsidRPr="00A17B1B">
        <w:t xml:space="preserve">Level 5 </w:t>
      </w:r>
      <w:r w:rsidRPr="00A17B1B">
        <w:br/>
        <w:t>The Bay Centre</w:t>
      </w:r>
      <w:r w:rsidRPr="00A17B1B">
        <w:br/>
        <w:t xml:space="preserve">65 Pirrama Road </w:t>
      </w:r>
      <w:r w:rsidRPr="00A17B1B">
        <w:br/>
        <w:t>Pyrmont NSW</w:t>
      </w:r>
    </w:p>
    <w:p w14:paraId="02CEFB1B" w14:textId="77777777" w:rsidR="00284A74" w:rsidRPr="00A17B1B" w:rsidRDefault="00284A74" w:rsidP="00284A74">
      <w:pPr>
        <w:pStyle w:val="ACMACorporateAddresses"/>
      </w:pPr>
      <w:r w:rsidRPr="00A17B1B">
        <w:t>PO Box Q500</w:t>
      </w:r>
      <w:r w:rsidRPr="00A17B1B">
        <w:br/>
        <w:t xml:space="preserve">Queen Victoria Building </w:t>
      </w:r>
      <w:r w:rsidRPr="00A17B1B">
        <w:br/>
        <w:t>NSW 1230</w:t>
      </w:r>
    </w:p>
    <w:p w14:paraId="5983EA76" w14:textId="77777777" w:rsidR="00284A74" w:rsidRPr="00A17B1B" w:rsidRDefault="00284A74" w:rsidP="00284A74">
      <w:pPr>
        <w:pStyle w:val="ACMACorporateAddresses"/>
      </w:pPr>
      <w:r w:rsidRPr="00A17B1B">
        <w:t>T</w:t>
      </w:r>
      <w:r w:rsidRPr="00A17B1B">
        <w:tab/>
        <w:t>+61 2 9334 7700</w:t>
      </w:r>
      <w:r w:rsidRPr="00A17B1B">
        <w:br/>
        <w:t>F</w:t>
      </w:r>
      <w:r w:rsidRPr="00A17B1B">
        <w:tab/>
        <w:t>+61 2 9334 7799</w:t>
      </w:r>
    </w:p>
    <w:p w14:paraId="34C69ECA" w14:textId="77777777" w:rsidR="00284A74" w:rsidRPr="00A17B1B" w:rsidRDefault="00284A74" w:rsidP="005A62E5">
      <w:pPr>
        <w:pStyle w:val="ACMACopyrightHeader"/>
        <w:spacing w:before="4200"/>
      </w:pPr>
      <w:r w:rsidRPr="00A17B1B">
        <w:t>Copyright notice</w:t>
      </w:r>
    </w:p>
    <w:p w14:paraId="42C687C5" w14:textId="77777777" w:rsidR="00284A74" w:rsidRPr="00A17B1B" w:rsidRDefault="00284A74" w:rsidP="00284A74">
      <w:pPr>
        <w:pStyle w:val="ACMACClogo"/>
      </w:pPr>
      <w:r w:rsidRPr="00A17B1B">
        <w:rPr>
          <w:noProof/>
        </w:rPr>
        <w:drawing>
          <wp:inline distT="0" distB="0" distL="0" distR="0" wp14:anchorId="32BF5316" wp14:editId="70E34111">
            <wp:extent cx="838200" cy="295275"/>
            <wp:effectExtent l="0" t="0" r="0" b="0"/>
            <wp:docPr id="1" name="Picture 1" title="Creative Commons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3"/>
                    </pic:cNvPr>
                    <pic:cNvPicPr>
                      <a:picLocks noChangeAspect="1" noChangeArrowheads="1"/>
                    </pic:cNvPicPr>
                  </pic:nvPicPr>
                  <pic:blipFill>
                    <a:blip r:embed="rId14" cstate="print"/>
                    <a:srcRect/>
                    <a:stretch>
                      <a:fillRect/>
                    </a:stretch>
                  </pic:blipFill>
                  <pic:spPr bwMode="auto">
                    <a:xfrm>
                      <a:off x="0" y="0"/>
                      <a:ext cx="838200" cy="295275"/>
                    </a:xfrm>
                    <a:prstGeom prst="rect">
                      <a:avLst/>
                    </a:prstGeom>
                    <a:noFill/>
                  </pic:spPr>
                </pic:pic>
              </a:graphicData>
            </a:graphic>
          </wp:inline>
        </w:drawing>
      </w:r>
    </w:p>
    <w:p w14:paraId="555368FB" w14:textId="77777777" w:rsidR="00284A74" w:rsidRPr="00A17B1B" w:rsidRDefault="00985AE1" w:rsidP="00284A74">
      <w:pPr>
        <w:pStyle w:val="ACMACorporateAddresses"/>
        <w:rPr>
          <w:rStyle w:val="Hyperlink"/>
        </w:rPr>
      </w:pPr>
      <w:hyperlink r:id="rId15" w:history="1">
        <w:r w:rsidR="00284A74" w:rsidRPr="00A17B1B">
          <w:rPr>
            <w:rStyle w:val="Hyperlink"/>
          </w:rPr>
          <w:t>https://creativecommons.org/licenses/by/4.0/</w:t>
        </w:r>
      </w:hyperlink>
    </w:p>
    <w:p w14:paraId="7BEF4BE8" w14:textId="77777777" w:rsidR="00AA1F0B" w:rsidRPr="00E162C4" w:rsidRDefault="00AA1F0B" w:rsidP="00AA1F0B">
      <w:pPr>
        <w:pStyle w:val="ACMACorporateAddresses"/>
      </w:pPr>
      <w:r>
        <w:t>Except for the Commonwealth</w:t>
      </w:r>
      <w:r w:rsidRPr="00E162C4">
        <w:t xml:space="preserve"> </w:t>
      </w:r>
      <w:r>
        <w:t>C</w:t>
      </w:r>
      <w:r w:rsidRPr="00E162C4">
        <w:t xml:space="preserve">oat of </w:t>
      </w:r>
      <w:r>
        <w:t>A</w:t>
      </w:r>
      <w:r w:rsidRPr="00E162C4">
        <w:t xml:space="preserve">rms, logos, emblems, images, other third-party material or devices protected by a trademark, this content is made available under the terms of the Creative Commons Attribution 4.0 International (CC BY 4.0) licence. </w:t>
      </w:r>
    </w:p>
    <w:p w14:paraId="2640049C" w14:textId="77777777" w:rsidR="00AA1F0B" w:rsidRPr="00E162C4" w:rsidRDefault="00AA1F0B" w:rsidP="00AA1F0B">
      <w:pPr>
        <w:pStyle w:val="ACMACorporateAddresses"/>
      </w:pPr>
      <w:r w:rsidRPr="00E162C4">
        <w:t>All other rights are reserved.</w:t>
      </w:r>
    </w:p>
    <w:p w14:paraId="00FD9BEF" w14:textId="77777777" w:rsidR="00AA1F0B" w:rsidRDefault="00AA1F0B" w:rsidP="00AA1F0B">
      <w:pPr>
        <w:pStyle w:val="ACMACorporateAddresses"/>
      </w:pPr>
      <w:r w:rsidRPr="00E162C4">
        <w:t>The Australian Communications and Media Authority has undertaken reasonable enquiries to identify material owned by third parties and secure permission for its reproduction. Permission may need to be obtained from third parties to re-use their material.</w:t>
      </w:r>
    </w:p>
    <w:p w14:paraId="1C53C956" w14:textId="77777777" w:rsidR="00AA1F0B" w:rsidRPr="00D04C32" w:rsidRDefault="00AA1F0B" w:rsidP="00AA1F0B">
      <w:pPr>
        <w:pStyle w:val="ACMACorporateAddresses"/>
        <w:rPr>
          <w:rStyle w:val="Hyperlink"/>
          <w:color w:val="auto"/>
          <w:u w:val="none"/>
        </w:rPr>
      </w:pPr>
      <w:r w:rsidRPr="00E162C4">
        <w:t>We request attribution as © Commonwealth of Australia (Australian Communications and Media Authority) 202</w:t>
      </w:r>
      <w:r>
        <w:t>4</w:t>
      </w:r>
      <w:r w:rsidRPr="00E162C4">
        <w:t xml:space="preserve">. </w:t>
      </w:r>
    </w:p>
    <w:p w14:paraId="555FB3D8" w14:textId="77777777" w:rsidR="00D16FE3" w:rsidRPr="00A17B1B" w:rsidRDefault="00D16FE3" w:rsidP="00D16FE3">
      <w:pPr>
        <w:pStyle w:val="ACMACorporateAddresses"/>
        <w:sectPr w:rsidR="00D16FE3" w:rsidRPr="00A17B1B" w:rsidSect="005A62E5">
          <w:headerReference w:type="even" r:id="rId16"/>
          <w:headerReference w:type="default" r:id="rId17"/>
          <w:footerReference w:type="even" r:id="rId18"/>
          <w:footerReference w:type="default" r:id="rId19"/>
          <w:pgSz w:w="11906" w:h="16838" w:code="9"/>
          <w:pgMar w:top="3924" w:right="1418" w:bottom="1134" w:left="1418" w:header="709" w:footer="119" w:gutter="0"/>
          <w:cols w:space="708"/>
          <w:docGrid w:linePitch="360"/>
        </w:sectPr>
      </w:pPr>
    </w:p>
    <w:p w14:paraId="2E16B507" w14:textId="027CACE6" w:rsidR="009A54DE" w:rsidRDefault="00DF0799">
      <w:pPr>
        <w:pStyle w:val="TOC1"/>
        <w:rPr>
          <w:rFonts w:asciiTheme="minorHAnsi" w:eastAsiaTheme="minorEastAsia" w:hAnsiTheme="minorHAnsi" w:cstheme="minorBidi"/>
          <w:b w:val="0"/>
          <w:spacing w:val="0"/>
          <w:kern w:val="2"/>
          <w:sz w:val="22"/>
          <w:szCs w:val="22"/>
          <w14:ligatures w14:val="standardContextual"/>
        </w:rPr>
      </w:pPr>
      <w:r w:rsidRPr="00A17B1B">
        <w:rPr>
          <w:rFonts w:cs="Arial"/>
        </w:rPr>
        <w:lastRenderedPageBreak/>
        <w:fldChar w:fldCharType="begin"/>
      </w:r>
      <w:r w:rsidRPr="00A17B1B">
        <w:rPr>
          <w:rFonts w:cs="Arial"/>
        </w:rPr>
        <w:instrText xml:space="preserve"> TOC \o "1-3" \h \z \t "Exec summary heading,1" </w:instrText>
      </w:r>
      <w:r w:rsidRPr="00A17B1B">
        <w:rPr>
          <w:rFonts w:cs="Arial"/>
        </w:rPr>
        <w:fldChar w:fldCharType="separate"/>
      </w:r>
      <w:hyperlink w:anchor="_Toc184973647" w:history="1">
        <w:r w:rsidR="009A54DE" w:rsidRPr="00E9384F">
          <w:rPr>
            <w:rStyle w:val="Hyperlink"/>
          </w:rPr>
          <w:t>Executive summary</w:t>
        </w:r>
        <w:r w:rsidR="009A54DE">
          <w:rPr>
            <w:webHidden/>
          </w:rPr>
          <w:tab/>
        </w:r>
        <w:r w:rsidR="009A54DE">
          <w:rPr>
            <w:webHidden/>
          </w:rPr>
          <w:fldChar w:fldCharType="begin"/>
        </w:r>
        <w:r w:rsidR="009A54DE">
          <w:rPr>
            <w:webHidden/>
          </w:rPr>
          <w:instrText xml:space="preserve"> PAGEREF _Toc184973647 \h </w:instrText>
        </w:r>
        <w:r w:rsidR="009A54DE">
          <w:rPr>
            <w:webHidden/>
          </w:rPr>
        </w:r>
        <w:r w:rsidR="009A54DE">
          <w:rPr>
            <w:webHidden/>
          </w:rPr>
          <w:fldChar w:fldCharType="separate"/>
        </w:r>
        <w:r w:rsidR="009A54DE">
          <w:rPr>
            <w:webHidden/>
          </w:rPr>
          <w:t>1</w:t>
        </w:r>
        <w:r w:rsidR="009A54DE">
          <w:rPr>
            <w:webHidden/>
          </w:rPr>
          <w:fldChar w:fldCharType="end"/>
        </w:r>
      </w:hyperlink>
    </w:p>
    <w:p w14:paraId="382B9DF1" w14:textId="1B7984E1" w:rsidR="009A54DE" w:rsidRDefault="00985AE1">
      <w:pPr>
        <w:pStyle w:val="TOC1"/>
        <w:rPr>
          <w:rFonts w:asciiTheme="minorHAnsi" w:eastAsiaTheme="minorEastAsia" w:hAnsiTheme="minorHAnsi" w:cstheme="minorBidi"/>
          <w:b w:val="0"/>
          <w:spacing w:val="0"/>
          <w:kern w:val="2"/>
          <w:sz w:val="22"/>
          <w:szCs w:val="22"/>
          <w14:ligatures w14:val="standardContextual"/>
        </w:rPr>
      </w:pPr>
      <w:hyperlink w:anchor="_Toc184973648" w:history="1">
        <w:r w:rsidR="009A54DE" w:rsidRPr="00E9384F">
          <w:rPr>
            <w:rStyle w:val="Hyperlink"/>
          </w:rPr>
          <w:t>Introduction</w:t>
        </w:r>
        <w:r w:rsidR="009A54DE">
          <w:rPr>
            <w:webHidden/>
          </w:rPr>
          <w:tab/>
        </w:r>
        <w:r w:rsidR="009A54DE">
          <w:rPr>
            <w:webHidden/>
          </w:rPr>
          <w:fldChar w:fldCharType="begin"/>
        </w:r>
        <w:r w:rsidR="009A54DE">
          <w:rPr>
            <w:webHidden/>
          </w:rPr>
          <w:instrText xml:space="preserve"> PAGEREF _Toc184973648 \h </w:instrText>
        </w:r>
        <w:r w:rsidR="009A54DE">
          <w:rPr>
            <w:webHidden/>
          </w:rPr>
        </w:r>
        <w:r w:rsidR="009A54DE">
          <w:rPr>
            <w:webHidden/>
          </w:rPr>
          <w:fldChar w:fldCharType="separate"/>
        </w:r>
        <w:r w:rsidR="009A54DE">
          <w:rPr>
            <w:webHidden/>
          </w:rPr>
          <w:t>3</w:t>
        </w:r>
        <w:r w:rsidR="009A54DE">
          <w:rPr>
            <w:webHidden/>
          </w:rPr>
          <w:fldChar w:fldCharType="end"/>
        </w:r>
      </w:hyperlink>
    </w:p>
    <w:p w14:paraId="7C56FC91" w14:textId="1C6BB928" w:rsidR="009A54DE" w:rsidRDefault="00985AE1">
      <w:pPr>
        <w:pStyle w:val="TOC1"/>
        <w:rPr>
          <w:rFonts w:asciiTheme="minorHAnsi" w:eastAsiaTheme="minorEastAsia" w:hAnsiTheme="minorHAnsi" w:cstheme="minorBidi"/>
          <w:b w:val="0"/>
          <w:spacing w:val="0"/>
          <w:kern w:val="2"/>
          <w:sz w:val="22"/>
          <w:szCs w:val="22"/>
          <w14:ligatures w14:val="standardContextual"/>
        </w:rPr>
      </w:pPr>
      <w:hyperlink w:anchor="_Toc184973649" w:history="1">
        <w:r w:rsidR="009A54DE" w:rsidRPr="00E9384F">
          <w:rPr>
            <w:rStyle w:val="Hyperlink"/>
          </w:rPr>
          <w:t>Summary of submissions</w:t>
        </w:r>
        <w:r w:rsidR="009A54DE">
          <w:rPr>
            <w:webHidden/>
          </w:rPr>
          <w:tab/>
        </w:r>
        <w:r w:rsidR="009A54DE">
          <w:rPr>
            <w:webHidden/>
          </w:rPr>
          <w:fldChar w:fldCharType="begin"/>
        </w:r>
        <w:r w:rsidR="009A54DE">
          <w:rPr>
            <w:webHidden/>
          </w:rPr>
          <w:instrText xml:space="preserve"> PAGEREF _Toc184973649 \h </w:instrText>
        </w:r>
        <w:r w:rsidR="009A54DE">
          <w:rPr>
            <w:webHidden/>
          </w:rPr>
        </w:r>
        <w:r w:rsidR="009A54DE">
          <w:rPr>
            <w:webHidden/>
          </w:rPr>
          <w:fldChar w:fldCharType="separate"/>
        </w:r>
        <w:r w:rsidR="009A54DE">
          <w:rPr>
            <w:webHidden/>
          </w:rPr>
          <w:t>4</w:t>
        </w:r>
        <w:r w:rsidR="009A54DE">
          <w:rPr>
            <w:webHidden/>
          </w:rPr>
          <w:fldChar w:fldCharType="end"/>
        </w:r>
      </w:hyperlink>
    </w:p>
    <w:p w14:paraId="30243499" w14:textId="51B455F5" w:rsidR="009A54DE" w:rsidRDefault="00985AE1">
      <w:pPr>
        <w:pStyle w:val="TOC2"/>
        <w:rPr>
          <w:rFonts w:asciiTheme="minorHAnsi" w:eastAsiaTheme="minorEastAsia" w:hAnsiTheme="minorHAnsi" w:cstheme="minorBidi"/>
          <w:spacing w:val="0"/>
          <w:kern w:val="2"/>
          <w:sz w:val="22"/>
          <w:szCs w:val="22"/>
          <w14:ligatures w14:val="standardContextual"/>
        </w:rPr>
      </w:pPr>
      <w:hyperlink w:anchor="_Toc184973650" w:history="1">
        <w:r w:rsidR="009A54DE" w:rsidRPr="00E9384F">
          <w:rPr>
            <w:rStyle w:val="Hyperlink"/>
          </w:rPr>
          <w:t>Sector views</w:t>
        </w:r>
        <w:r w:rsidR="009A54DE">
          <w:rPr>
            <w:webHidden/>
          </w:rPr>
          <w:tab/>
        </w:r>
        <w:r w:rsidR="009A54DE">
          <w:rPr>
            <w:webHidden/>
          </w:rPr>
          <w:fldChar w:fldCharType="begin"/>
        </w:r>
        <w:r w:rsidR="009A54DE">
          <w:rPr>
            <w:webHidden/>
          </w:rPr>
          <w:instrText xml:space="preserve"> PAGEREF _Toc184973650 \h </w:instrText>
        </w:r>
        <w:r w:rsidR="009A54DE">
          <w:rPr>
            <w:webHidden/>
          </w:rPr>
        </w:r>
        <w:r w:rsidR="009A54DE">
          <w:rPr>
            <w:webHidden/>
          </w:rPr>
          <w:fldChar w:fldCharType="separate"/>
        </w:r>
        <w:r w:rsidR="009A54DE">
          <w:rPr>
            <w:webHidden/>
          </w:rPr>
          <w:t>4</w:t>
        </w:r>
        <w:r w:rsidR="009A54DE">
          <w:rPr>
            <w:webHidden/>
          </w:rPr>
          <w:fldChar w:fldCharType="end"/>
        </w:r>
      </w:hyperlink>
    </w:p>
    <w:p w14:paraId="7802970A" w14:textId="1AA54A5D" w:rsidR="009A54DE" w:rsidRDefault="00985AE1">
      <w:pPr>
        <w:pStyle w:val="TOC3"/>
        <w:rPr>
          <w:rFonts w:asciiTheme="minorHAnsi" w:eastAsiaTheme="minorEastAsia" w:hAnsiTheme="minorHAnsi" w:cstheme="minorBidi"/>
          <w:kern w:val="2"/>
          <w14:ligatures w14:val="standardContextual"/>
        </w:rPr>
      </w:pPr>
      <w:hyperlink w:anchor="_Toc184973651" w:history="1">
        <w:r w:rsidR="009A54DE" w:rsidRPr="00E9384F">
          <w:rPr>
            <w:rStyle w:val="Hyperlink"/>
          </w:rPr>
          <w:t>RLAN sector</w:t>
        </w:r>
        <w:r w:rsidR="009A54DE">
          <w:rPr>
            <w:webHidden/>
          </w:rPr>
          <w:tab/>
        </w:r>
        <w:r w:rsidR="009A54DE">
          <w:rPr>
            <w:webHidden/>
          </w:rPr>
          <w:fldChar w:fldCharType="begin"/>
        </w:r>
        <w:r w:rsidR="009A54DE">
          <w:rPr>
            <w:webHidden/>
          </w:rPr>
          <w:instrText xml:space="preserve"> PAGEREF _Toc184973651 \h </w:instrText>
        </w:r>
        <w:r w:rsidR="009A54DE">
          <w:rPr>
            <w:webHidden/>
          </w:rPr>
        </w:r>
        <w:r w:rsidR="009A54DE">
          <w:rPr>
            <w:webHidden/>
          </w:rPr>
          <w:fldChar w:fldCharType="separate"/>
        </w:r>
        <w:r w:rsidR="009A54DE">
          <w:rPr>
            <w:webHidden/>
          </w:rPr>
          <w:t>4</w:t>
        </w:r>
        <w:r w:rsidR="009A54DE">
          <w:rPr>
            <w:webHidden/>
          </w:rPr>
          <w:fldChar w:fldCharType="end"/>
        </w:r>
      </w:hyperlink>
    </w:p>
    <w:p w14:paraId="16694316" w14:textId="4610F6E4" w:rsidR="009A54DE" w:rsidRDefault="00985AE1">
      <w:pPr>
        <w:pStyle w:val="TOC3"/>
        <w:rPr>
          <w:rFonts w:asciiTheme="minorHAnsi" w:eastAsiaTheme="minorEastAsia" w:hAnsiTheme="minorHAnsi" w:cstheme="minorBidi"/>
          <w:kern w:val="2"/>
          <w14:ligatures w14:val="standardContextual"/>
        </w:rPr>
      </w:pPr>
      <w:hyperlink w:anchor="_Toc184973652" w:history="1">
        <w:r w:rsidR="009A54DE" w:rsidRPr="00E9384F">
          <w:rPr>
            <w:rStyle w:val="Hyperlink"/>
          </w:rPr>
          <w:t>WA WBB sector</w:t>
        </w:r>
        <w:r w:rsidR="009A54DE">
          <w:rPr>
            <w:webHidden/>
          </w:rPr>
          <w:tab/>
        </w:r>
        <w:r w:rsidR="009A54DE">
          <w:rPr>
            <w:webHidden/>
          </w:rPr>
          <w:fldChar w:fldCharType="begin"/>
        </w:r>
        <w:r w:rsidR="009A54DE">
          <w:rPr>
            <w:webHidden/>
          </w:rPr>
          <w:instrText xml:space="preserve"> PAGEREF _Toc184973652 \h </w:instrText>
        </w:r>
        <w:r w:rsidR="009A54DE">
          <w:rPr>
            <w:webHidden/>
          </w:rPr>
        </w:r>
        <w:r w:rsidR="009A54DE">
          <w:rPr>
            <w:webHidden/>
          </w:rPr>
          <w:fldChar w:fldCharType="separate"/>
        </w:r>
        <w:r w:rsidR="009A54DE">
          <w:rPr>
            <w:webHidden/>
          </w:rPr>
          <w:t>5</w:t>
        </w:r>
        <w:r w:rsidR="009A54DE">
          <w:rPr>
            <w:webHidden/>
          </w:rPr>
          <w:fldChar w:fldCharType="end"/>
        </w:r>
      </w:hyperlink>
    </w:p>
    <w:p w14:paraId="5F3F5E8F" w14:textId="6BA0F620" w:rsidR="009A54DE" w:rsidRDefault="00985AE1">
      <w:pPr>
        <w:pStyle w:val="TOC3"/>
        <w:rPr>
          <w:rFonts w:asciiTheme="minorHAnsi" w:eastAsiaTheme="minorEastAsia" w:hAnsiTheme="minorHAnsi" w:cstheme="minorBidi"/>
          <w:kern w:val="2"/>
          <w14:ligatures w14:val="standardContextual"/>
        </w:rPr>
      </w:pPr>
      <w:hyperlink w:anchor="_Toc184973653" w:history="1">
        <w:r w:rsidR="009A54DE" w:rsidRPr="00E9384F">
          <w:rPr>
            <w:rStyle w:val="Hyperlink"/>
          </w:rPr>
          <w:t>Satellite sector</w:t>
        </w:r>
        <w:r w:rsidR="009A54DE">
          <w:rPr>
            <w:webHidden/>
          </w:rPr>
          <w:tab/>
        </w:r>
        <w:r w:rsidR="009A54DE">
          <w:rPr>
            <w:webHidden/>
          </w:rPr>
          <w:fldChar w:fldCharType="begin"/>
        </w:r>
        <w:r w:rsidR="009A54DE">
          <w:rPr>
            <w:webHidden/>
          </w:rPr>
          <w:instrText xml:space="preserve"> PAGEREF _Toc184973653 \h </w:instrText>
        </w:r>
        <w:r w:rsidR="009A54DE">
          <w:rPr>
            <w:webHidden/>
          </w:rPr>
        </w:r>
        <w:r w:rsidR="009A54DE">
          <w:rPr>
            <w:webHidden/>
          </w:rPr>
          <w:fldChar w:fldCharType="separate"/>
        </w:r>
        <w:r w:rsidR="009A54DE">
          <w:rPr>
            <w:webHidden/>
          </w:rPr>
          <w:t>6</w:t>
        </w:r>
        <w:r w:rsidR="009A54DE">
          <w:rPr>
            <w:webHidden/>
          </w:rPr>
          <w:fldChar w:fldCharType="end"/>
        </w:r>
      </w:hyperlink>
    </w:p>
    <w:p w14:paraId="1D1B7D4D" w14:textId="552F9510" w:rsidR="009A54DE" w:rsidRDefault="00985AE1">
      <w:pPr>
        <w:pStyle w:val="TOC3"/>
        <w:rPr>
          <w:rFonts w:asciiTheme="minorHAnsi" w:eastAsiaTheme="minorEastAsia" w:hAnsiTheme="minorHAnsi" w:cstheme="minorBidi"/>
          <w:kern w:val="2"/>
          <w14:ligatures w14:val="standardContextual"/>
        </w:rPr>
      </w:pPr>
      <w:hyperlink w:anchor="_Toc184973654" w:history="1">
        <w:r w:rsidR="009A54DE" w:rsidRPr="00E9384F">
          <w:rPr>
            <w:rStyle w:val="Hyperlink"/>
          </w:rPr>
          <w:t>Television outside broadcast (TOB) sector</w:t>
        </w:r>
        <w:r w:rsidR="009A54DE">
          <w:rPr>
            <w:webHidden/>
          </w:rPr>
          <w:tab/>
        </w:r>
        <w:r w:rsidR="009A54DE">
          <w:rPr>
            <w:webHidden/>
          </w:rPr>
          <w:fldChar w:fldCharType="begin"/>
        </w:r>
        <w:r w:rsidR="009A54DE">
          <w:rPr>
            <w:webHidden/>
          </w:rPr>
          <w:instrText xml:space="preserve"> PAGEREF _Toc184973654 \h </w:instrText>
        </w:r>
        <w:r w:rsidR="009A54DE">
          <w:rPr>
            <w:webHidden/>
          </w:rPr>
        </w:r>
        <w:r w:rsidR="009A54DE">
          <w:rPr>
            <w:webHidden/>
          </w:rPr>
          <w:fldChar w:fldCharType="separate"/>
        </w:r>
        <w:r w:rsidR="009A54DE">
          <w:rPr>
            <w:webHidden/>
          </w:rPr>
          <w:t>7</w:t>
        </w:r>
        <w:r w:rsidR="009A54DE">
          <w:rPr>
            <w:webHidden/>
          </w:rPr>
          <w:fldChar w:fldCharType="end"/>
        </w:r>
      </w:hyperlink>
    </w:p>
    <w:p w14:paraId="42A2B549" w14:textId="2EEE0A1F" w:rsidR="009A54DE" w:rsidRDefault="00985AE1">
      <w:pPr>
        <w:pStyle w:val="TOC3"/>
        <w:rPr>
          <w:rFonts w:asciiTheme="minorHAnsi" w:eastAsiaTheme="minorEastAsia" w:hAnsiTheme="minorHAnsi" w:cstheme="minorBidi"/>
          <w:kern w:val="2"/>
          <w14:ligatures w14:val="standardContextual"/>
        </w:rPr>
      </w:pPr>
      <w:hyperlink w:anchor="_Toc184973655" w:history="1">
        <w:r w:rsidR="009A54DE" w:rsidRPr="00E9384F">
          <w:rPr>
            <w:rStyle w:val="Hyperlink"/>
          </w:rPr>
          <w:t>Fixed point-to-point link sector</w:t>
        </w:r>
        <w:r w:rsidR="009A54DE">
          <w:rPr>
            <w:webHidden/>
          </w:rPr>
          <w:tab/>
        </w:r>
        <w:r w:rsidR="009A54DE">
          <w:rPr>
            <w:webHidden/>
          </w:rPr>
          <w:fldChar w:fldCharType="begin"/>
        </w:r>
        <w:r w:rsidR="009A54DE">
          <w:rPr>
            <w:webHidden/>
          </w:rPr>
          <w:instrText xml:space="preserve"> PAGEREF _Toc184973655 \h </w:instrText>
        </w:r>
        <w:r w:rsidR="009A54DE">
          <w:rPr>
            <w:webHidden/>
          </w:rPr>
        </w:r>
        <w:r w:rsidR="009A54DE">
          <w:rPr>
            <w:webHidden/>
          </w:rPr>
          <w:fldChar w:fldCharType="separate"/>
        </w:r>
        <w:r w:rsidR="009A54DE">
          <w:rPr>
            <w:webHidden/>
          </w:rPr>
          <w:t>7</w:t>
        </w:r>
        <w:r w:rsidR="009A54DE">
          <w:rPr>
            <w:webHidden/>
          </w:rPr>
          <w:fldChar w:fldCharType="end"/>
        </w:r>
      </w:hyperlink>
    </w:p>
    <w:p w14:paraId="771181D7" w14:textId="6EA22AEF" w:rsidR="009A54DE" w:rsidRDefault="00985AE1">
      <w:pPr>
        <w:pStyle w:val="TOC1"/>
        <w:rPr>
          <w:rFonts w:asciiTheme="minorHAnsi" w:eastAsiaTheme="minorEastAsia" w:hAnsiTheme="minorHAnsi" w:cstheme="minorBidi"/>
          <w:b w:val="0"/>
          <w:spacing w:val="0"/>
          <w:kern w:val="2"/>
          <w:sz w:val="22"/>
          <w:szCs w:val="22"/>
          <w14:ligatures w14:val="standardContextual"/>
        </w:rPr>
      </w:pPr>
      <w:hyperlink w:anchor="_Toc184973656" w:history="1">
        <w:r w:rsidR="009A54DE" w:rsidRPr="00E9384F">
          <w:rPr>
            <w:rStyle w:val="Hyperlink"/>
          </w:rPr>
          <w:t>Planning considerations</w:t>
        </w:r>
        <w:r w:rsidR="009A54DE">
          <w:rPr>
            <w:webHidden/>
          </w:rPr>
          <w:tab/>
        </w:r>
        <w:r w:rsidR="009A54DE">
          <w:rPr>
            <w:webHidden/>
          </w:rPr>
          <w:fldChar w:fldCharType="begin"/>
        </w:r>
        <w:r w:rsidR="009A54DE">
          <w:rPr>
            <w:webHidden/>
          </w:rPr>
          <w:instrText xml:space="preserve"> PAGEREF _Toc184973656 \h </w:instrText>
        </w:r>
        <w:r w:rsidR="009A54DE">
          <w:rPr>
            <w:webHidden/>
          </w:rPr>
        </w:r>
        <w:r w:rsidR="009A54DE">
          <w:rPr>
            <w:webHidden/>
          </w:rPr>
          <w:fldChar w:fldCharType="separate"/>
        </w:r>
        <w:r w:rsidR="009A54DE">
          <w:rPr>
            <w:webHidden/>
          </w:rPr>
          <w:t>8</w:t>
        </w:r>
        <w:r w:rsidR="009A54DE">
          <w:rPr>
            <w:webHidden/>
          </w:rPr>
          <w:fldChar w:fldCharType="end"/>
        </w:r>
      </w:hyperlink>
    </w:p>
    <w:p w14:paraId="75AF0A84" w14:textId="7052B3C7" w:rsidR="009A54DE" w:rsidRDefault="00985AE1">
      <w:pPr>
        <w:pStyle w:val="TOC2"/>
        <w:rPr>
          <w:rFonts w:asciiTheme="minorHAnsi" w:eastAsiaTheme="minorEastAsia" w:hAnsiTheme="minorHAnsi" w:cstheme="minorBidi"/>
          <w:spacing w:val="0"/>
          <w:kern w:val="2"/>
          <w:sz w:val="22"/>
          <w:szCs w:val="22"/>
          <w14:ligatures w14:val="standardContextual"/>
        </w:rPr>
      </w:pPr>
      <w:hyperlink w:anchor="_Toc184973657" w:history="1">
        <w:r w:rsidR="009A54DE" w:rsidRPr="00E9384F">
          <w:rPr>
            <w:rStyle w:val="Hyperlink"/>
          </w:rPr>
          <w:t>International context and equipment markets</w:t>
        </w:r>
        <w:r w:rsidR="009A54DE">
          <w:rPr>
            <w:webHidden/>
          </w:rPr>
          <w:tab/>
        </w:r>
        <w:r w:rsidR="009A54DE">
          <w:rPr>
            <w:webHidden/>
          </w:rPr>
          <w:fldChar w:fldCharType="begin"/>
        </w:r>
        <w:r w:rsidR="009A54DE">
          <w:rPr>
            <w:webHidden/>
          </w:rPr>
          <w:instrText xml:space="preserve"> PAGEREF _Toc184973657 \h </w:instrText>
        </w:r>
        <w:r w:rsidR="009A54DE">
          <w:rPr>
            <w:webHidden/>
          </w:rPr>
        </w:r>
        <w:r w:rsidR="009A54DE">
          <w:rPr>
            <w:webHidden/>
          </w:rPr>
          <w:fldChar w:fldCharType="separate"/>
        </w:r>
        <w:r w:rsidR="009A54DE">
          <w:rPr>
            <w:webHidden/>
          </w:rPr>
          <w:t>8</w:t>
        </w:r>
        <w:r w:rsidR="009A54DE">
          <w:rPr>
            <w:webHidden/>
          </w:rPr>
          <w:fldChar w:fldCharType="end"/>
        </w:r>
      </w:hyperlink>
    </w:p>
    <w:p w14:paraId="57335C11" w14:textId="521C99CA" w:rsidR="009A54DE" w:rsidRDefault="00985AE1">
      <w:pPr>
        <w:pStyle w:val="TOC2"/>
        <w:rPr>
          <w:rFonts w:asciiTheme="minorHAnsi" w:eastAsiaTheme="minorEastAsia" w:hAnsiTheme="minorHAnsi" w:cstheme="minorBidi"/>
          <w:spacing w:val="0"/>
          <w:kern w:val="2"/>
          <w:sz w:val="22"/>
          <w:szCs w:val="22"/>
          <w14:ligatures w14:val="standardContextual"/>
        </w:rPr>
      </w:pPr>
      <w:hyperlink w:anchor="_Toc184973658" w:history="1">
        <w:r w:rsidR="009A54DE" w:rsidRPr="00E9384F">
          <w:rPr>
            <w:rStyle w:val="Hyperlink"/>
          </w:rPr>
          <w:t>Refinement of planning options</w:t>
        </w:r>
        <w:r w:rsidR="009A54DE">
          <w:rPr>
            <w:webHidden/>
          </w:rPr>
          <w:tab/>
        </w:r>
        <w:r w:rsidR="009A54DE">
          <w:rPr>
            <w:webHidden/>
          </w:rPr>
          <w:fldChar w:fldCharType="begin"/>
        </w:r>
        <w:r w:rsidR="009A54DE">
          <w:rPr>
            <w:webHidden/>
          </w:rPr>
          <w:instrText xml:space="preserve"> PAGEREF _Toc184973658 \h </w:instrText>
        </w:r>
        <w:r w:rsidR="009A54DE">
          <w:rPr>
            <w:webHidden/>
          </w:rPr>
        </w:r>
        <w:r w:rsidR="009A54DE">
          <w:rPr>
            <w:webHidden/>
          </w:rPr>
          <w:fldChar w:fldCharType="separate"/>
        </w:r>
        <w:r w:rsidR="009A54DE">
          <w:rPr>
            <w:webHidden/>
          </w:rPr>
          <w:t>10</w:t>
        </w:r>
        <w:r w:rsidR="009A54DE">
          <w:rPr>
            <w:webHidden/>
          </w:rPr>
          <w:fldChar w:fldCharType="end"/>
        </w:r>
      </w:hyperlink>
    </w:p>
    <w:p w14:paraId="685FEA97" w14:textId="100DA051" w:rsidR="009A54DE" w:rsidRDefault="00985AE1">
      <w:pPr>
        <w:pStyle w:val="TOC3"/>
        <w:rPr>
          <w:rFonts w:asciiTheme="minorHAnsi" w:eastAsiaTheme="minorEastAsia" w:hAnsiTheme="minorHAnsi" w:cstheme="minorBidi"/>
          <w:kern w:val="2"/>
          <w14:ligatures w14:val="standardContextual"/>
        </w:rPr>
      </w:pPr>
      <w:hyperlink w:anchor="_Toc184973659" w:history="1">
        <w:r w:rsidR="009A54DE" w:rsidRPr="00E9384F">
          <w:rPr>
            <w:rStyle w:val="Hyperlink"/>
          </w:rPr>
          <w:t>Preliminary view on defined population areas</w:t>
        </w:r>
        <w:r w:rsidR="009A54DE">
          <w:rPr>
            <w:webHidden/>
          </w:rPr>
          <w:tab/>
        </w:r>
        <w:r w:rsidR="009A54DE">
          <w:rPr>
            <w:webHidden/>
          </w:rPr>
          <w:fldChar w:fldCharType="begin"/>
        </w:r>
        <w:r w:rsidR="009A54DE">
          <w:rPr>
            <w:webHidden/>
          </w:rPr>
          <w:instrText xml:space="preserve"> PAGEREF _Toc184973659 \h </w:instrText>
        </w:r>
        <w:r w:rsidR="009A54DE">
          <w:rPr>
            <w:webHidden/>
          </w:rPr>
        </w:r>
        <w:r w:rsidR="009A54DE">
          <w:rPr>
            <w:webHidden/>
          </w:rPr>
          <w:fldChar w:fldCharType="separate"/>
        </w:r>
        <w:r w:rsidR="009A54DE">
          <w:rPr>
            <w:webHidden/>
          </w:rPr>
          <w:t>11</w:t>
        </w:r>
        <w:r w:rsidR="009A54DE">
          <w:rPr>
            <w:webHidden/>
          </w:rPr>
          <w:fldChar w:fldCharType="end"/>
        </w:r>
      </w:hyperlink>
    </w:p>
    <w:p w14:paraId="42B78AB5" w14:textId="6A4912B6" w:rsidR="009A54DE" w:rsidRDefault="00985AE1">
      <w:pPr>
        <w:pStyle w:val="TOC1"/>
        <w:rPr>
          <w:rFonts w:asciiTheme="minorHAnsi" w:eastAsiaTheme="minorEastAsia" w:hAnsiTheme="minorHAnsi" w:cstheme="minorBidi"/>
          <w:b w:val="0"/>
          <w:spacing w:val="0"/>
          <w:kern w:val="2"/>
          <w:sz w:val="22"/>
          <w:szCs w:val="22"/>
          <w14:ligatures w14:val="standardContextual"/>
        </w:rPr>
      </w:pPr>
      <w:hyperlink w:anchor="_Toc184973660" w:history="1">
        <w:r w:rsidR="009A54DE" w:rsidRPr="00E9384F">
          <w:rPr>
            <w:rStyle w:val="Hyperlink"/>
          </w:rPr>
          <w:t>Assessment of options</w:t>
        </w:r>
        <w:r w:rsidR="009A54DE">
          <w:rPr>
            <w:webHidden/>
          </w:rPr>
          <w:tab/>
        </w:r>
        <w:r w:rsidR="009A54DE">
          <w:rPr>
            <w:webHidden/>
          </w:rPr>
          <w:fldChar w:fldCharType="begin"/>
        </w:r>
        <w:r w:rsidR="009A54DE">
          <w:rPr>
            <w:webHidden/>
          </w:rPr>
          <w:instrText xml:space="preserve"> PAGEREF _Toc184973660 \h </w:instrText>
        </w:r>
        <w:r w:rsidR="009A54DE">
          <w:rPr>
            <w:webHidden/>
          </w:rPr>
        </w:r>
        <w:r w:rsidR="009A54DE">
          <w:rPr>
            <w:webHidden/>
          </w:rPr>
          <w:fldChar w:fldCharType="separate"/>
        </w:r>
        <w:r w:rsidR="009A54DE">
          <w:rPr>
            <w:webHidden/>
          </w:rPr>
          <w:t>12</w:t>
        </w:r>
        <w:r w:rsidR="009A54DE">
          <w:rPr>
            <w:webHidden/>
          </w:rPr>
          <w:fldChar w:fldCharType="end"/>
        </w:r>
      </w:hyperlink>
    </w:p>
    <w:p w14:paraId="16511228" w14:textId="1E8ED6FD" w:rsidR="009A54DE" w:rsidRDefault="00985AE1">
      <w:pPr>
        <w:pStyle w:val="TOC2"/>
        <w:rPr>
          <w:rFonts w:asciiTheme="minorHAnsi" w:eastAsiaTheme="minorEastAsia" w:hAnsiTheme="minorHAnsi" w:cstheme="minorBidi"/>
          <w:spacing w:val="0"/>
          <w:kern w:val="2"/>
          <w:sz w:val="22"/>
          <w:szCs w:val="22"/>
          <w14:ligatures w14:val="standardContextual"/>
        </w:rPr>
      </w:pPr>
      <w:hyperlink w:anchor="_Toc184973661" w:history="1">
        <w:r w:rsidR="009A54DE" w:rsidRPr="00E9384F">
          <w:rPr>
            <w:rStyle w:val="Hyperlink"/>
          </w:rPr>
          <w:t>Assessment against the desirable planning outcomes</w:t>
        </w:r>
        <w:r w:rsidR="009A54DE">
          <w:rPr>
            <w:webHidden/>
          </w:rPr>
          <w:tab/>
        </w:r>
        <w:r w:rsidR="009A54DE">
          <w:rPr>
            <w:webHidden/>
          </w:rPr>
          <w:fldChar w:fldCharType="begin"/>
        </w:r>
        <w:r w:rsidR="009A54DE">
          <w:rPr>
            <w:webHidden/>
          </w:rPr>
          <w:instrText xml:space="preserve"> PAGEREF _Toc184973661 \h </w:instrText>
        </w:r>
        <w:r w:rsidR="009A54DE">
          <w:rPr>
            <w:webHidden/>
          </w:rPr>
        </w:r>
        <w:r w:rsidR="009A54DE">
          <w:rPr>
            <w:webHidden/>
          </w:rPr>
          <w:fldChar w:fldCharType="separate"/>
        </w:r>
        <w:r w:rsidR="009A54DE">
          <w:rPr>
            <w:webHidden/>
          </w:rPr>
          <w:t>12</w:t>
        </w:r>
        <w:r w:rsidR="009A54DE">
          <w:rPr>
            <w:webHidden/>
          </w:rPr>
          <w:fldChar w:fldCharType="end"/>
        </w:r>
      </w:hyperlink>
    </w:p>
    <w:p w14:paraId="3F323830" w14:textId="47D05B8C" w:rsidR="009A54DE" w:rsidRDefault="00985AE1">
      <w:pPr>
        <w:pStyle w:val="TOC3"/>
        <w:rPr>
          <w:rFonts w:asciiTheme="minorHAnsi" w:eastAsiaTheme="minorEastAsia" w:hAnsiTheme="minorHAnsi" w:cstheme="minorBidi"/>
          <w:kern w:val="2"/>
          <w14:ligatures w14:val="standardContextual"/>
        </w:rPr>
      </w:pPr>
      <w:hyperlink w:anchor="_Toc184973662" w:history="1">
        <w:r w:rsidR="009A54DE" w:rsidRPr="00E9384F">
          <w:rPr>
            <w:rStyle w:val="Hyperlink"/>
          </w:rPr>
          <w:t xml:space="preserve">Desirable planning outcome 1: Optimise the efficiency and utility of the upper 6 GHz </w:t>
        </w:r>
        <w:r w:rsidR="009A54DE">
          <w:rPr>
            <w:rStyle w:val="Hyperlink"/>
          </w:rPr>
          <w:br/>
        </w:r>
        <w:r w:rsidR="009A54DE" w:rsidRPr="00E9384F">
          <w:rPr>
            <w:rStyle w:val="Hyperlink"/>
          </w:rPr>
          <w:t>band by introducing arrangements for RLAN and/or WA WBB services.</w:t>
        </w:r>
        <w:r w:rsidR="009A54DE">
          <w:rPr>
            <w:webHidden/>
          </w:rPr>
          <w:tab/>
        </w:r>
        <w:r w:rsidR="009A54DE">
          <w:rPr>
            <w:webHidden/>
          </w:rPr>
          <w:fldChar w:fldCharType="begin"/>
        </w:r>
        <w:r w:rsidR="009A54DE">
          <w:rPr>
            <w:webHidden/>
          </w:rPr>
          <w:instrText xml:space="preserve"> PAGEREF _Toc184973662 \h </w:instrText>
        </w:r>
        <w:r w:rsidR="009A54DE">
          <w:rPr>
            <w:webHidden/>
          </w:rPr>
        </w:r>
        <w:r w:rsidR="009A54DE">
          <w:rPr>
            <w:webHidden/>
          </w:rPr>
          <w:fldChar w:fldCharType="separate"/>
        </w:r>
        <w:r w:rsidR="009A54DE">
          <w:rPr>
            <w:webHidden/>
          </w:rPr>
          <w:t>12</w:t>
        </w:r>
        <w:r w:rsidR="009A54DE">
          <w:rPr>
            <w:webHidden/>
          </w:rPr>
          <w:fldChar w:fldCharType="end"/>
        </w:r>
      </w:hyperlink>
    </w:p>
    <w:p w14:paraId="04A250FF" w14:textId="1F54DF94" w:rsidR="009A54DE" w:rsidRDefault="00985AE1">
      <w:pPr>
        <w:pStyle w:val="TOC3"/>
        <w:rPr>
          <w:rFonts w:asciiTheme="minorHAnsi" w:eastAsiaTheme="minorEastAsia" w:hAnsiTheme="minorHAnsi" w:cstheme="minorBidi"/>
          <w:kern w:val="2"/>
          <w14:ligatures w14:val="standardContextual"/>
        </w:rPr>
      </w:pPr>
      <w:hyperlink w:anchor="_Toc184973663" w:history="1">
        <w:r w:rsidR="009A54DE" w:rsidRPr="00E9384F">
          <w:rPr>
            <w:rStyle w:val="Hyperlink"/>
          </w:rPr>
          <w:t xml:space="preserve">Desirable planning outcome 2: Maintain regulatory arrangements to the extent </w:t>
        </w:r>
        <w:r w:rsidR="009A54DE">
          <w:rPr>
            <w:rStyle w:val="Hyperlink"/>
          </w:rPr>
          <w:br/>
        </w:r>
        <w:r w:rsidR="009A54DE" w:rsidRPr="00E9384F">
          <w:rPr>
            <w:rStyle w:val="Hyperlink"/>
          </w:rPr>
          <w:t>possible for existing services within the upper 6 GHz band when optimising its utility.</w:t>
        </w:r>
        <w:r w:rsidR="009A54DE">
          <w:rPr>
            <w:webHidden/>
          </w:rPr>
          <w:tab/>
        </w:r>
        <w:r w:rsidR="009A54DE">
          <w:rPr>
            <w:webHidden/>
          </w:rPr>
          <w:fldChar w:fldCharType="begin"/>
        </w:r>
        <w:r w:rsidR="009A54DE">
          <w:rPr>
            <w:webHidden/>
          </w:rPr>
          <w:instrText xml:space="preserve"> PAGEREF _Toc184973663 \h </w:instrText>
        </w:r>
        <w:r w:rsidR="009A54DE">
          <w:rPr>
            <w:webHidden/>
          </w:rPr>
        </w:r>
        <w:r w:rsidR="009A54DE">
          <w:rPr>
            <w:webHidden/>
          </w:rPr>
          <w:fldChar w:fldCharType="separate"/>
        </w:r>
        <w:r w:rsidR="009A54DE">
          <w:rPr>
            <w:webHidden/>
          </w:rPr>
          <w:t>13</w:t>
        </w:r>
        <w:r w:rsidR="009A54DE">
          <w:rPr>
            <w:webHidden/>
          </w:rPr>
          <w:fldChar w:fldCharType="end"/>
        </w:r>
      </w:hyperlink>
    </w:p>
    <w:p w14:paraId="620A0C05" w14:textId="161202D1" w:rsidR="009A54DE" w:rsidRDefault="00985AE1">
      <w:pPr>
        <w:pStyle w:val="TOC3"/>
        <w:rPr>
          <w:rFonts w:asciiTheme="minorHAnsi" w:eastAsiaTheme="minorEastAsia" w:hAnsiTheme="minorHAnsi" w:cstheme="minorBidi"/>
          <w:kern w:val="2"/>
          <w14:ligatures w14:val="standardContextual"/>
        </w:rPr>
      </w:pPr>
      <w:hyperlink w:anchor="_Toc184973664" w:history="1">
        <w:r w:rsidR="009A54DE" w:rsidRPr="00E9384F">
          <w:rPr>
            <w:rStyle w:val="Hyperlink"/>
          </w:rPr>
          <w:t xml:space="preserve">Desirable planning outcomes 3 and 4: Ensure coexistence with other services </w:t>
        </w:r>
        <w:r w:rsidR="009A54DE">
          <w:rPr>
            <w:rStyle w:val="Hyperlink"/>
          </w:rPr>
          <w:br/>
        </w:r>
        <w:r w:rsidR="009A54DE" w:rsidRPr="00E9384F">
          <w:rPr>
            <w:rStyle w:val="Hyperlink"/>
          </w:rPr>
          <w:t>in the upper 6 GHz band and maintain coexistence with adjacent band services.</w:t>
        </w:r>
        <w:r w:rsidR="009A54DE">
          <w:rPr>
            <w:webHidden/>
          </w:rPr>
          <w:tab/>
        </w:r>
        <w:r w:rsidR="009A54DE">
          <w:rPr>
            <w:webHidden/>
          </w:rPr>
          <w:fldChar w:fldCharType="begin"/>
        </w:r>
        <w:r w:rsidR="009A54DE">
          <w:rPr>
            <w:webHidden/>
          </w:rPr>
          <w:instrText xml:space="preserve"> PAGEREF _Toc184973664 \h </w:instrText>
        </w:r>
        <w:r w:rsidR="009A54DE">
          <w:rPr>
            <w:webHidden/>
          </w:rPr>
        </w:r>
        <w:r w:rsidR="009A54DE">
          <w:rPr>
            <w:webHidden/>
          </w:rPr>
          <w:fldChar w:fldCharType="separate"/>
        </w:r>
        <w:r w:rsidR="009A54DE">
          <w:rPr>
            <w:webHidden/>
          </w:rPr>
          <w:t>13</w:t>
        </w:r>
        <w:r w:rsidR="009A54DE">
          <w:rPr>
            <w:webHidden/>
          </w:rPr>
          <w:fldChar w:fldCharType="end"/>
        </w:r>
      </w:hyperlink>
    </w:p>
    <w:p w14:paraId="367BFD4D" w14:textId="19583D5E" w:rsidR="009A54DE" w:rsidRDefault="00985AE1">
      <w:pPr>
        <w:pStyle w:val="TOC2"/>
        <w:rPr>
          <w:rFonts w:asciiTheme="minorHAnsi" w:eastAsiaTheme="minorEastAsia" w:hAnsiTheme="minorHAnsi" w:cstheme="minorBidi"/>
          <w:spacing w:val="0"/>
          <w:kern w:val="2"/>
          <w:sz w:val="22"/>
          <w:szCs w:val="22"/>
          <w14:ligatures w14:val="standardContextual"/>
        </w:rPr>
      </w:pPr>
      <w:hyperlink w:anchor="_Toc184973665" w:history="1">
        <w:r w:rsidR="009A54DE" w:rsidRPr="00E9384F">
          <w:rPr>
            <w:rStyle w:val="Hyperlink"/>
          </w:rPr>
          <w:t>Quantitative cost-benefit analysis</w:t>
        </w:r>
        <w:r w:rsidR="009A54DE">
          <w:rPr>
            <w:webHidden/>
          </w:rPr>
          <w:tab/>
        </w:r>
        <w:r w:rsidR="009A54DE">
          <w:rPr>
            <w:webHidden/>
          </w:rPr>
          <w:fldChar w:fldCharType="begin"/>
        </w:r>
        <w:r w:rsidR="009A54DE">
          <w:rPr>
            <w:webHidden/>
          </w:rPr>
          <w:instrText xml:space="preserve"> PAGEREF _Toc184973665 \h </w:instrText>
        </w:r>
        <w:r w:rsidR="009A54DE">
          <w:rPr>
            <w:webHidden/>
          </w:rPr>
        </w:r>
        <w:r w:rsidR="009A54DE">
          <w:rPr>
            <w:webHidden/>
          </w:rPr>
          <w:fldChar w:fldCharType="separate"/>
        </w:r>
        <w:r w:rsidR="009A54DE">
          <w:rPr>
            <w:webHidden/>
          </w:rPr>
          <w:t>14</w:t>
        </w:r>
        <w:r w:rsidR="009A54DE">
          <w:rPr>
            <w:webHidden/>
          </w:rPr>
          <w:fldChar w:fldCharType="end"/>
        </w:r>
      </w:hyperlink>
    </w:p>
    <w:p w14:paraId="4DB13283" w14:textId="46188F6B" w:rsidR="009A54DE" w:rsidRDefault="00985AE1">
      <w:pPr>
        <w:pStyle w:val="TOC3"/>
        <w:rPr>
          <w:rFonts w:asciiTheme="minorHAnsi" w:eastAsiaTheme="minorEastAsia" w:hAnsiTheme="minorHAnsi" w:cstheme="minorBidi"/>
          <w:kern w:val="2"/>
          <w14:ligatures w14:val="standardContextual"/>
        </w:rPr>
      </w:pPr>
      <w:hyperlink w:anchor="_Toc184973666" w:history="1">
        <w:r w:rsidR="009A54DE" w:rsidRPr="00E9384F">
          <w:rPr>
            <w:rStyle w:val="Hyperlink"/>
          </w:rPr>
          <w:t>Quantification of benefits</w:t>
        </w:r>
        <w:r w:rsidR="009A54DE">
          <w:rPr>
            <w:webHidden/>
          </w:rPr>
          <w:tab/>
        </w:r>
        <w:r w:rsidR="009A54DE">
          <w:rPr>
            <w:webHidden/>
          </w:rPr>
          <w:fldChar w:fldCharType="begin"/>
        </w:r>
        <w:r w:rsidR="009A54DE">
          <w:rPr>
            <w:webHidden/>
          </w:rPr>
          <w:instrText xml:space="preserve"> PAGEREF _Toc184973666 \h </w:instrText>
        </w:r>
        <w:r w:rsidR="009A54DE">
          <w:rPr>
            <w:webHidden/>
          </w:rPr>
        </w:r>
        <w:r w:rsidR="009A54DE">
          <w:rPr>
            <w:webHidden/>
          </w:rPr>
          <w:fldChar w:fldCharType="separate"/>
        </w:r>
        <w:r w:rsidR="009A54DE">
          <w:rPr>
            <w:webHidden/>
          </w:rPr>
          <w:t>14</w:t>
        </w:r>
        <w:r w:rsidR="009A54DE">
          <w:rPr>
            <w:webHidden/>
          </w:rPr>
          <w:fldChar w:fldCharType="end"/>
        </w:r>
      </w:hyperlink>
    </w:p>
    <w:p w14:paraId="21EBA6A1" w14:textId="6E2E5056" w:rsidR="009A54DE" w:rsidRDefault="00985AE1">
      <w:pPr>
        <w:pStyle w:val="TOC3"/>
        <w:rPr>
          <w:rFonts w:asciiTheme="minorHAnsi" w:eastAsiaTheme="minorEastAsia" w:hAnsiTheme="minorHAnsi" w:cstheme="minorBidi"/>
          <w:kern w:val="2"/>
          <w14:ligatures w14:val="standardContextual"/>
        </w:rPr>
      </w:pPr>
      <w:hyperlink w:anchor="_Toc184973667" w:history="1">
        <w:r w:rsidR="009A54DE" w:rsidRPr="00E9384F">
          <w:rPr>
            <w:rStyle w:val="Hyperlink"/>
          </w:rPr>
          <w:t>Quantification of costs</w:t>
        </w:r>
        <w:r w:rsidR="009A54DE">
          <w:rPr>
            <w:webHidden/>
          </w:rPr>
          <w:tab/>
        </w:r>
        <w:r w:rsidR="009A54DE">
          <w:rPr>
            <w:webHidden/>
          </w:rPr>
          <w:fldChar w:fldCharType="begin"/>
        </w:r>
        <w:r w:rsidR="009A54DE">
          <w:rPr>
            <w:webHidden/>
          </w:rPr>
          <w:instrText xml:space="preserve"> PAGEREF _Toc184973667 \h </w:instrText>
        </w:r>
        <w:r w:rsidR="009A54DE">
          <w:rPr>
            <w:webHidden/>
          </w:rPr>
        </w:r>
        <w:r w:rsidR="009A54DE">
          <w:rPr>
            <w:webHidden/>
          </w:rPr>
          <w:fldChar w:fldCharType="separate"/>
        </w:r>
        <w:r w:rsidR="009A54DE">
          <w:rPr>
            <w:webHidden/>
          </w:rPr>
          <w:t>14</w:t>
        </w:r>
        <w:r w:rsidR="009A54DE">
          <w:rPr>
            <w:webHidden/>
          </w:rPr>
          <w:fldChar w:fldCharType="end"/>
        </w:r>
      </w:hyperlink>
    </w:p>
    <w:p w14:paraId="68643C90" w14:textId="679BF626" w:rsidR="009A54DE" w:rsidRDefault="00985AE1">
      <w:pPr>
        <w:pStyle w:val="TOC1"/>
        <w:rPr>
          <w:rFonts w:asciiTheme="minorHAnsi" w:eastAsiaTheme="minorEastAsia" w:hAnsiTheme="minorHAnsi" w:cstheme="minorBidi"/>
          <w:b w:val="0"/>
          <w:spacing w:val="0"/>
          <w:kern w:val="2"/>
          <w:sz w:val="22"/>
          <w:szCs w:val="22"/>
          <w14:ligatures w14:val="standardContextual"/>
        </w:rPr>
      </w:pPr>
      <w:hyperlink w:anchor="_Toc184973668" w:history="1">
        <w:r w:rsidR="009A54DE" w:rsidRPr="00E9384F">
          <w:rPr>
            <w:rStyle w:val="Hyperlink"/>
          </w:rPr>
          <w:t>The way forward</w:t>
        </w:r>
        <w:r w:rsidR="009A54DE">
          <w:rPr>
            <w:webHidden/>
          </w:rPr>
          <w:tab/>
        </w:r>
        <w:r w:rsidR="009A54DE">
          <w:rPr>
            <w:webHidden/>
          </w:rPr>
          <w:fldChar w:fldCharType="begin"/>
        </w:r>
        <w:r w:rsidR="009A54DE">
          <w:rPr>
            <w:webHidden/>
          </w:rPr>
          <w:instrText xml:space="preserve"> PAGEREF _Toc184973668 \h </w:instrText>
        </w:r>
        <w:r w:rsidR="009A54DE">
          <w:rPr>
            <w:webHidden/>
          </w:rPr>
        </w:r>
        <w:r w:rsidR="009A54DE">
          <w:rPr>
            <w:webHidden/>
          </w:rPr>
          <w:fldChar w:fldCharType="separate"/>
        </w:r>
        <w:r w:rsidR="009A54DE">
          <w:rPr>
            <w:webHidden/>
          </w:rPr>
          <w:t>17</w:t>
        </w:r>
        <w:r w:rsidR="009A54DE">
          <w:rPr>
            <w:webHidden/>
          </w:rPr>
          <w:fldChar w:fldCharType="end"/>
        </w:r>
      </w:hyperlink>
    </w:p>
    <w:p w14:paraId="6874447D" w14:textId="380235A2" w:rsidR="009A54DE" w:rsidRDefault="00985AE1">
      <w:pPr>
        <w:pStyle w:val="TOC2"/>
        <w:rPr>
          <w:rFonts w:asciiTheme="minorHAnsi" w:eastAsiaTheme="minorEastAsia" w:hAnsiTheme="minorHAnsi" w:cstheme="minorBidi"/>
          <w:spacing w:val="0"/>
          <w:kern w:val="2"/>
          <w:sz w:val="22"/>
          <w:szCs w:val="22"/>
          <w14:ligatures w14:val="standardContextual"/>
        </w:rPr>
      </w:pPr>
      <w:hyperlink w:anchor="_Toc184973669" w:history="1">
        <w:r w:rsidR="009A54DE" w:rsidRPr="00E9384F">
          <w:rPr>
            <w:rStyle w:val="Hyperlink"/>
          </w:rPr>
          <w:t>Evaluation of outcomes</w:t>
        </w:r>
        <w:r w:rsidR="009A54DE">
          <w:rPr>
            <w:webHidden/>
          </w:rPr>
          <w:tab/>
        </w:r>
        <w:r w:rsidR="009A54DE">
          <w:rPr>
            <w:webHidden/>
          </w:rPr>
          <w:fldChar w:fldCharType="begin"/>
        </w:r>
        <w:r w:rsidR="009A54DE">
          <w:rPr>
            <w:webHidden/>
          </w:rPr>
          <w:instrText xml:space="preserve"> PAGEREF _Toc184973669 \h </w:instrText>
        </w:r>
        <w:r w:rsidR="009A54DE">
          <w:rPr>
            <w:webHidden/>
          </w:rPr>
        </w:r>
        <w:r w:rsidR="009A54DE">
          <w:rPr>
            <w:webHidden/>
          </w:rPr>
          <w:fldChar w:fldCharType="separate"/>
        </w:r>
        <w:r w:rsidR="009A54DE">
          <w:rPr>
            <w:webHidden/>
          </w:rPr>
          <w:t>18</w:t>
        </w:r>
        <w:r w:rsidR="009A54DE">
          <w:rPr>
            <w:webHidden/>
          </w:rPr>
          <w:fldChar w:fldCharType="end"/>
        </w:r>
      </w:hyperlink>
    </w:p>
    <w:p w14:paraId="0E4DCFB0" w14:textId="4F7469FE" w:rsidR="004D56FF" w:rsidRPr="00A17B1B" w:rsidRDefault="00DF0799">
      <w:pPr>
        <w:rPr>
          <w:rFonts w:cs="Arial"/>
        </w:rPr>
        <w:sectPr w:rsidR="004D56FF" w:rsidRPr="00A17B1B" w:rsidSect="005A62E5">
          <w:headerReference w:type="even" r:id="rId20"/>
          <w:headerReference w:type="default" r:id="rId21"/>
          <w:footerReference w:type="even" r:id="rId22"/>
          <w:footerReference w:type="default" r:id="rId23"/>
          <w:footerReference w:type="first" r:id="rId24"/>
          <w:pgSz w:w="11906" w:h="16838" w:code="9"/>
          <w:pgMar w:top="1418" w:right="1418" w:bottom="1134" w:left="1418" w:header="709" w:footer="119" w:gutter="0"/>
          <w:pgNumType w:fmt="lowerRoman" w:start="3"/>
          <w:cols w:space="708"/>
          <w:titlePg/>
          <w:docGrid w:linePitch="360"/>
        </w:sectPr>
      </w:pPr>
      <w:r w:rsidRPr="00A17B1B">
        <w:rPr>
          <w:rFonts w:cs="Arial"/>
        </w:rPr>
        <w:fldChar w:fldCharType="end"/>
      </w:r>
    </w:p>
    <w:p w14:paraId="5A255972" w14:textId="593525D7" w:rsidR="009D6C71" w:rsidRPr="00A17B1B" w:rsidRDefault="009D6C71" w:rsidP="009174F3">
      <w:pPr>
        <w:pStyle w:val="Execsummaryheading"/>
      </w:pPr>
      <w:bookmarkStart w:id="1" w:name="_Toc184973647"/>
      <w:r w:rsidRPr="00A17B1B">
        <w:lastRenderedPageBreak/>
        <w:t>Executive summary</w:t>
      </w:r>
      <w:bookmarkEnd w:id="1"/>
    </w:p>
    <w:p w14:paraId="28183FD0" w14:textId="4DFA75A4" w:rsidR="008C73F4" w:rsidRDefault="006E7093" w:rsidP="00501AC9">
      <w:pPr>
        <w:pStyle w:val="Paragraph"/>
      </w:pPr>
      <w:r>
        <w:t>In</w:t>
      </w:r>
      <w:r w:rsidR="00033EA0">
        <w:t xml:space="preserve"> response to the growing interest for access to the upper 6</w:t>
      </w:r>
      <w:r w:rsidR="002D0D47">
        <w:t> GHz</w:t>
      </w:r>
      <w:r w:rsidR="00033EA0">
        <w:t xml:space="preserve"> band (6425</w:t>
      </w:r>
      <w:r w:rsidR="008C73F4">
        <w:t>–</w:t>
      </w:r>
      <w:r w:rsidR="00033EA0">
        <w:t>7125 MHz) for</w:t>
      </w:r>
      <w:r w:rsidR="00033EA0" w:rsidRPr="00033EA0">
        <w:t xml:space="preserve"> </w:t>
      </w:r>
      <w:r w:rsidR="008C73F4">
        <w:t>r</w:t>
      </w:r>
      <w:r w:rsidR="00033EA0">
        <w:t xml:space="preserve">adio </w:t>
      </w:r>
      <w:r w:rsidR="008C73F4">
        <w:t>l</w:t>
      </w:r>
      <w:r w:rsidR="00033EA0">
        <w:t xml:space="preserve">ocal </w:t>
      </w:r>
      <w:r w:rsidR="008C73F4">
        <w:t>a</w:t>
      </w:r>
      <w:r w:rsidR="00033EA0">
        <w:t xml:space="preserve">rea </w:t>
      </w:r>
      <w:r w:rsidR="008C73F4">
        <w:t>n</w:t>
      </w:r>
      <w:r w:rsidR="00033EA0">
        <w:t>etwork (RLAN) and wide-area wireless broadband (WA WBB) services,</w:t>
      </w:r>
      <w:r>
        <w:t xml:space="preserve"> </w:t>
      </w:r>
      <w:r w:rsidR="008C73F4">
        <w:t>we</w:t>
      </w:r>
      <w:r>
        <w:t xml:space="preserve"> released the </w:t>
      </w:r>
      <w:r w:rsidRPr="00B92BDF">
        <w:rPr>
          <w:i/>
          <w:iCs/>
        </w:rPr>
        <w:t>Future use of the upper 6</w:t>
      </w:r>
      <w:r w:rsidR="002D0D47">
        <w:rPr>
          <w:i/>
          <w:iCs/>
        </w:rPr>
        <w:t> GHz</w:t>
      </w:r>
      <w:r w:rsidRPr="00B92BDF">
        <w:rPr>
          <w:i/>
          <w:iCs/>
        </w:rPr>
        <w:t xml:space="preserve"> band</w:t>
      </w:r>
      <w:r w:rsidRPr="00AD3780">
        <w:rPr>
          <w:rStyle w:val="FootnoteReference"/>
        </w:rPr>
        <w:footnoteReference w:id="2"/>
      </w:r>
      <w:r w:rsidR="00033EA0">
        <w:rPr>
          <w:i/>
          <w:iCs/>
        </w:rPr>
        <w:t xml:space="preserve"> </w:t>
      </w:r>
      <w:r w:rsidR="008C73F4">
        <w:t>o</w:t>
      </w:r>
      <w:r w:rsidR="00033EA0" w:rsidRPr="00B31BD6">
        <w:t xml:space="preserve">ptions </w:t>
      </w:r>
      <w:r w:rsidR="008C73F4">
        <w:t>p</w:t>
      </w:r>
      <w:r w:rsidR="00033EA0" w:rsidRPr="00B31BD6">
        <w:t>aper</w:t>
      </w:r>
      <w:r w:rsidR="00033EA0">
        <w:t xml:space="preserve"> in June 2024</w:t>
      </w:r>
      <w:r w:rsidRPr="00033EA0">
        <w:t>.</w:t>
      </w:r>
      <w:r w:rsidR="00033EA0">
        <w:t xml:space="preserve"> </w:t>
      </w:r>
    </w:p>
    <w:p w14:paraId="351C6634" w14:textId="01F4D4C7" w:rsidR="00B27C4B" w:rsidRDefault="00B27C4B" w:rsidP="00501AC9">
      <w:pPr>
        <w:pStyle w:val="Paragraph"/>
      </w:pPr>
      <w:r>
        <w:t>T</w:t>
      </w:r>
      <w:r w:rsidR="00033EA0">
        <w:t xml:space="preserve">he </w:t>
      </w:r>
      <w:r w:rsidR="008C73F4">
        <w:t>p</w:t>
      </w:r>
      <w:r>
        <w:t>aper</w:t>
      </w:r>
      <w:r w:rsidRPr="00F723BE">
        <w:t xml:space="preserve"> </w:t>
      </w:r>
      <w:r w:rsidR="00DB697B">
        <w:t>sought views on</w:t>
      </w:r>
      <w:r w:rsidR="00DB697B" w:rsidRPr="00F723BE">
        <w:t xml:space="preserve"> </w:t>
      </w:r>
      <w:r w:rsidRPr="00F723BE">
        <w:t>planning options</w:t>
      </w:r>
      <w:r w:rsidR="00033EA0">
        <w:t xml:space="preserve"> to support the introduction of RLAN and/or WA WBB services in the upper 6</w:t>
      </w:r>
      <w:r w:rsidR="002D0D47">
        <w:t> GHz</w:t>
      </w:r>
      <w:r w:rsidR="00033EA0">
        <w:t xml:space="preserve"> band</w:t>
      </w:r>
      <w:r>
        <w:t xml:space="preserve"> and posed </w:t>
      </w:r>
      <w:r w:rsidR="008C73F4">
        <w:t xml:space="preserve">4 </w:t>
      </w:r>
      <w:r>
        <w:t xml:space="preserve">questions for comment. </w:t>
      </w:r>
      <w:r w:rsidR="008C73F4">
        <w:t>We received 29</w:t>
      </w:r>
      <w:r>
        <w:t xml:space="preserve"> responses, mainly </w:t>
      </w:r>
      <w:r w:rsidR="00033EA0">
        <w:t xml:space="preserve">supporting the introduction of </w:t>
      </w:r>
      <w:r>
        <w:t>either RLAN or WA WBB</w:t>
      </w:r>
      <w:r w:rsidR="00033EA0">
        <w:t xml:space="preserve"> services</w:t>
      </w:r>
      <w:r>
        <w:t xml:space="preserve">, </w:t>
      </w:r>
      <w:r w:rsidR="00033EA0">
        <w:t>supported by use</w:t>
      </w:r>
      <w:r w:rsidR="008C73F4">
        <w:t>-</w:t>
      </w:r>
      <w:r>
        <w:t>cases and evidence of the benefit of that use to Australia.</w:t>
      </w:r>
    </w:p>
    <w:p w14:paraId="3C8D3036" w14:textId="39C469AE" w:rsidR="00DB697B" w:rsidRDefault="00DB697B" w:rsidP="00501AC9">
      <w:pPr>
        <w:pStyle w:val="Paragraph"/>
      </w:pPr>
      <w:r>
        <w:t>We have undertaken a detailed consideration</w:t>
      </w:r>
      <w:r w:rsidR="009A1F41">
        <w:t xml:space="preserve"> of</w:t>
      </w:r>
      <w:r w:rsidR="00B27C4B">
        <w:t xml:space="preserve"> the information </w:t>
      </w:r>
      <w:r>
        <w:t xml:space="preserve">provided </w:t>
      </w:r>
      <w:r w:rsidR="00B27C4B">
        <w:t>in responses</w:t>
      </w:r>
      <w:r w:rsidR="00415EC3">
        <w:t xml:space="preserve"> </w:t>
      </w:r>
      <w:r>
        <w:t xml:space="preserve">to the </w:t>
      </w:r>
      <w:r w:rsidR="004C69C3">
        <w:t>o</w:t>
      </w:r>
      <w:r>
        <w:t xml:space="preserve">ptions </w:t>
      </w:r>
      <w:r w:rsidR="004C69C3">
        <w:t>p</w:t>
      </w:r>
      <w:r>
        <w:t xml:space="preserve">aper </w:t>
      </w:r>
      <w:r w:rsidR="00415EC3">
        <w:t xml:space="preserve">and </w:t>
      </w:r>
      <w:r w:rsidR="004C69C3">
        <w:t xml:space="preserve">assessed </w:t>
      </w:r>
      <w:r w:rsidR="00415EC3">
        <w:t xml:space="preserve">the options against </w:t>
      </w:r>
      <w:r>
        <w:t>the</w:t>
      </w:r>
      <w:r w:rsidR="00415EC3">
        <w:t xml:space="preserve"> desired planning outcomes</w:t>
      </w:r>
      <w:r>
        <w:t>.</w:t>
      </w:r>
      <w:r w:rsidR="00415EC3">
        <w:t xml:space="preserve"> </w:t>
      </w:r>
      <w:r>
        <w:t xml:space="preserve">While </w:t>
      </w:r>
      <w:r w:rsidR="004C69C3">
        <w:t>the</w:t>
      </w:r>
      <w:r>
        <w:t xml:space="preserve"> introduction of either RLAN or WA WBB services into the upper 6</w:t>
      </w:r>
      <w:r w:rsidR="002D0D47">
        <w:t> GHz</w:t>
      </w:r>
      <w:r>
        <w:t xml:space="preserve"> band would net significant economic and productivity benefits, there is not sufficient evidence to indicate that either application would require access to the entire band</w:t>
      </w:r>
      <w:r w:rsidR="000C2620">
        <w:t xml:space="preserve"> for the vast majority of use</w:t>
      </w:r>
      <w:r w:rsidR="004C69C3">
        <w:t>-</w:t>
      </w:r>
      <w:r w:rsidR="000C2620">
        <w:t>cases that either service would undertake to meet. Geographically, we also found that there is insufficient need for any new WA WBB arrangements to be introduced Australia</w:t>
      </w:r>
      <w:r w:rsidR="004C69C3">
        <w:t>-</w:t>
      </w:r>
      <w:r w:rsidR="000C2620">
        <w:t>wide.</w:t>
      </w:r>
    </w:p>
    <w:p w14:paraId="1F6A43C7" w14:textId="77777777" w:rsidR="005E3EF6" w:rsidRDefault="005133AF" w:rsidP="00383396">
      <w:pPr>
        <w:pStyle w:val="Paragraphbeforelist"/>
      </w:pPr>
      <w:r>
        <w:t>We have also been keeping abreast of international arrangements and deployments, including</w:t>
      </w:r>
      <w:r w:rsidR="005E3EF6">
        <w:t>:</w:t>
      </w:r>
    </w:p>
    <w:p w14:paraId="13D61F20" w14:textId="1179285A" w:rsidR="005E3EF6" w:rsidRDefault="005133AF" w:rsidP="005E3EF6">
      <w:pPr>
        <w:pStyle w:val="Bulletlevel1"/>
      </w:pPr>
      <w:r>
        <w:t>standardisation</w:t>
      </w:r>
    </w:p>
    <w:p w14:paraId="3533563E" w14:textId="303631DE" w:rsidR="005E3EF6" w:rsidRDefault="005133AF" w:rsidP="005E3EF6">
      <w:pPr>
        <w:pStyle w:val="Bulletlevel1"/>
      </w:pPr>
      <w:r>
        <w:t>industry developments</w:t>
      </w:r>
    </w:p>
    <w:p w14:paraId="1B2CA422" w14:textId="583303C1" w:rsidR="005E3EF6" w:rsidRDefault="0025106C" w:rsidP="005E3EF6">
      <w:pPr>
        <w:pStyle w:val="Bulletlevel1"/>
      </w:pPr>
      <w:r>
        <w:t>national regulatory arrangements</w:t>
      </w:r>
    </w:p>
    <w:p w14:paraId="79E9290E" w14:textId="0FD77D2D" w:rsidR="005E3EF6" w:rsidRDefault="00CA03C2" w:rsidP="005E3EF6">
      <w:pPr>
        <w:pStyle w:val="Bulletlevel1last"/>
      </w:pPr>
      <w:r>
        <w:t>spectrum</w:t>
      </w:r>
      <w:r w:rsidR="005133AF">
        <w:t xml:space="preserve"> harmonisation through the International Telecommunication Union (ITU) processes. </w:t>
      </w:r>
    </w:p>
    <w:p w14:paraId="7FD9159B" w14:textId="30761CB0" w:rsidR="005133AF" w:rsidRDefault="005E3EF6" w:rsidP="005E3EF6">
      <w:pPr>
        <w:pStyle w:val="Paragraph"/>
      </w:pPr>
      <w:r>
        <w:t>T</w:t>
      </w:r>
      <w:r w:rsidR="00CA03C2">
        <w:t xml:space="preserve">here is an established market for RLAN </w:t>
      </w:r>
      <w:r w:rsidR="0025106C">
        <w:t xml:space="preserve">(specifically Wi-Fi) </w:t>
      </w:r>
      <w:r w:rsidR="00CA03C2">
        <w:t xml:space="preserve">devices, in particular in North America, that operate in the band. We also note that the </w:t>
      </w:r>
      <w:r w:rsidR="005D3F5E">
        <w:t xml:space="preserve">entire </w:t>
      </w:r>
      <w:r w:rsidR="00CA03C2">
        <w:t xml:space="preserve">band has been </w:t>
      </w:r>
      <w:r w:rsidR="0025106C">
        <w:t>identified in key markets such as Europe and Africa for International Mobile Telecommunications (IMT) in the ITU Radio Regulations – a key market signal on potential WA WBB use of the band in those markets</w:t>
      </w:r>
      <w:r>
        <w:t>. H</w:t>
      </w:r>
      <w:r w:rsidR="0025106C">
        <w:t>owever</w:t>
      </w:r>
      <w:r>
        <w:t>,</w:t>
      </w:r>
      <w:r w:rsidR="0025106C">
        <w:t xml:space="preserve"> national/regional regulatory arrangements to support WA WBB deployments are less mature and </w:t>
      </w:r>
      <w:r w:rsidR="00384BA7">
        <w:t xml:space="preserve">we </w:t>
      </w:r>
      <w:r w:rsidR="0025106C">
        <w:t xml:space="preserve">continue to </w:t>
      </w:r>
      <w:r>
        <w:t xml:space="preserve">monitor </w:t>
      </w:r>
      <w:r w:rsidR="0025106C">
        <w:t xml:space="preserve">these developments. </w:t>
      </w:r>
      <w:r w:rsidR="0025106C" w:rsidRPr="00B066C3">
        <w:t>Other established WA WBB equipment markets outside these areas do exist, but they do not readily translate to the Australian market.</w:t>
      </w:r>
    </w:p>
    <w:p w14:paraId="340AFD54" w14:textId="5C3641ED" w:rsidR="00B27C4B" w:rsidRDefault="005E3EF6" w:rsidP="00B31BD6">
      <w:pPr>
        <w:pStyle w:val="Paragraphbeforelist"/>
      </w:pPr>
      <w:r>
        <w:t>W</w:t>
      </w:r>
      <w:r w:rsidR="00415EC3">
        <w:t>e have</w:t>
      </w:r>
      <w:r w:rsidR="00B27C4B">
        <w:t xml:space="preserve"> decided </w:t>
      </w:r>
      <w:r w:rsidR="00415EC3">
        <w:t xml:space="preserve">that the </w:t>
      </w:r>
      <w:r w:rsidR="00DB697B">
        <w:t xml:space="preserve">best use of the band </w:t>
      </w:r>
      <w:r w:rsidR="0028233E">
        <w:t>will</w:t>
      </w:r>
      <w:r w:rsidR="00DB697B">
        <w:t xml:space="preserve"> be achieved by </w:t>
      </w:r>
      <w:r w:rsidR="0028233E">
        <w:t xml:space="preserve">making arrangements for both services on a frequency split basis, consistent with the so-called </w:t>
      </w:r>
      <w:r>
        <w:t>‘</w:t>
      </w:r>
      <w:r w:rsidR="0028233E">
        <w:t>hybrid</w:t>
      </w:r>
      <w:r>
        <w:t>’</w:t>
      </w:r>
      <w:r w:rsidR="0028233E">
        <w:t xml:space="preserve"> option presented in our </w:t>
      </w:r>
      <w:r>
        <w:t>p</w:t>
      </w:r>
      <w:r w:rsidR="0028233E">
        <w:t>aper. Specifically</w:t>
      </w:r>
      <w:r w:rsidR="00415EC3">
        <w:t>, we have decided</w:t>
      </w:r>
      <w:r w:rsidR="00B27C4B">
        <w:t>:</w:t>
      </w:r>
    </w:p>
    <w:p w14:paraId="24A54E1E" w14:textId="120E036C" w:rsidR="00B27C4B" w:rsidRDefault="00415EC3" w:rsidP="00B31BD6">
      <w:pPr>
        <w:pStyle w:val="Bulletlevel1"/>
      </w:pPr>
      <w:r w:rsidRPr="00B96E4A">
        <w:rPr>
          <w:b/>
          <w:bCs/>
        </w:rPr>
        <w:t xml:space="preserve">To include the frequency range </w:t>
      </w:r>
      <w:r w:rsidR="00B27C4B" w:rsidRPr="00B96E4A">
        <w:rPr>
          <w:b/>
          <w:bCs/>
        </w:rPr>
        <w:t xml:space="preserve">6425–6585 MHz </w:t>
      </w:r>
      <w:r w:rsidRPr="00B96E4A">
        <w:rPr>
          <w:b/>
          <w:bCs/>
        </w:rPr>
        <w:t>in</w:t>
      </w:r>
      <w:r w:rsidR="00B27C4B" w:rsidRPr="00B96E4A">
        <w:rPr>
          <w:b/>
          <w:bCs/>
        </w:rPr>
        <w:t xml:space="preserve">to the </w:t>
      </w:r>
      <w:r w:rsidRPr="00B96E4A">
        <w:rPr>
          <w:b/>
          <w:bCs/>
        </w:rPr>
        <w:t>Radiocommunications (Low Interference Potential Devices) Class licence 2015 (</w:t>
      </w:r>
      <w:r w:rsidR="00B27C4B" w:rsidRPr="00B96E4A">
        <w:rPr>
          <w:b/>
          <w:bCs/>
        </w:rPr>
        <w:t>LIPD class licence</w:t>
      </w:r>
      <w:r w:rsidRPr="00B96E4A">
        <w:rPr>
          <w:b/>
          <w:bCs/>
        </w:rPr>
        <w:t>)</w:t>
      </w:r>
      <w:r w:rsidR="005D3F5E" w:rsidRPr="00B96E4A">
        <w:rPr>
          <w:b/>
          <w:bCs/>
        </w:rPr>
        <w:t xml:space="preserve">, when it is next updated, </w:t>
      </w:r>
      <w:r w:rsidR="00B27C4B" w:rsidRPr="00B96E4A">
        <w:rPr>
          <w:b/>
          <w:bCs/>
        </w:rPr>
        <w:t>to support RLAN use</w:t>
      </w:r>
      <w:r w:rsidR="0028233E" w:rsidRPr="00B96E4A">
        <w:rPr>
          <w:b/>
          <w:bCs/>
        </w:rPr>
        <w:t>.</w:t>
      </w:r>
      <w:r w:rsidR="0028233E">
        <w:t xml:space="preserve"> When aggregated with the existing </w:t>
      </w:r>
      <w:r w:rsidR="005E3EF6">
        <w:br/>
      </w:r>
      <w:r w:rsidR="0028233E">
        <w:t>500 MHz already in place for RLANs in the lower 6</w:t>
      </w:r>
      <w:r w:rsidR="002D0D47">
        <w:t> GHz</w:t>
      </w:r>
      <w:r w:rsidR="0028233E">
        <w:t xml:space="preserve"> band (5925</w:t>
      </w:r>
      <w:r w:rsidR="005E3EF6">
        <w:t>–</w:t>
      </w:r>
      <w:r w:rsidR="0028233E">
        <w:t>6425 MHz)</w:t>
      </w:r>
      <w:r w:rsidR="005E3EF6">
        <w:t>,</w:t>
      </w:r>
      <w:r w:rsidR="0028233E">
        <w:t xml:space="preserve"> this means that </w:t>
      </w:r>
      <w:r w:rsidR="005E3EF6">
        <w:t xml:space="preserve">2 x </w:t>
      </w:r>
      <w:r w:rsidR="0028233E">
        <w:t xml:space="preserve">320 MHz, </w:t>
      </w:r>
      <w:r w:rsidR="005E3EF6">
        <w:t>4 x</w:t>
      </w:r>
      <w:r w:rsidR="0028233E">
        <w:t xml:space="preserve"> 160 MHz or various other combinations of 40, 80 160 and/or 320 MHz Wi-Fi channels </w:t>
      </w:r>
      <w:r w:rsidR="005E3EF6">
        <w:t>can</w:t>
      </w:r>
      <w:r w:rsidR="0028233E">
        <w:t xml:space="preserve"> be used in a given location</w:t>
      </w:r>
      <w:r w:rsidR="001815F7">
        <w:t xml:space="preserve">. These new arrangements </w:t>
      </w:r>
      <w:r w:rsidR="00415668">
        <w:br/>
      </w:r>
      <w:r w:rsidR="001815F7">
        <w:t xml:space="preserve">will come into effect when we remake the LIPD class licence </w:t>
      </w:r>
      <w:r w:rsidR="00384BA7">
        <w:t xml:space="preserve">before it </w:t>
      </w:r>
      <w:r w:rsidR="001815F7">
        <w:t>sunset</w:t>
      </w:r>
      <w:r w:rsidR="00384BA7">
        <w:t xml:space="preserve">s in </w:t>
      </w:r>
      <w:r w:rsidR="00415668">
        <w:br/>
      </w:r>
      <w:r w:rsidR="00384BA7">
        <w:t>October 2025.</w:t>
      </w:r>
    </w:p>
    <w:p w14:paraId="0899679B" w14:textId="07632CAE" w:rsidR="00522E43" w:rsidRPr="00E162C4" w:rsidRDefault="00427194" w:rsidP="00B31BD6">
      <w:pPr>
        <w:pStyle w:val="Bulletlevel1"/>
      </w:pPr>
      <w:r w:rsidRPr="00A50249">
        <w:rPr>
          <w:b/>
          <w:bCs/>
        </w:rPr>
        <w:lastRenderedPageBreak/>
        <w:t>T</w:t>
      </w:r>
      <w:r w:rsidR="00415EC3" w:rsidRPr="00A50249">
        <w:rPr>
          <w:b/>
          <w:bCs/>
        </w:rPr>
        <w:t>h</w:t>
      </w:r>
      <w:r w:rsidR="00FB0573" w:rsidRPr="00A50249">
        <w:rPr>
          <w:b/>
          <w:bCs/>
        </w:rPr>
        <w:t>at th</w:t>
      </w:r>
      <w:r w:rsidR="00415EC3" w:rsidRPr="00A50249">
        <w:rPr>
          <w:b/>
          <w:bCs/>
        </w:rPr>
        <w:t>e frequency range</w:t>
      </w:r>
      <w:r w:rsidR="00B27C4B" w:rsidRPr="00A50249">
        <w:rPr>
          <w:b/>
          <w:bCs/>
        </w:rPr>
        <w:t xml:space="preserve"> for 6585</w:t>
      </w:r>
      <w:r w:rsidRPr="00A50249">
        <w:rPr>
          <w:rStyle w:val="FootnoteReference"/>
          <w:b/>
          <w:bCs/>
        </w:rPr>
        <w:footnoteReference w:id="3"/>
      </w:r>
      <w:r w:rsidR="00B27C4B" w:rsidRPr="00A50249">
        <w:rPr>
          <w:b/>
          <w:bCs/>
        </w:rPr>
        <w:t>–7100 MHz</w:t>
      </w:r>
      <w:r w:rsidRPr="00A50249">
        <w:rPr>
          <w:b/>
          <w:bCs/>
        </w:rPr>
        <w:t xml:space="preserve"> will be reserved for WA WBB</w:t>
      </w:r>
      <w:r w:rsidR="00B27C4B" w:rsidRPr="00A50249">
        <w:rPr>
          <w:b/>
          <w:bCs/>
        </w:rPr>
        <w:t xml:space="preserve"> in ye</w:t>
      </w:r>
      <w:r w:rsidR="00522E43" w:rsidRPr="00A50249">
        <w:rPr>
          <w:b/>
          <w:bCs/>
        </w:rPr>
        <w:t>t to be defined</w:t>
      </w:r>
      <w:r w:rsidR="00B27C4B" w:rsidRPr="00A50249">
        <w:rPr>
          <w:b/>
          <w:bCs/>
        </w:rPr>
        <w:t xml:space="preserve"> metro areas/regional centres</w:t>
      </w:r>
      <w:r w:rsidR="00415668">
        <w:rPr>
          <w:b/>
          <w:bCs/>
        </w:rPr>
        <w:t xml:space="preserve">. </w:t>
      </w:r>
      <w:r w:rsidR="00415668" w:rsidRPr="002F070B">
        <w:t xml:space="preserve">We refer to these </w:t>
      </w:r>
      <w:r w:rsidR="00021257" w:rsidRPr="00415668">
        <w:t>as</w:t>
      </w:r>
      <w:r w:rsidR="00522E43" w:rsidRPr="00415668">
        <w:t xml:space="preserve"> ‘defined </w:t>
      </w:r>
      <w:r w:rsidR="00384BA7" w:rsidRPr="00415668">
        <w:t xml:space="preserve">population </w:t>
      </w:r>
      <w:r w:rsidR="00522E43" w:rsidRPr="00415668">
        <w:t>areas’ in this paper</w:t>
      </w:r>
      <w:r w:rsidR="005E3EF6" w:rsidRPr="00672254">
        <w:t>.</w:t>
      </w:r>
      <w:r w:rsidR="00522E43" w:rsidRPr="00415668">
        <w:rPr>
          <w:rStyle w:val="FootnoteReference"/>
        </w:rPr>
        <w:footnoteReference w:id="4"/>
      </w:r>
      <w:r w:rsidR="005E3EF6">
        <w:t xml:space="preserve"> This is</w:t>
      </w:r>
      <w:r w:rsidR="00522E43">
        <w:t xml:space="preserve"> </w:t>
      </w:r>
      <w:r w:rsidRPr="00F000BD">
        <w:t xml:space="preserve">subject to </w:t>
      </w:r>
      <w:r w:rsidR="00415668">
        <w:t>us</w:t>
      </w:r>
      <w:r w:rsidRPr="00F000BD">
        <w:t xml:space="preserve"> being satisfied that the market for the manufacturing of equipment in this frequency range to support WA WBB will be established.</w:t>
      </w:r>
      <w:r>
        <w:rPr>
          <w:b/>
          <w:bCs/>
          <w:i/>
          <w:iCs/>
        </w:rPr>
        <w:t> </w:t>
      </w:r>
      <w:r w:rsidRPr="00F000BD">
        <w:t xml:space="preserve">The development of such </w:t>
      </w:r>
      <w:r w:rsidR="00021257">
        <w:t xml:space="preserve">equipment </w:t>
      </w:r>
      <w:r w:rsidRPr="00F000BD">
        <w:t xml:space="preserve">manufacturing is dependent on international regulatory bodies such as the </w:t>
      </w:r>
      <w:r w:rsidR="007013B4">
        <w:t>European Conference of Postal and Telecommunications Administrations (</w:t>
      </w:r>
      <w:r w:rsidRPr="00F000BD">
        <w:t>CEPT</w:t>
      </w:r>
      <w:r w:rsidR="007013B4">
        <w:t>)</w:t>
      </w:r>
      <w:r w:rsidRPr="00F000BD">
        <w:t xml:space="preserve"> </w:t>
      </w:r>
      <w:r w:rsidRPr="002759AE">
        <w:rPr>
          <w:color w:val="000000" w:themeColor="text1"/>
        </w:rPr>
        <w:t xml:space="preserve">and/or the Indian administration </w:t>
      </w:r>
      <w:r w:rsidRPr="00F000BD">
        <w:t>indicating they are inclined to allocate spectrum in this range for WA WBB. The earliest date that we may get an understanding of where CEPT is heading is March 2025, when they release their interim coexistence study.</w:t>
      </w:r>
      <w:r w:rsidR="00FB0573">
        <w:rPr>
          <w:rStyle w:val="FootnoteReference"/>
        </w:rPr>
        <w:footnoteReference w:id="5"/>
      </w:r>
      <w:r w:rsidRPr="00F000BD">
        <w:t> </w:t>
      </w:r>
      <w:r w:rsidR="004C4300">
        <w:t>W</w:t>
      </w:r>
      <w:r w:rsidR="00522E43">
        <w:t>e will not commence implement</w:t>
      </w:r>
      <w:r w:rsidR="00021257">
        <w:t>ing</w:t>
      </w:r>
      <w:r w:rsidR="00522E43">
        <w:t xml:space="preserve"> </w:t>
      </w:r>
      <w:r w:rsidR="00623D3A">
        <w:t xml:space="preserve">WA WBB </w:t>
      </w:r>
      <w:r w:rsidR="00522E43">
        <w:t>arrangement</w:t>
      </w:r>
      <w:r w:rsidR="0028233E">
        <w:t>s</w:t>
      </w:r>
      <w:r w:rsidR="00522E43">
        <w:t xml:space="preserve"> until th</w:t>
      </w:r>
      <w:r w:rsidR="00623D3A">
        <w:t>is</w:t>
      </w:r>
      <w:r w:rsidR="00522E43">
        <w:t xml:space="preserve"> uncertainty surrounding the future </w:t>
      </w:r>
      <w:r w:rsidR="0028233E">
        <w:t>establishment</w:t>
      </w:r>
      <w:r w:rsidR="00522E43">
        <w:t xml:space="preserve"> of suitable equipment </w:t>
      </w:r>
      <w:r w:rsidR="0028233E">
        <w:t xml:space="preserve">markets </w:t>
      </w:r>
      <w:r w:rsidR="00522E43">
        <w:t>has been resolved</w:t>
      </w:r>
      <w:r w:rsidR="004C4300">
        <w:t xml:space="preserve">. </w:t>
      </w:r>
      <w:r w:rsidR="00184CFF" w:rsidRPr="00F000BD">
        <w:t>If relevant internation</w:t>
      </w:r>
      <w:r w:rsidR="00184CFF">
        <w:t>al</w:t>
      </w:r>
      <w:r w:rsidR="00184CFF" w:rsidRPr="00F000BD">
        <w:t xml:space="preserve"> markets are inclined not to allocate this spectrum range for WA WBB</w:t>
      </w:r>
      <w:r w:rsidR="00415668">
        <w:t xml:space="preserve">, we </w:t>
      </w:r>
      <w:r w:rsidR="00184CFF" w:rsidRPr="00F000BD">
        <w:t xml:space="preserve">will update stakeholders on </w:t>
      </w:r>
      <w:r w:rsidR="00415668">
        <w:t xml:space="preserve">our </w:t>
      </w:r>
      <w:r w:rsidR="00184CFF" w:rsidRPr="00F000BD">
        <w:t>position</w:t>
      </w:r>
      <w:r w:rsidR="00696A02">
        <w:t>.</w:t>
      </w:r>
      <w:r w:rsidR="00184CFF" w:rsidDel="004E6705">
        <w:t xml:space="preserve"> </w:t>
      </w:r>
    </w:p>
    <w:p w14:paraId="792794C1" w14:textId="094130A7" w:rsidR="00522E43" w:rsidRPr="004E04BB" w:rsidRDefault="00522E43" w:rsidP="00522E43">
      <w:pPr>
        <w:pStyle w:val="Bulletlevel1"/>
      </w:pPr>
      <w:r w:rsidRPr="0081658F">
        <w:rPr>
          <w:b/>
          <w:bCs/>
        </w:rPr>
        <w:t>In the range 6585</w:t>
      </w:r>
      <w:r w:rsidR="00415668">
        <w:rPr>
          <w:b/>
          <w:bCs/>
        </w:rPr>
        <w:t>–</w:t>
      </w:r>
      <w:r w:rsidRPr="0081658F">
        <w:rPr>
          <w:b/>
          <w:bCs/>
        </w:rPr>
        <w:t xml:space="preserve">7100 MHz (minus a potential guard band) outside defined </w:t>
      </w:r>
      <w:r w:rsidR="0079718A" w:rsidRPr="0081658F">
        <w:rPr>
          <w:b/>
          <w:bCs/>
        </w:rPr>
        <w:t xml:space="preserve">population </w:t>
      </w:r>
      <w:r w:rsidRPr="0081658F">
        <w:rPr>
          <w:b/>
          <w:bCs/>
        </w:rPr>
        <w:t>areas, we will consult on the introduction of arrangements that support apparatus</w:t>
      </w:r>
      <w:r w:rsidR="00415668">
        <w:rPr>
          <w:b/>
          <w:bCs/>
        </w:rPr>
        <w:t>-</w:t>
      </w:r>
      <w:r w:rsidRPr="0081658F">
        <w:rPr>
          <w:b/>
          <w:bCs/>
        </w:rPr>
        <w:t>licensed WBB services on a coordinated basis with incumbent services.</w:t>
      </w:r>
      <w:r>
        <w:t xml:space="preserve"> This would provide access for </w:t>
      </w:r>
      <w:r w:rsidR="006375E8">
        <w:t>localised</w:t>
      </w:r>
      <w:r w:rsidR="00033EA0">
        <w:t xml:space="preserve"> </w:t>
      </w:r>
      <w:r>
        <w:t xml:space="preserve">WBB </w:t>
      </w:r>
      <w:r w:rsidR="006375E8">
        <w:t>access to the band. This would be suitable for a range of WBB use</w:t>
      </w:r>
      <w:r w:rsidR="00415668">
        <w:t>-</w:t>
      </w:r>
      <w:r w:rsidR="006375E8">
        <w:t>cases, including expanding the capacity W</w:t>
      </w:r>
      <w:r w:rsidR="0079718A">
        <w:t>B</w:t>
      </w:r>
      <w:r w:rsidR="006375E8">
        <w:t>B networks in other bands</w:t>
      </w:r>
      <w:r w:rsidR="00415668">
        <w:t>,</w:t>
      </w:r>
      <w:r w:rsidR="006375E8">
        <w:t xml:space="preserve"> as well as for </w:t>
      </w:r>
      <w:r>
        <w:t>wireless internet service providers or private networks using Wi-Fi technologies</w:t>
      </w:r>
      <w:r w:rsidR="00FD54C9">
        <w:t xml:space="preserve"> (including </w:t>
      </w:r>
      <w:r w:rsidR="00415668">
        <w:t>‘</w:t>
      </w:r>
      <w:r w:rsidR="00FD54C9">
        <w:t>standard power</w:t>
      </w:r>
      <w:r w:rsidR="00415668">
        <w:t>’</w:t>
      </w:r>
      <w:r w:rsidR="00FD54C9">
        <w:t xml:space="preserve"> Wi-Fi on a coordinated basis)</w:t>
      </w:r>
      <w:r w:rsidR="006375E8">
        <w:t>, or</w:t>
      </w:r>
      <w:r w:rsidR="000A083E">
        <w:t xml:space="preserve"> IMT-based technologies when equipment becomes available</w:t>
      </w:r>
      <w:r>
        <w:t xml:space="preserve">. </w:t>
      </w:r>
      <w:r w:rsidRPr="004E04BB">
        <w:t xml:space="preserve"> </w:t>
      </w:r>
    </w:p>
    <w:p w14:paraId="105131EF" w14:textId="1BAFF971" w:rsidR="00843C0B" w:rsidRDefault="00754418" w:rsidP="00843C0B">
      <w:pPr>
        <w:pStyle w:val="Heading1"/>
      </w:pPr>
      <w:bookmarkStart w:id="2" w:name="_Introduction"/>
      <w:bookmarkStart w:id="3" w:name="_Toc184973648"/>
      <w:bookmarkStart w:id="4" w:name="_Toc298924672"/>
      <w:bookmarkStart w:id="5" w:name="_Toc300909555"/>
      <w:bookmarkStart w:id="6" w:name="_Toc348105636"/>
      <w:bookmarkEnd w:id="2"/>
      <w:r>
        <w:lastRenderedPageBreak/>
        <w:t>Introduction</w:t>
      </w:r>
      <w:bookmarkEnd w:id="3"/>
    </w:p>
    <w:p w14:paraId="085ACA1A" w14:textId="1C7FF457" w:rsidR="0020690E" w:rsidRDefault="0020690E" w:rsidP="003543DD">
      <w:pPr>
        <w:pStyle w:val="Paragraph"/>
      </w:pPr>
      <w:r>
        <w:t>The upper 6</w:t>
      </w:r>
      <w:r w:rsidR="002D0D47">
        <w:t> GHz</w:t>
      </w:r>
      <w:r>
        <w:t xml:space="preserve"> band (6425</w:t>
      </w:r>
      <w:r w:rsidR="004C46AA">
        <w:t>–</w:t>
      </w:r>
      <w:r>
        <w:t xml:space="preserve">7125 MHz) has received significant interest, both domestically and internationally, for the </w:t>
      </w:r>
      <w:r w:rsidR="0005700C">
        <w:t>potential</w:t>
      </w:r>
      <w:r>
        <w:t xml:space="preserve"> introduction of</w:t>
      </w:r>
      <w:r w:rsidR="00380830">
        <w:t xml:space="preserve"> </w:t>
      </w:r>
      <w:r>
        <w:t>RLAN and WA WBB services. In Australia, thi</w:t>
      </w:r>
      <w:r w:rsidR="0005700C">
        <w:t xml:space="preserve">s band is used by fixed satellite services, point-to-point fixed links and television outside broadcast services. </w:t>
      </w:r>
      <w:r w:rsidR="002A7A52">
        <w:rPr>
          <w:bCs/>
        </w:rPr>
        <w:t xml:space="preserve">Current planning arrangements do not support the </w:t>
      </w:r>
      <w:r w:rsidR="008B24DA">
        <w:rPr>
          <w:bCs/>
        </w:rPr>
        <w:t xml:space="preserve">widespread </w:t>
      </w:r>
      <w:r w:rsidR="002A7A52">
        <w:rPr>
          <w:bCs/>
        </w:rPr>
        <w:t>introduction of RLAN or WA WBB services in the upper 6</w:t>
      </w:r>
      <w:r w:rsidR="002D0D47">
        <w:rPr>
          <w:bCs/>
        </w:rPr>
        <w:t> GHz</w:t>
      </w:r>
      <w:r w:rsidR="002A7A52">
        <w:rPr>
          <w:bCs/>
        </w:rPr>
        <w:t xml:space="preserve"> without </w:t>
      </w:r>
      <w:r w:rsidR="004C46AA">
        <w:rPr>
          <w:bCs/>
        </w:rPr>
        <w:t xml:space="preserve">our </w:t>
      </w:r>
      <w:r w:rsidR="002A7A52">
        <w:rPr>
          <w:bCs/>
        </w:rPr>
        <w:t>intervention.</w:t>
      </w:r>
    </w:p>
    <w:p w14:paraId="20EE709E" w14:textId="643F8284" w:rsidR="00262613" w:rsidRDefault="00D5349F" w:rsidP="003543DD">
      <w:pPr>
        <w:pStyle w:val="Paragraph"/>
        <w:rPr>
          <w:bCs/>
        </w:rPr>
      </w:pPr>
      <w:r>
        <w:t>In June 2024</w:t>
      </w:r>
      <w:r w:rsidR="008B24DA">
        <w:t>,</w:t>
      </w:r>
      <w:r>
        <w:t xml:space="preserve"> </w:t>
      </w:r>
      <w:r w:rsidR="004C46AA">
        <w:t>we</w:t>
      </w:r>
      <w:r>
        <w:t xml:space="preserve"> released </w:t>
      </w:r>
      <w:r w:rsidR="004C46AA">
        <w:t>the</w:t>
      </w:r>
      <w:r>
        <w:t xml:space="preserve"> </w:t>
      </w:r>
      <w:r w:rsidR="00B92BDF" w:rsidRPr="00B92BDF">
        <w:rPr>
          <w:i/>
          <w:iCs/>
        </w:rPr>
        <w:t>Future use of the upper 6</w:t>
      </w:r>
      <w:r w:rsidR="002D0D47">
        <w:rPr>
          <w:i/>
          <w:iCs/>
        </w:rPr>
        <w:t> GHz</w:t>
      </w:r>
      <w:r w:rsidR="00B92BDF" w:rsidRPr="00B92BDF">
        <w:rPr>
          <w:i/>
          <w:iCs/>
        </w:rPr>
        <w:t xml:space="preserve"> band</w:t>
      </w:r>
      <w:r w:rsidR="004C46AA">
        <w:rPr>
          <w:i/>
          <w:iCs/>
        </w:rPr>
        <w:t xml:space="preserve"> </w:t>
      </w:r>
      <w:r w:rsidR="004C46AA" w:rsidRPr="00F7266C">
        <w:t>options paper</w:t>
      </w:r>
      <w:r w:rsidR="004C46AA">
        <w:t>.</w:t>
      </w:r>
      <w:r w:rsidR="00604229" w:rsidRPr="00F7266C">
        <w:rPr>
          <w:rStyle w:val="FootnoteReference"/>
        </w:rPr>
        <w:footnoteReference w:id="6"/>
      </w:r>
      <w:r w:rsidR="00B92BDF">
        <w:t xml:space="preserve"> </w:t>
      </w:r>
      <w:r w:rsidR="004C46AA">
        <w:t xml:space="preserve">It </w:t>
      </w:r>
      <w:r w:rsidR="00364C41" w:rsidRPr="00033E36">
        <w:t>identifie</w:t>
      </w:r>
      <w:r w:rsidR="00364C41">
        <w:t>d</w:t>
      </w:r>
      <w:r w:rsidR="00364C41" w:rsidRPr="00033E36">
        <w:t xml:space="preserve"> domestic and international considerations for the future use of the upper 6</w:t>
      </w:r>
      <w:r w:rsidR="002D0D47">
        <w:t> GHz</w:t>
      </w:r>
      <w:r w:rsidR="00364C41" w:rsidRPr="00033E36">
        <w:t xml:space="preserve"> band and present</w:t>
      </w:r>
      <w:r w:rsidR="00BD3398">
        <w:t>ed</w:t>
      </w:r>
      <w:r w:rsidR="00364C41" w:rsidRPr="00033E36">
        <w:t xml:space="preserve"> options for potential planning arrangements to enable RLAN and/or </w:t>
      </w:r>
      <w:r w:rsidR="00364C41">
        <w:t xml:space="preserve">WA </w:t>
      </w:r>
      <w:r w:rsidR="00364C41" w:rsidRPr="00033E36">
        <w:t>WBB use in the band.</w:t>
      </w:r>
      <w:r w:rsidR="00364C41" w:rsidRPr="00033E36">
        <w:rPr>
          <w:bCs/>
        </w:rPr>
        <w:t xml:space="preserve"> </w:t>
      </w:r>
    </w:p>
    <w:p w14:paraId="1ECDDE67" w14:textId="54C31C87" w:rsidR="00961BF8" w:rsidRDefault="00F058BE" w:rsidP="003543DD">
      <w:pPr>
        <w:pStyle w:val="Paragraph"/>
      </w:pPr>
      <w:r>
        <w:t xml:space="preserve">The </w:t>
      </w:r>
      <w:r w:rsidR="004C46AA">
        <w:t>p</w:t>
      </w:r>
      <w:r w:rsidR="00262613">
        <w:t xml:space="preserve">aper </w:t>
      </w:r>
      <w:r w:rsidR="00364C41" w:rsidRPr="00033E36">
        <w:t xml:space="preserve">also </w:t>
      </w:r>
      <w:r w:rsidR="00364C41">
        <w:t>explore</w:t>
      </w:r>
      <w:r w:rsidR="00BD3398">
        <w:t>d</w:t>
      </w:r>
      <w:r w:rsidR="00364C41" w:rsidRPr="00033E36">
        <w:t xml:space="preserve"> the potential use of dynamic spectrum allocations systems, such as </w:t>
      </w:r>
      <w:r w:rsidR="004C46AA">
        <w:t>a</w:t>
      </w:r>
      <w:r w:rsidR="00364C41">
        <w:t>utomated</w:t>
      </w:r>
      <w:r w:rsidR="00364C41" w:rsidRPr="00033E36">
        <w:t xml:space="preserve"> </w:t>
      </w:r>
      <w:r w:rsidR="004C46AA">
        <w:t>f</w:t>
      </w:r>
      <w:r w:rsidR="00364C41" w:rsidRPr="00033E36">
        <w:t xml:space="preserve">requency </w:t>
      </w:r>
      <w:r w:rsidR="004C46AA">
        <w:t>c</w:t>
      </w:r>
      <w:r w:rsidR="00364C41">
        <w:t>oordination</w:t>
      </w:r>
      <w:r w:rsidR="00364C41" w:rsidRPr="00033E36">
        <w:t xml:space="preserve"> (AFC), to lessen power restrictions on RLAN use in existing (and potentially future) RLAN frequency bands.</w:t>
      </w:r>
      <w:r w:rsidR="002A7A52">
        <w:t xml:space="preserve"> We will continue to consider these issues as part of a separate process.</w:t>
      </w:r>
    </w:p>
    <w:p w14:paraId="60B672FB" w14:textId="1DA59B21" w:rsidR="00AD49C6" w:rsidRPr="00F723BE" w:rsidRDefault="00AD49C6" w:rsidP="00B31BD6">
      <w:pPr>
        <w:pStyle w:val="Paragraphbeforelist"/>
      </w:pPr>
      <w:r w:rsidRPr="00F723BE">
        <w:t xml:space="preserve">The </w:t>
      </w:r>
      <w:r w:rsidR="004C46AA">
        <w:t>o</w:t>
      </w:r>
      <w:r w:rsidRPr="00F723BE">
        <w:t xml:space="preserve">ptions </w:t>
      </w:r>
      <w:r w:rsidR="004C46AA">
        <w:t>p</w:t>
      </w:r>
      <w:r w:rsidRPr="00F723BE">
        <w:t xml:space="preserve">aper </w:t>
      </w:r>
      <w:r w:rsidR="008B24DA">
        <w:t xml:space="preserve">sought views </w:t>
      </w:r>
      <w:r w:rsidR="00AE1AED">
        <w:t>and posed questions about the</w:t>
      </w:r>
      <w:r w:rsidR="008B24DA" w:rsidRPr="00F723BE">
        <w:t xml:space="preserve"> </w:t>
      </w:r>
      <w:r w:rsidR="004C46AA">
        <w:t>4</w:t>
      </w:r>
      <w:r w:rsidR="004C46AA" w:rsidRPr="00F723BE">
        <w:t xml:space="preserve"> </w:t>
      </w:r>
      <w:r w:rsidRPr="00F723BE">
        <w:t>planning options</w:t>
      </w:r>
      <w:r w:rsidR="008B24DA">
        <w:t xml:space="preserve"> and sought detailed information on how the proposed new services would benefit end users</w:t>
      </w:r>
      <w:r w:rsidR="004C46AA">
        <w:t>,</w:t>
      </w:r>
      <w:r w:rsidR="008B24DA">
        <w:t xml:space="preserve"> and evidence on the demand for these services. The </w:t>
      </w:r>
      <w:r w:rsidR="004C46AA">
        <w:t xml:space="preserve">4 </w:t>
      </w:r>
      <w:r w:rsidR="008B24DA">
        <w:t>options were:</w:t>
      </w:r>
    </w:p>
    <w:p w14:paraId="5265E3A5" w14:textId="77777777" w:rsidR="00AD49C6" w:rsidRPr="00F723BE" w:rsidRDefault="00AD49C6" w:rsidP="00B31BD6">
      <w:pPr>
        <w:pStyle w:val="Bulletlevel1"/>
      </w:pPr>
      <w:r w:rsidRPr="000E4911">
        <w:rPr>
          <w:b/>
          <w:bCs/>
        </w:rPr>
        <w:t>Option 1:</w:t>
      </w:r>
      <w:r w:rsidRPr="00F723BE">
        <w:t xml:space="preserve"> Maintain existing arrangements, with potential reconsideration at a later date. </w:t>
      </w:r>
    </w:p>
    <w:p w14:paraId="29DB1054" w14:textId="39524C8C" w:rsidR="00AD49C6" w:rsidRPr="00F723BE" w:rsidRDefault="00AD49C6" w:rsidP="00B31BD6">
      <w:pPr>
        <w:pStyle w:val="Bulletlevel1"/>
      </w:pPr>
      <w:r w:rsidRPr="000E4911">
        <w:rPr>
          <w:b/>
          <w:bCs/>
        </w:rPr>
        <w:t>Option 2:</w:t>
      </w:r>
      <w:r w:rsidRPr="00F723BE">
        <w:t xml:space="preserve"> Introduce arrangements to enable RLAN access to some or all of the upper 6</w:t>
      </w:r>
      <w:r w:rsidR="002D0D47">
        <w:t> GHz</w:t>
      </w:r>
      <w:r w:rsidRPr="00F723BE">
        <w:t xml:space="preserve"> band, via a variation to the</w:t>
      </w:r>
      <w:r w:rsidR="004F68E8">
        <w:t xml:space="preserve"> </w:t>
      </w:r>
      <w:r w:rsidRPr="00F723BE">
        <w:t xml:space="preserve">LIPD </w:t>
      </w:r>
      <w:r w:rsidR="004F68E8">
        <w:t>c</w:t>
      </w:r>
      <w:r w:rsidRPr="00F723BE">
        <w:t xml:space="preserve">lass </w:t>
      </w:r>
      <w:r w:rsidR="004F68E8">
        <w:t>l</w:t>
      </w:r>
      <w:r w:rsidRPr="00F723BE">
        <w:t xml:space="preserve">icence. There would be no arrangements introduced for WA WBB. </w:t>
      </w:r>
    </w:p>
    <w:p w14:paraId="540E22C2" w14:textId="254F5640" w:rsidR="00AD49C6" w:rsidRPr="00F723BE" w:rsidRDefault="00AD49C6" w:rsidP="00B31BD6">
      <w:pPr>
        <w:pStyle w:val="Bulletlevel1"/>
      </w:pPr>
      <w:r w:rsidRPr="000E4911">
        <w:rPr>
          <w:b/>
          <w:bCs/>
        </w:rPr>
        <w:t>Option 3:</w:t>
      </w:r>
      <w:r w:rsidRPr="00F723BE">
        <w:t xml:space="preserve"> Introduce arrangements to enable WA WBB access to some or all of the upper 6</w:t>
      </w:r>
      <w:r w:rsidR="002D0D47">
        <w:t> GHz</w:t>
      </w:r>
      <w:r w:rsidRPr="00F723BE">
        <w:t xml:space="preserve"> band, under apparatus and/or spectrum licensing. There would be no arrangements introduced for RLANs.</w:t>
      </w:r>
    </w:p>
    <w:p w14:paraId="1724C790" w14:textId="6FACA259" w:rsidR="003C3779" w:rsidRDefault="00AD49C6" w:rsidP="003543DD">
      <w:pPr>
        <w:pStyle w:val="Bulletlevel1last"/>
      </w:pPr>
      <w:r w:rsidRPr="000E4911">
        <w:rPr>
          <w:b/>
          <w:bCs/>
        </w:rPr>
        <w:t>Option 4:</w:t>
      </w:r>
      <w:r w:rsidRPr="00F723BE">
        <w:t xml:space="preserve"> Introduce arrangements to enable both RLAN and WA WBB access to different frequency segments within the upper 6</w:t>
      </w:r>
      <w:r w:rsidR="002D0D47">
        <w:t> GHz</w:t>
      </w:r>
      <w:r w:rsidRPr="00F723BE">
        <w:t xml:space="preserve"> band, using the respective authorisation arrangements in options 2 and 3.</w:t>
      </w:r>
    </w:p>
    <w:p w14:paraId="23FF00B1" w14:textId="6665AA04" w:rsidR="00A94D00" w:rsidRDefault="00A94D00" w:rsidP="000C5816">
      <w:pPr>
        <w:pStyle w:val="Paragraphbeforelist"/>
      </w:pPr>
      <w:r>
        <w:t>In this paper, we</w:t>
      </w:r>
      <w:r w:rsidR="008B24DA">
        <w:t xml:space="preserve"> provide</w:t>
      </w:r>
      <w:r w:rsidR="001A542E">
        <w:t>:</w:t>
      </w:r>
      <w:r>
        <w:t xml:space="preserve"> </w:t>
      </w:r>
    </w:p>
    <w:p w14:paraId="6DD3BBBB" w14:textId="14C11C27" w:rsidR="00A94D00" w:rsidRDefault="004C46AA" w:rsidP="00A94D00">
      <w:pPr>
        <w:pStyle w:val="Bulletlevel1"/>
      </w:pPr>
      <w:r>
        <w:t>A</w:t>
      </w:r>
      <w:r w:rsidR="00A94D00">
        <w:t xml:space="preserve"> summary of submission</w:t>
      </w:r>
      <w:r w:rsidR="003C3779">
        <w:t>s</w:t>
      </w:r>
      <w:r w:rsidR="00A94D00">
        <w:t xml:space="preserve"> received </w:t>
      </w:r>
      <w:r w:rsidR="008B24DA">
        <w:t xml:space="preserve">in response </w:t>
      </w:r>
      <w:r w:rsidR="00A94D00">
        <w:t xml:space="preserve">to the </w:t>
      </w:r>
      <w:r>
        <w:t>o</w:t>
      </w:r>
      <w:r w:rsidR="00A94D00">
        <w:t xml:space="preserve">ptions </w:t>
      </w:r>
      <w:r>
        <w:t>p</w:t>
      </w:r>
      <w:r w:rsidR="00A94D00">
        <w:t xml:space="preserve">aper and </w:t>
      </w:r>
      <w:r>
        <w:t>respond</w:t>
      </w:r>
      <w:r w:rsidR="00A94D00">
        <w:t xml:space="preserve"> to key issues raised</w:t>
      </w:r>
      <w:r>
        <w:t>.</w:t>
      </w:r>
    </w:p>
    <w:p w14:paraId="087D06E7" w14:textId="2AD7B18A" w:rsidR="00A94D00" w:rsidRDefault="004C46AA" w:rsidP="00A94D00">
      <w:pPr>
        <w:pStyle w:val="Bulletlevel1"/>
      </w:pPr>
      <w:r>
        <w:t>A</w:t>
      </w:r>
      <w:r w:rsidR="008B24DA">
        <w:t xml:space="preserve"> r</w:t>
      </w:r>
      <w:r w:rsidR="00A94D00">
        <w:t>efine</w:t>
      </w:r>
      <w:r w:rsidR="008B24DA">
        <w:t>ment of</w:t>
      </w:r>
      <w:r w:rsidR="003C3779">
        <w:t xml:space="preserve"> the </w:t>
      </w:r>
      <w:r w:rsidR="00A94D00">
        <w:t xml:space="preserve">planning options, </w:t>
      </w:r>
      <w:r w:rsidR="008B24DA">
        <w:t>informed by</w:t>
      </w:r>
      <w:r w:rsidR="00A94D00">
        <w:t xml:space="preserve"> </w:t>
      </w:r>
      <w:r w:rsidR="008B24DA">
        <w:t>input in th</w:t>
      </w:r>
      <w:r>
        <w:t>e</w:t>
      </w:r>
      <w:r w:rsidR="00A94D00">
        <w:t xml:space="preserve"> submissions, </w:t>
      </w:r>
    </w:p>
    <w:p w14:paraId="20BF29E1" w14:textId="252911E7" w:rsidR="00AD49C6" w:rsidRDefault="004C46AA" w:rsidP="00A94D00">
      <w:pPr>
        <w:pStyle w:val="Bulletlevel1"/>
      </w:pPr>
      <w:r>
        <w:t>A</w:t>
      </w:r>
      <w:r w:rsidR="008B24DA">
        <w:t>n ass</w:t>
      </w:r>
      <w:r w:rsidR="003C3779">
        <w:t>ess</w:t>
      </w:r>
      <w:r w:rsidR="008B24DA">
        <w:t>ment of</w:t>
      </w:r>
      <w:r w:rsidR="003C3779">
        <w:t xml:space="preserve"> </w:t>
      </w:r>
      <w:r w:rsidR="001A542E">
        <w:t>the refined planning</w:t>
      </w:r>
      <w:r w:rsidR="00A94D00">
        <w:t xml:space="preserve"> options against the desired planning options established in the </w:t>
      </w:r>
      <w:r>
        <w:t>o</w:t>
      </w:r>
      <w:r w:rsidR="00A94D00">
        <w:t xml:space="preserve">ptions </w:t>
      </w:r>
      <w:r>
        <w:t>p</w:t>
      </w:r>
      <w:r w:rsidR="00A94D00">
        <w:t>aper</w:t>
      </w:r>
      <w:r>
        <w:t xml:space="preserve">, including </w:t>
      </w:r>
      <w:r w:rsidR="008B24DA">
        <w:t xml:space="preserve">an </w:t>
      </w:r>
      <w:r w:rsidR="003C3779">
        <w:t>examin</w:t>
      </w:r>
      <w:r w:rsidR="008B24DA">
        <w:t>ation of</w:t>
      </w:r>
      <w:r w:rsidR="003C3779">
        <w:t xml:space="preserve"> </w:t>
      </w:r>
      <w:r w:rsidR="001A542E">
        <w:t xml:space="preserve">the quantitative </w:t>
      </w:r>
      <w:r w:rsidR="00A94D00">
        <w:t>cost</w:t>
      </w:r>
      <w:r w:rsidR="003C3779">
        <w:t>s</w:t>
      </w:r>
      <w:r w:rsidR="001A542E">
        <w:t xml:space="preserve"> and </w:t>
      </w:r>
      <w:r w:rsidR="00A94D00">
        <w:t>benefits</w:t>
      </w:r>
      <w:r>
        <w:t>.</w:t>
      </w:r>
    </w:p>
    <w:p w14:paraId="7AB2F613" w14:textId="209837EE" w:rsidR="001A542E" w:rsidRPr="00F723BE" w:rsidRDefault="004C46AA" w:rsidP="00B31BD6">
      <w:pPr>
        <w:pStyle w:val="Bulletlevel1"/>
      </w:pPr>
      <w:r>
        <w:t>A</w:t>
      </w:r>
      <w:r w:rsidR="008B24DA">
        <w:t>n o</w:t>
      </w:r>
      <w:r w:rsidR="003C3779">
        <w:t>utline</w:t>
      </w:r>
      <w:r w:rsidR="008B24DA">
        <w:t xml:space="preserve"> of our</w:t>
      </w:r>
      <w:r w:rsidR="001A542E">
        <w:t xml:space="preserve"> planning decision</w:t>
      </w:r>
      <w:r w:rsidR="008B24DA">
        <w:t>s</w:t>
      </w:r>
      <w:r w:rsidR="001A542E">
        <w:t xml:space="preserve"> on the future use of the band, and </w:t>
      </w:r>
      <w:r w:rsidR="003C3779">
        <w:t>discuss</w:t>
      </w:r>
      <w:r w:rsidR="008B24DA">
        <w:t xml:space="preserve">ion on </w:t>
      </w:r>
      <w:r w:rsidR="001A542E">
        <w:t>next steps to</w:t>
      </w:r>
      <w:r w:rsidR="008B24DA">
        <w:t>wards</w:t>
      </w:r>
      <w:r w:rsidR="001A542E">
        <w:t xml:space="preserve"> implement</w:t>
      </w:r>
      <w:r w:rsidR="008B24DA">
        <w:t>ation</w:t>
      </w:r>
      <w:r w:rsidR="001A542E">
        <w:t xml:space="preserve"> </w:t>
      </w:r>
      <w:r w:rsidR="008B24DA">
        <w:t>of those</w:t>
      </w:r>
      <w:r w:rsidR="001A542E">
        <w:t xml:space="preserve"> decision</w:t>
      </w:r>
      <w:r w:rsidR="008B24DA">
        <w:t>s</w:t>
      </w:r>
      <w:r w:rsidR="001A542E">
        <w:t>.</w:t>
      </w:r>
    </w:p>
    <w:p w14:paraId="71882D70" w14:textId="2751EE75" w:rsidR="00843C0B" w:rsidRDefault="00843C0B" w:rsidP="00843C0B">
      <w:pPr>
        <w:pStyle w:val="Heading1"/>
      </w:pPr>
      <w:bookmarkStart w:id="7" w:name="_Summary_of_submissions"/>
      <w:bookmarkStart w:id="8" w:name="_Toc184973649"/>
      <w:bookmarkEnd w:id="7"/>
      <w:r>
        <w:lastRenderedPageBreak/>
        <w:t>Summary of submissions</w:t>
      </w:r>
      <w:bookmarkEnd w:id="8"/>
    </w:p>
    <w:p w14:paraId="21C1B2B1" w14:textId="539E4A40" w:rsidR="0098497F" w:rsidRDefault="004C46AA" w:rsidP="003543DD">
      <w:pPr>
        <w:pStyle w:val="Paragraph"/>
      </w:pPr>
      <w:r>
        <w:t>We received 29</w:t>
      </w:r>
      <w:r w:rsidR="000579D5">
        <w:t xml:space="preserve"> </w:t>
      </w:r>
      <w:r w:rsidR="0079055F">
        <w:t xml:space="preserve">submissions in response </w:t>
      </w:r>
      <w:r w:rsidR="002F4157">
        <w:t xml:space="preserve">to </w:t>
      </w:r>
      <w:r>
        <w:t>our o</w:t>
      </w:r>
      <w:r w:rsidR="00B94775">
        <w:t xml:space="preserve">ptions </w:t>
      </w:r>
      <w:r>
        <w:t>p</w:t>
      </w:r>
      <w:r w:rsidR="00B94775">
        <w:t>aper</w:t>
      </w:r>
      <w:r>
        <w:t xml:space="preserve">. You can access these on the </w:t>
      </w:r>
      <w:hyperlink r:id="rId25" w:history="1">
        <w:r w:rsidRPr="004C46AA">
          <w:rPr>
            <w:rStyle w:val="Hyperlink"/>
          </w:rPr>
          <w:t>consultation page</w:t>
        </w:r>
      </w:hyperlink>
      <w:r>
        <w:t>.</w:t>
      </w:r>
      <w:r w:rsidR="000579D5">
        <w:t xml:space="preserve"> </w:t>
      </w:r>
      <w:r w:rsidR="00726080">
        <w:t>Responses were mainly either pro-RLAN or pro-</w:t>
      </w:r>
      <w:r w:rsidR="00753E85">
        <w:t>WA WBB</w:t>
      </w:r>
      <w:r w:rsidR="009A2ADD">
        <w:t xml:space="preserve">, with each group providing cases for their </w:t>
      </w:r>
      <w:r w:rsidR="0079055F">
        <w:t xml:space="preserve">respective </w:t>
      </w:r>
      <w:r w:rsidR="009A2ADD">
        <w:t xml:space="preserve">use and </w:t>
      </w:r>
      <w:r w:rsidR="00D60400">
        <w:t xml:space="preserve">evidence of the benefit of </w:t>
      </w:r>
      <w:r w:rsidR="005D713A">
        <w:t>that</w:t>
      </w:r>
      <w:r w:rsidR="00D60400">
        <w:t xml:space="preserve"> use to Australia.</w:t>
      </w:r>
      <w:r w:rsidR="008461CD">
        <w:t xml:space="preserve"> </w:t>
      </w:r>
      <w:r w:rsidR="0098497F">
        <w:t>This chapter provides a summary of the key issues and views raised by each sector</w:t>
      </w:r>
      <w:r w:rsidR="005D3AD6">
        <w:t>,</w:t>
      </w:r>
      <w:r w:rsidR="0098497F">
        <w:t xml:space="preserve"> and our response.</w:t>
      </w:r>
    </w:p>
    <w:p w14:paraId="632A9257" w14:textId="40EBE42A" w:rsidR="0098497F" w:rsidRDefault="008461CD" w:rsidP="003543DD">
      <w:pPr>
        <w:pStyle w:val="Paragraph"/>
      </w:pPr>
      <w:r>
        <w:t xml:space="preserve">Some submissions </w:t>
      </w:r>
      <w:r w:rsidR="006603B2">
        <w:t>contained</w:t>
      </w:r>
      <w:r>
        <w:t xml:space="preserve"> views about new arrangements to support higher power RLAN use. As this issue is outside the scope of this paper</w:t>
      </w:r>
      <w:r w:rsidR="005D3AD6">
        <w:t>,</w:t>
      </w:r>
      <w:r>
        <w:t xml:space="preserve"> it has not been discussed further in the below summary</w:t>
      </w:r>
      <w:r w:rsidR="005D3AD6">
        <w:t>. H</w:t>
      </w:r>
      <w:r w:rsidR="006603B2">
        <w:t>ow</w:t>
      </w:r>
      <w:r w:rsidR="004F68E8">
        <w:t>e</w:t>
      </w:r>
      <w:r w:rsidR="006603B2">
        <w:t>ver</w:t>
      </w:r>
      <w:r w:rsidR="005D3AD6">
        <w:t>,</w:t>
      </w:r>
      <w:r>
        <w:t xml:space="preserve"> we have noted these views and they will be considered </w:t>
      </w:r>
      <w:r w:rsidR="006603B2">
        <w:t>under</w:t>
      </w:r>
      <w:r>
        <w:t xml:space="preserve"> a separate process.</w:t>
      </w:r>
      <w:r w:rsidR="0098497F">
        <w:t xml:space="preserve"> </w:t>
      </w:r>
    </w:p>
    <w:p w14:paraId="1CEFAB40" w14:textId="799B941A" w:rsidR="004B2960" w:rsidRDefault="005D3AD6" w:rsidP="003543DD">
      <w:pPr>
        <w:pStyle w:val="Paragraph"/>
      </w:pPr>
      <w:r>
        <w:t xml:space="preserve">One </w:t>
      </w:r>
      <w:r w:rsidR="0098497F">
        <w:t>submission noted that the passive sea surface temperature measurements are undertaken in the upper 6</w:t>
      </w:r>
      <w:r w:rsidR="002D0D47">
        <w:t> GHz</w:t>
      </w:r>
      <w:r w:rsidR="0098497F">
        <w:t xml:space="preserve"> band. We acknowledge this use</w:t>
      </w:r>
      <w:r>
        <w:t>,</w:t>
      </w:r>
      <w:r w:rsidR="0098497F">
        <w:t xml:space="preserve"> and it will be considered when considering technical parameters for WB WBB deployments in the band</w:t>
      </w:r>
      <w:r>
        <w:t xml:space="preserve">. This </w:t>
      </w:r>
      <w:r w:rsidR="0098497F">
        <w:t xml:space="preserve">will </w:t>
      </w:r>
      <w:r w:rsidR="00D43E62">
        <w:t xml:space="preserve">be the </w:t>
      </w:r>
      <w:r w:rsidR="0098497F">
        <w:t xml:space="preserve">subject of a future consultation process. </w:t>
      </w:r>
    </w:p>
    <w:p w14:paraId="33BAD05E" w14:textId="0755C9B4" w:rsidR="006B6E39" w:rsidRDefault="00495568" w:rsidP="006B6E39">
      <w:pPr>
        <w:pStyle w:val="Heading2"/>
      </w:pPr>
      <w:bookmarkStart w:id="9" w:name="_Toc184973650"/>
      <w:r>
        <w:t>Sector views</w:t>
      </w:r>
      <w:bookmarkEnd w:id="9"/>
    </w:p>
    <w:p w14:paraId="3BB920F7" w14:textId="16FCA83F" w:rsidR="00816715" w:rsidRDefault="00816715" w:rsidP="00816715">
      <w:pPr>
        <w:pStyle w:val="Heading3"/>
      </w:pPr>
      <w:bookmarkStart w:id="10" w:name="_Toc184973651"/>
      <w:r>
        <w:t>RLAN</w:t>
      </w:r>
      <w:r w:rsidR="00DB6271">
        <w:t xml:space="preserve"> sector</w:t>
      </w:r>
      <w:bookmarkEnd w:id="10"/>
    </w:p>
    <w:p w14:paraId="74BF95B3" w14:textId="7DBA6375" w:rsidR="00CC3EF6" w:rsidRDefault="00DF2212" w:rsidP="003543DD">
      <w:pPr>
        <w:pStyle w:val="Paragraph"/>
      </w:pPr>
      <w:r>
        <w:t xml:space="preserve">RLAN proponents cited the value that </w:t>
      </w:r>
      <w:r w:rsidR="004F68E8">
        <w:t>RLAN</w:t>
      </w:r>
      <w:r>
        <w:t xml:space="preserve"> use</w:t>
      </w:r>
      <w:r w:rsidR="004F68E8">
        <w:t xml:space="preserve"> of the upper 6</w:t>
      </w:r>
      <w:r w:rsidR="002D0D47">
        <w:t> GHz</w:t>
      </w:r>
      <w:r w:rsidR="004F68E8">
        <w:t xml:space="preserve"> band</w:t>
      </w:r>
      <w:r>
        <w:t xml:space="preserve"> would bring to the economy and that access to the upper 6</w:t>
      </w:r>
      <w:r w:rsidR="002D0D47">
        <w:t> GHz</w:t>
      </w:r>
      <w:r>
        <w:t xml:space="preserve"> band was essential to accommodate additional RLAN services.</w:t>
      </w:r>
      <w:r w:rsidR="0079055F">
        <w:t xml:space="preserve"> </w:t>
      </w:r>
      <w:r w:rsidR="001124B0">
        <w:t xml:space="preserve">Submissions also noted that </w:t>
      </w:r>
      <w:r w:rsidR="00CC3EF6">
        <w:t xml:space="preserve">RLAN devices </w:t>
      </w:r>
      <w:r w:rsidR="0079055F">
        <w:t xml:space="preserve">that operate in the band </w:t>
      </w:r>
      <w:r w:rsidR="00CC3EF6">
        <w:t xml:space="preserve">are currently available and </w:t>
      </w:r>
      <w:r w:rsidR="001124B0">
        <w:t xml:space="preserve">that </w:t>
      </w:r>
      <w:r w:rsidR="00CC3EF6">
        <w:t>providing access to some or all of the upper 6</w:t>
      </w:r>
      <w:r w:rsidR="002D0D47">
        <w:t> GHz</w:t>
      </w:r>
      <w:r w:rsidR="00CC3EF6">
        <w:t xml:space="preserve"> band </w:t>
      </w:r>
      <w:r w:rsidR="001124B0">
        <w:t>for</w:t>
      </w:r>
      <w:r w:rsidR="00CC3EF6">
        <w:t xml:space="preserve"> RLAN</w:t>
      </w:r>
      <w:r w:rsidR="001124B0">
        <w:t xml:space="preserve"> use</w:t>
      </w:r>
      <w:r w:rsidR="00CC3EF6">
        <w:t xml:space="preserve"> </w:t>
      </w:r>
      <w:r w:rsidR="00C432C0">
        <w:t>would</w:t>
      </w:r>
      <w:r w:rsidR="00CC3EF6">
        <w:t xml:space="preserve"> provide </w:t>
      </w:r>
      <w:r w:rsidR="00622B0A">
        <w:t xml:space="preserve">2 </w:t>
      </w:r>
      <w:r w:rsidR="00CC3EF6">
        <w:t xml:space="preserve">key </w:t>
      </w:r>
      <w:r w:rsidR="005D713A">
        <w:t xml:space="preserve">technical </w:t>
      </w:r>
      <w:r w:rsidR="00CC3EF6">
        <w:t>benefits:</w:t>
      </w:r>
    </w:p>
    <w:p w14:paraId="74DEF2F4" w14:textId="6FC61D2F" w:rsidR="00CC3EF6" w:rsidRDefault="00622B0A" w:rsidP="00920456">
      <w:pPr>
        <w:pStyle w:val="Bulletlevel1"/>
      </w:pPr>
      <w:r>
        <w:t>A</w:t>
      </w:r>
      <w:r w:rsidR="00CC3EF6">
        <w:t>dditional 160 and 320 MHz channels, which can support localised, extremely high data rate applications such as virtual and augmented reality</w:t>
      </w:r>
      <w:r>
        <w:t>.</w:t>
      </w:r>
      <w:r w:rsidR="00CC3EF6">
        <w:t xml:space="preserve"> </w:t>
      </w:r>
    </w:p>
    <w:p w14:paraId="479A468A" w14:textId="58CA5D92" w:rsidR="00CC3EF6" w:rsidRDefault="00622B0A" w:rsidP="00920456">
      <w:pPr>
        <w:pStyle w:val="Bulletlevel1last"/>
      </w:pPr>
      <w:r>
        <w:t>A</w:t>
      </w:r>
      <w:r w:rsidR="00CC3EF6">
        <w:t>n increased number of smaller channel sizes</w:t>
      </w:r>
      <w:r>
        <w:t xml:space="preserve"> that</w:t>
      </w:r>
      <w:r w:rsidR="00CC3EF6">
        <w:t xml:space="preserve"> could be used to limit interference between users in high-density scenarios (such as apartment blocks or educational facilities).</w:t>
      </w:r>
    </w:p>
    <w:p w14:paraId="5E8930D3" w14:textId="393841DB" w:rsidR="00172FAC" w:rsidRPr="00172FAC" w:rsidRDefault="00D93290" w:rsidP="00B31BD6">
      <w:pPr>
        <w:pStyle w:val="Paragraphbeforelist"/>
      </w:pPr>
      <w:r w:rsidRPr="009908CF">
        <w:t>Some submissions</w:t>
      </w:r>
      <w:r w:rsidR="00602C39" w:rsidRPr="009908CF">
        <w:t xml:space="preserve"> </w:t>
      </w:r>
      <w:r w:rsidR="00DB5A11" w:rsidRPr="009908CF">
        <w:t>indicated</w:t>
      </w:r>
      <w:r w:rsidR="00602C39" w:rsidRPr="009908CF">
        <w:t xml:space="preserve"> </w:t>
      </w:r>
      <w:r w:rsidR="00DB5A11" w:rsidRPr="009908CF">
        <w:t xml:space="preserve">that </w:t>
      </w:r>
      <w:r w:rsidR="00602C39" w:rsidRPr="009908CF">
        <w:t xml:space="preserve">additional spectrum </w:t>
      </w:r>
      <w:r w:rsidR="005D713A">
        <w:t>would</w:t>
      </w:r>
      <w:r w:rsidR="00602C39" w:rsidRPr="009908CF">
        <w:t xml:space="preserve"> be needed in high-capacity scenarios such as </w:t>
      </w:r>
      <w:r w:rsidR="008502C0">
        <w:t xml:space="preserve">in </w:t>
      </w:r>
      <w:r w:rsidR="00602C39" w:rsidRPr="009908CF">
        <w:t>universities, industrial settings and sport</w:t>
      </w:r>
      <w:r w:rsidR="00B31ED2" w:rsidRPr="009908CF">
        <w:t>s</w:t>
      </w:r>
      <w:r w:rsidR="00602C39" w:rsidRPr="009908CF">
        <w:t xml:space="preserve"> stadiums</w:t>
      </w:r>
      <w:r w:rsidR="005D29DB">
        <w:t>.</w:t>
      </w:r>
    </w:p>
    <w:p w14:paraId="4829CA76" w14:textId="5A4E268A" w:rsidR="00964A04" w:rsidRDefault="00964A04" w:rsidP="00B31BD6">
      <w:pPr>
        <w:pStyle w:val="Heading4"/>
      </w:pPr>
      <w:r>
        <w:t xml:space="preserve">ACMA </w:t>
      </w:r>
      <w:r w:rsidR="000A2F59">
        <w:t>response</w:t>
      </w:r>
    </w:p>
    <w:p w14:paraId="6B2D1C9D" w14:textId="0096A605" w:rsidR="00AB0EA9" w:rsidRPr="009908CF" w:rsidRDefault="00A81BD4" w:rsidP="00AB0EA9">
      <w:pPr>
        <w:pStyle w:val="Paragraph"/>
      </w:pPr>
      <w:r>
        <w:t xml:space="preserve">We </w:t>
      </w:r>
      <w:r w:rsidR="00252CEB">
        <w:t>acknowledge</w:t>
      </w:r>
      <w:r>
        <w:t xml:space="preserve"> that t</w:t>
      </w:r>
      <w:r w:rsidR="005842E6">
        <w:t>he h</w:t>
      </w:r>
      <w:r w:rsidR="00DE56D5">
        <w:t>igh</w:t>
      </w:r>
      <w:r w:rsidR="001379F1">
        <w:t>-</w:t>
      </w:r>
      <w:r w:rsidR="00BD7E5C">
        <w:t>density</w:t>
      </w:r>
      <w:r>
        <w:t>, non-household</w:t>
      </w:r>
      <w:r w:rsidR="001379F1">
        <w:t xml:space="preserve"> scenarios</w:t>
      </w:r>
      <w:r w:rsidR="001379F1" w:rsidRPr="009908CF">
        <w:t xml:space="preserve"> </w:t>
      </w:r>
      <w:r w:rsidR="002670D2">
        <w:t>described</w:t>
      </w:r>
      <w:r w:rsidR="005842E6">
        <w:t xml:space="preserve"> would need </w:t>
      </w:r>
      <w:r w:rsidR="00545D7D">
        <w:t xml:space="preserve">additional spectrum </w:t>
      </w:r>
      <w:r w:rsidR="002346F7">
        <w:t>to accommodate more</w:t>
      </w:r>
      <w:r w:rsidR="001379F1" w:rsidRPr="009908CF">
        <w:t xml:space="preserve"> RLAN channels </w:t>
      </w:r>
      <w:r w:rsidR="002346F7">
        <w:t>to</w:t>
      </w:r>
      <w:r w:rsidR="001379F1" w:rsidRPr="009908CF">
        <w:t xml:space="preserve"> support the data requirements of a high number of end users within a confined area. In these </w:t>
      </w:r>
      <w:r w:rsidR="002670D2">
        <w:t>cases</w:t>
      </w:r>
      <w:r w:rsidR="000A2F59">
        <w:t>,</w:t>
      </w:r>
      <w:r w:rsidR="001379F1" w:rsidRPr="009908CF">
        <w:t xml:space="preserve"> it is likely that fixed-line backhaul capacity would be large </w:t>
      </w:r>
      <w:r w:rsidR="000F4BEE">
        <w:t xml:space="preserve">enough </w:t>
      </w:r>
      <w:r w:rsidR="001379F1" w:rsidRPr="009908CF">
        <w:t>that the availability of RLAN spectrum would be the limiting factor</w:t>
      </w:r>
      <w:r w:rsidR="00911403">
        <w:t xml:space="preserve">. This differs from </w:t>
      </w:r>
      <w:r w:rsidR="0079055F">
        <w:t>a</w:t>
      </w:r>
      <w:r w:rsidR="0079055F" w:rsidRPr="009908CF">
        <w:t xml:space="preserve"> </w:t>
      </w:r>
      <w:r w:rsidR="001379F1" w:rsidRPr="009908CF">
        <w:t xml:space="preserve">household scenario where the fixed-line speed would </w:t>
      </w:r>
      <w:r w:rsidR="0079055F">
        <w:t xml:space="preserve">more likely </w:t>
      </w:r>
      <w:r w:rsidR="001379F1" w:rsidRPr="009908CF">
        <w:t>be the limiting factor in many cases.</w:t>
      </w:r>
      <w:r w:rsidR="00AB0EA9" w:rsidRPr="00AB0EA9">
        <w:t xml:space="preserve"> </w:t>
      </w:r>
      <w:r w:rsidR="00AB0EA9" w:rsidRPr="009908CF">
        <w:t>While</w:t>
      </w:r>
      <w:r w:rsidR="0079055F">
        <w:t xml:space="preserve"> we do expect that</w:t>
      </w:r>
      <w:r w:rsidR="00AB0EA9" w:rsidRPr="009908CF">
        <w:t xml:space="preserve"> these high-density scenarios </w:t>
      </w:r>
      <w:r w:rsidR="0079055F">
        <w:t>will occur</w:t>
      </w:r>
      <w:r w:rsidR="00AB0EA9" w:rsidRPr="009908CF">
        <w:t>, they would be significantly less prolific than the household use of RLANs. It seems likely that in the medium-term</w:t>
      </w:r>
      <w:r w:rsidR="006603B2">
        <w:t>,</w:t>
      </w:r>
      <w:r w:rsidR="00AB0EA9" w:rsidRPr="009908CF">
        <w:t xml:space="preserve"> </w:t>
      </w:r>
      <w:r w:rsidR="00AB0EA9">
        <w:t xml:space="preserve">additional </w:t>
      </w:r>
      <w:r w:rsidR="00AB0EA9" w:rsidRPr="009908CF">
        <w:t>spectrum allocated to RLANs</w:t>
      </w:r>
      <w:r w:rsidR="0079055F">
        <w:t xml:space="preserve"> </w:t>
      </w:r>
      <w:r w:rsidR="00911403">
        <w:br/>
      </w:r>
      <w:r w:rsidR="0079055F">
        <w:t>to support the highest demand use</w:t>
      </w:r>
      <w:r w:rsidR="00911403">
        <w:t>-</w:t>
      </w:r>
      <w:r w:rsidR="0079055F">
        <w:t>cases</w:t>
      </w:r>
      <w:r w:rsidR="00AB0EA9" w:rsidRPr="009908CF">
        <w:t xml:space="preserve"> would be under-utilised outside these</w:t>
      </w:r>
      <w:r w:rsidR="006603B2">
        <w:t xml:space="preserve"> </w:t>
      </w:r>
      <w:r w:rsidR="00911403">
        <w:br/>
      </w:r>
      <w:r w:rsidR="006603B2">
        <w:t>isolated</w:t>
      </w:r>
      <w:r w:rsidR="00AB0EA9" w:rsidRPr="009908CF">
        <w:t xml:space="preserve"> scenarios.</w:t>
      </w:r>
    </w:p>
    <w:p w14:paraId="58D7D7C1" w14:textId="5ED0C25D" w:rsidR="00116905" w:rsidRDefault="00116905" w:rsidP="003543DD">
      <w:pPr>
        <w:pStyle w:val="Paragraph"/>
      </w:pPr>
      <w:r>
        <w:t xml:space="preserve">There </w:t>
      </w:r>
      <w:r w:rsidR="00D561FA">
        <w:t>does not appear to be</w:t>
      </w:r>
      <w:r>
        <w:t xml:space="preserve"> a</w:t>
      </w:r>
      <w:r w:rsidR="00D561FA">
        <w:t>n existing or emerging</w:t>
      </w:r>
      <w:r>
        <w:t xml:space="preserve"> </w:t>
      </w:r>
      <w:r w:rsidR="00601F16">
        <w:t>household</w:t>
      </w:r>
      <w:r>
        <w:t xml:space="preserve"> need for the additional capacity that enabling access to the whole upper 6</w:t>
      </w:r>
      <w:r w:rsidR="002D0D47">
        <w:t> GHz</w:t>
      </w:r>
      <w:r>
        <w:t xml:space="preserve"> band would provide. Models </w:t>
      </w:r>
      <w:r>
        <w:lastRenderedPageBreak/>
        <w:t>presented in submissions were predicated on high use in</w:t>
      </w:r>
      <w:r w:rsidR="00366AE2">
        <w:t>, for example,</w:t>
      </w:r>
      <w:r>
        <w:t xml:space="preserve"> apartment blocks</w:t>
      </w:r>
      <w:r w:rsidR="00601F16">
        <w:t xml:space="preserve">, </w:t>
      </w:r>
      <w:r>
        <w:t>where particular Wi-Fi channel re-use topologies were proposed that minimised potential mutual interference. Wi-Fi is currently used in high</w:t>
      </w:r>
      <w:r w:rsidR="00911403">
        <w:t>-</w:t>
      </w:r>
      <w:r>
        <w:t>interference environments quite successfully without a need for the kind of low</w:t>
      </w:r>
      <w:r w:rsidR="00911403">
        <w:t>-</w:t>
      </w:r>
      <w:r>
        <w:t>interference environment that would be provided</w:t>
      </w:r>
      <w:r w:rsidR="00911403">
        <w:t xml:space="preserve"> </w:t>
      </w:r>
      <w:r>
        <w:t>through the use of more spectrum. The case for multi-</w:t>
      </w:r>
      <w:r w:rsidR="00911403">
        <w:t>g</w:t>
      </w:r>
      <w:r>
        <w:t>igabit capacity in every home also seems</w:t>
      </w:r>
      <w:r w:rsidR="0079055F">
        <w:t xml:space="preserve"> difficult to justify</w:t>
      </w:r>
      <w:r>
        <w:t xml:space="preserve"> in the short-to-medium term. </w:t>
      </w:r>
      <w:r w:rsidR="0079055F">
        <w:t>I</w:t>
      </w:r>
      <w:r>
        <w:t xml:space="preserve">n-home </w:t>
      </w:r>
      <w:r w:rsidR="0079055F">
        <w:t xml:space="preserve">data capacity </w:t>
      </w:r>
      <w:r>
        <w:t>is mostly moderated by the connection speed to the home, which is currently</w:t>
      </w:r>
      <w:r w:rsidR="000F756B">
        <w:t xml:space="preserve"> typically</w:t>
      </w:r>
      <w:r>
        <w:t xml:space="preserve"> below 100 Mbps</w:t>
      </w:r>
      <w:r w:rsidR="00911403">
        <w:t>. H</w:t>
      </w:r>
      <w:r>
        <w:t>owever</w:t>
      </w:r>
      <w:r w:rsidR="00911403">
        <w:t>,</w:t>
      </w:r>
      <w:r>
        <w:t xml:space="preserve"> modelling provided in </w:t>
      </w:r>
      <w:r w:rsidR="0079055F">
        <w:t xml:space="preserve">some </w:t>
      </w:r>
      <w:r>
        <w:t>submissions was based on at least 1 Gbps to every household.</w:t>
      </w:r>
    </w:p>
    <w:p w14:paraId="7CF78FC7" w14:textId="78B3B10E" w:rsidR="0079055F" w:rsidRDefault="0079055F" w:rsidP="003543DD">
      <w:pPr>
        <w:pStyle w:val="Paragraph"/>
      </w:pPr>
      <w:r w:rsidRPr="009908CF">
        <w:t>60</w:t>
      </w:r>
      <w:r w:rsidR="002D0D47">
        <w:t> GHz</w:t>
      </w:r>
      <w:r w:rsidRPr="009908CF">
        <w:t xml:space="preserve"> band technology such as WiGig is available and may be a viable alternative in some cases</w:t>
      </w:r>
      <w:r w:rsidR="00911403">
        <w:t>. H</w:t>
      </w:r>
      <w:r>
        <w:t>owever</w:t>
      </w:r>
      <w:r w:rsidR="00911403">
        <w:t>,</w:t>
      </w:r>
      <w:r>
        <w:t xml:space="preserve"> </w:t>
      </w:r>
      <w:r w:rsidRPr="009908CF">
        <w:t>it is not a direct substitute for the 6</w:t>
      </w:r>
      <w:r w:rsidR="002D0D47">
        <w:t> GHz</w:t>
      </w:r>
      <w:r w:rsidRPr="009908CF">
        <w:t xml:space="preserve"> band, due to its significantly shorter range. </w:t>
      </w:r>
      <w:r>
        <w:t xml:space="preserve">So apart from </w:t>
      </w:r>
      <w:r w:rsidR="003A64F1">
        <w:t xml:space="preserve">the </w:t>
      </w:r>
      <w:r>
        <w:t>6</w:t>
      </w:r>
      <w:r w:rsidR="002D0D47">
        <w:t> GHz</w:t>
      </w:r>
      <w:r w:rsidR="003A64F1">
        <w:t xml:space="preserve"> band</w:t>
      </w:r>
      <w:r>
        <w:t>, n</w:t>
      </w:r>
      <w:r w:rsidRPr="009908CF">
        <w:t xml:space="preserve">o other spectrum band </w:t>
      </w:r>
      <w:r>
        <w:t>would be</w:t>
      </w:r>
      <w:r w:rsidRPr="009908CF">
        <w:t xml:space="preserve"> viable</w:t>
      </w:r>
      <w:r>
        <w:t xml:space="preserve"> to support expansion of RLAN services in the foreseeable future</w:t>
      </w:r>
      <w:r w:rsidRPr="009908CF">
        <w:t xml:space="preserve">, due to equipment being internationally harmonised and standardised. This means that if the need for additional RLAN spectrum materialises in the future, there </w:t>
      </w:r>
      <w:r>
        <w:t>may</w:t>
      </w:r>
      <w:r w:rsidRPr="009908CF">
        <w:t xml:space="preserve"> be no other spectrum option until (and if) additional bands are internationally harmonised and standardised equipment become available. The time frames for this may be significant</w:t>
      </w:r>
      <w:r w:rsidR="00911403">
        <w:t>,</w:t>
      </w:r>
      <w:r w:rsidRPr="009908CF">
        <w:t xml:space="preserve"> </w:t>
      </w:r>
      <w:r>
        <w:t>given that</w:t>
      </w:r>
      <w:r w:rsidR="001C792A">
        <w:t xml:space="preserve"> some</w:t>
      </w:r>
      <w:r w:rsidRPr="009908CF">
        <w:t xml:space="preserve"> major </w:t>
      </w:r>
      <w:r w:rsidR="001C792A">
        <w:t xml:space="preserve">international </w:t>
      </w:r>
      <w:r w:rsidRPr="009908CF">
        <w:t>markets have allocated some or all of the upper 6</w:t>
      </w:r>
      <w:r w:rsidR="002D0D47">
        <w:t> GHz</w:t>
      </w:r>
      <w:r w:rsidRPr="009908CF">
        <w:t xml:space="preserve"> band for RLAN.</w:t>
      </w:r>
      <w:r>
        <w:t xml:space="preserve"> </w:t>
      </w:r>
    </w:p>
    <w:p w14:paraId="2C43DB82" w14:textId="3A4D78AC" w:rsidR="0079055F" w:rsidRDefault="0079055F" w:rsidP="003543DD">
      <w:pPr>
        <w:pStyle w:val="Paragraph"/>
      </w:pPr>
      <w:r>
        <w:t>This underscores the importance of the existing 500 MHz made available in the lower 6</w:t>
      </w:r>
      <w:r w:rsidR="002D0D47">
        <w:t> GHz</w:t>
      </w:r>
      <w:r>
        <w:t xml:space="preserve"> band and makes a case for additional spectrum in the upper</w:t>
      </w:r>
      <w:r w:rsidR="00252CEB">
        <w:t xml:space="preserve"> band</w:t>
      </w:r>
      <w:r w:rsidR="00CD1603">
        <w:t xml:space="preserve">. However, </w:t>
      </w:r>
      <w:r>
        <w:t>it is difficult to justify the full 1200 MHz (</w:t>
      </w:r>
      <w:r w:rsidR="00252CEB">
        <w:t>the sum of</w:t>
      </w:r>
      <w:r w:rsidR="001C792A">
        <w:t xml:space="preserve"> both the </w:t>
      </w:r>
      <w:r>
        <w:t xml:space="preserve">lower </w:t>
      </w:r>
      <w:r w:rsidR="001C792A">
        <w:t>and</w:t>
      </w:r>
      <w:r>
        <w:t xml:space="preserve"> upper 6</w:t>
      </w:r>
      <w:r w:rsidR="002D0D47">
        <w:t> GHz</w:t>
      </w:r>
      <w:r>
        <w:t xml:space="preserve"> bands) for all but the most marginal usage scenarios.</w:t>
      </w:r>
    </w:p>
    <w:p w14:paraId="36568A97" w14:textId="4CEFAEA6" w:rsidR="00816715" w:rsidRDefault="00351E9B" w:rsidP="00816715">
      <w:pPr>
        <w:pStyle w:val="Heading3"/>
      </w:pPr>
      <w:bookmarkStart w:id="11" w:name="_Toc184973652"/>
      <w:r>
        <w:t>WA WBB</w:t>
      </w:r>
      <w:r w:rsidR="000A2F59">
        <w:t xml:space="preserve"> </w:t>
      </w:r>
      <w:r w:rsidR="0051302D">
        <w:t>sector</w:t>
      </w:r>
      <w:bookmarkEnd w:id="11"/>
    </w:p>
    <w:p w14:paraId="42C65128" w14:textId="3F79C73F" w:rsidR="00897EFA" w:rsidRPr="00897EFA" w:rsidRDefault="00897EFA" w:rsidP="00897EFA">
      <w:pPr>
        <w:pStyle w:val="Paragraph"/>
      </w:pPr>
      <w:r w:rsidRPr="00897EFA">
        <w:t>Submissions in favour of WA WBB use cited the value that th</w:t>
      </w:r>
      <w:r w:rsidR="00666AEF">
        <w:t>e use of the upper 6</w:t>
      </w:r>
      <w:r w:rsidR="002D0D47">
        <w:t> GHz</w:t>
      </w:r>
      <w:r w:rsidR="00666AEF">
        <w:t xml:space="preserve"> band</w:t>
      </w:r>
      <w:r w:rsidRPr="00897EFA">
        <w:t xml:space="preserve"> would bring to the economy and that access to the upper 6</w:t>
      </w:r>
      <w:r w:rsidR="002D0D47">
        <w:t> GHz</w:t>
      </w:r>
      <w:r w:rsidRPr="00897EFA">
        <w:t xml:space="preserve"> band was essential for growth of WA WBB services.</w:t>
      </w:r>
    </w:p>
    <w:p w14:paraId="4F5646F7" w14:textId="3DDDA157" w:rsidR="007544A9" w:rsidRDefault="007544A9" w:rsidP="0095022F">
      <w:pPr>
        <w:pStyle w:val="Paragraph"/>
      </w:pPr>
      <w:r w:rsidRPr="007544A9">
        <w:t>Growth estimates provided by WA WBB proponents indicate that more mid-band spectrum will be needed by their sector and that the upper 6</w:t>
      </w:r>
      <w:r w:rsidR="002D0D47">
        <w:t> GHz</w:t>
      </w:r>
      <w:r w:rsidRPr="007544A9">
        <w:t xml:space="preserve"> band is the best candidate to meet this need. This is because, while there is other mid-band spectrum included in 3GPP standards and more bands are being considered for IMT identification under </w:t>
      </w:r>
      <w:r w:rsidR="00845F66">
        <w:t>the ITU World Radiocommunication Conference 2027 (</w:t>
      </w:r>
      <w:r w:rsidRPr="007544A9">
        <w:t>WRC-27</w:t>
      </w:r>
      <w:r w:rsidR="00845F66">
        <w:t>)</w:t>
      </w:r>
      <w:r w:rsidRPr="007544A9">
        <w:t xml:space="preserve"> study cycle, there are other incumbency issues that may make these other bands less feasible for WA WBB use in Australia. </w:t>
      </w:r>
    </w:p>
    <w:p w14:paraId="083F1ADC" w14:textId="665388A1" w:rsidR="005D0ED4" w:rsidRDefault="005D0ED4" w:rsidP="0095022F">
      <w:pPr>
        <w:pStyle w:val="Paragraph"/>
      </w:pPr>
      <w:r w:rsidRPr="005D0ED4">
        <w:t xml:space="preserve">WA WBB proponents also indicated that their interest is primarily in metro </w:t>
      </w:r>
      <w:r w:rsidR="00D161A3" w:rsidRPr="005D0ED4">
        <w:t>areas</w:t>
      </w:r>
      <w:r w:rsidR="00DC4E45">
        <w:t xml:space="preserve"> and regional population centres</w:t>
      </w:r>
      <w:r w:rsidR="00D161A3" w:rsidRPr="005D0ED4">
        <w:t xml:space="preserve"> but</w:t>
      </w:r>
      <w:r w:rsidRPr="005D0ED4">
        <w:t xml:space="preserve"> suggested that arrangements should also support ad-hoc WA WBB in regional areas as well. </w:t>
      </w:r>
    </w:p>
    <w:p w14:paraId="7E5ADBB8" w14:textId="37F062BB" w:rsidR="00EF0F6F" w:rsidRDefault="00EF0F6F" w:rsidP="00B31BD6">
      <w:pPr>
        <w:pStyle w:val="Heading4"/>
      </w:pPr>
      <w:r>
        <w:t xml:space="preserve">ACMA </w:t>
      </w:r>
      <w:r w:rsidR="000A2F59">
        <w:t>response</w:t>
      </w:r>
    </w:p>
    <w:p w14:paraId="6869C199" w14:textId="406F94DF" w:rsidR="00EF0F6F" w:rsidRDefault="00833933" w:rsidP="0095022F">
      <w:pPr>
        <w:pStyle w:val="Paragraph"/>
      </w:pPr>
      <w:r>
        <w:t xml:space="preserve">We </w:t>
      </w:r>
      <w:r w:rsidR="00252CEB">
        <w:t>acknowledge</w:t>
      </w:r>
      <w:r>
        <w:t xml:space="preserve"> that </w:t>
      </w:r>
      <w:r w:rsidR="00831BF8">
        <w:t>WA WBB is a growing sector</w:t>
      </w:r>
      <w:r>
        <w:t xml:space="preserve"> that will require additional mid-band spectrum to meet growing demand</w:t>
      </w:r>
      <w:r w:rsidR="00C364A3">
        <w:t xml:space="preserve">. </w:t>
      </w:r>
      <w:r>
        <w:t>We note that s</w:t>
      </w:r>
      <w:r w:rsidR="00C364A3">
        <w:t xml:space="preserve">ome </w:t>
      </w:r>
      <w:r w:rsidR="00F37E6F" w:rsidRPr="007544A9">
        <w:t xml:space="preserve">major international markets will not have WA WBB </w:t>
      </w:r>
      <w:r>
        <w:t xml:space="preserve">use </w:t>
      </w:r>
      <w:r w:rsidR="00F37E6F" w:rsidRPr="007544A9">
        <w:t>in the upper 6</w:t>
      </w:r>
      <w:r w:rsidR="002D0D47">
        <w:t> GHz</w:t>
      </w:r>
      <w:r w:rsidR="00F37E6F" w:rsidRPr="007544A9">
        <w:t xml:space="preserve"> band (e.g.</w:t>
      </w:r>
      <w:r w:rsidR="00CD1603">
        <w:t>,</w:t>
      </w:r>
      <w:r w:rsidR="00F37E6F" w:rsidRPr="007544A9">
        <w:t xml:space="preserve"> the United States), </w:t>
      </w:r>
      <w:r w:rsidR="00B32CC7">
        <w:t xml:space="preserve">so </w:t>
      </w:r>
      <w:r w:rsidR="00F37E6F" w:rsidRPr="007544A9">
        <w:t>there is the potential that other prospective mid-band options will become harmonised for WB WBB use to meet a spectrum shortfall in those markets in the future.</w:t>
      </w:r>
      <w:r w:rsidR="00B32CC7">
        <w:t xml:space="preserve"> Alternatives to the upper 6</w:t>
      </w:r>
      <w:r w:rsidR="002D0D47">
        <w:t> GHz</w:t>
      </w:r>
      <w:r w:rsidR="00B32CC7">
        <w:t xml:space="preserve"> band may </w:t>
      </w:r>
      <w:r w:rsidR="00252CEB">
        <w:t xml:space="preserve">therefore </w:t>
      </w:r>
      <w:r w:rsidR="00B32CC7">
        <w:t>emerge</w:t>
      </w:r>
      <w:r w:rsidR="007B544E">
        <w:t>, especially post-WRC-27</w:t>
      </w:r>
      <w:r w:rsidR="009D330C">
        <w:t>.</w:t>
      </w:r>
    </w:p>
    <w:p w14:paraId="46679DD6" w14:textId="3107A36F" w:rsidR="00857959" w:rsidRDefault="00CA6313" w:rsidP="0095022F">
      <w:pPr>
        <w:pStyle w:val="Paragraph"/>
      </w:pPr>
      <w:r>
        <w:t>Meeting t</w:t>
      </w:r>
      <w:r w:rsidR="00857959">
        <w:t xml:space="preserve">he </w:t>
      </w:r>
      <w:r w:rsidR="00525DBC">
        <w:t xml:space="preserve">increasing </w:t>
      </w:r>
      <w:r w:rsidR="00857959">
        <w:t xml:space="preserve">capacity </w:t>
      </w:r>
      <w:r>
        <w:t xml:space="preserve">needs </w:t>
      </w:r>
      <w:r w:rsidR="00857959">
        <w:t xml:space="preserve">of WA WBB networks </w:t>
      </w:r>
      <w:r>
        <w:t>can be achieved in a number of ways, including provisioning</w:t>
      </w:r>
      <w:r w:rsidR="00D60B82">
        <w:t xml:space="preserve"> more spectrum. It </w:t>
      </w:r>
      <w:r w:rsidR="00857959">
        <w:t xml:space="preserve">can also be increased by deploying more </w:t>
      </w:r>
      <w:r w:rsidR="00857959">
        <w:lastRenderedPageBreak/>
        <w:t>base stations in lieu of additional spectrum</w:t>
      </w:r>
      <w:r w:rsidR="00525DBC">
        <w:t xml:space="preserve">, </w:t>
      </w:r>
      <w:r w:rsidR="008502C0">
        <w:t>i.e.</w:t>
      </w:r>
      <w:r w:rsidR="00CD1603">
        <w:t>,</w:t>
      </w:r>
      <w:r w:rsidR="00525DBC">
        <w:t xml:space="preserve"> through network </w:t>
      </w:r>
      <w:r w:rsidR="001A14A8">
        <w:t>densification</w:t>
      </w:r>
      <w:r w:rsidR="00857959">
        <w:t xml:space="preserve">. </w:t>
      </w:r>
      <w:r w:rsidR="00B85783">
        <w:t>The potential for additional capacity through densification</w:t>
      </w:r>
      <w:r w:rsidR="00CD1603">
        <w:t>,</w:t>
      </w:r>
      <w:r w:rsidR="00CB3F24">
        <w:t xml:space="preserve"> rather than additional spectrum</w:t>
      </w:r>
      <w:r w:rsidR="00CD1603">
        <w:t>,</w:t>
      </w:r>
      <w:r w:rsidR="00857959">
        <w:t xml:space="preserve"> was acknowledged in submissions</w:t>
      </w:r>
      <w:r w:rsidR="00CD1603">
        <w:t>. H</w:t>
      </w:r>
      <w:r w:rsidR="00857959">
        <w:t>owever</w:t>
      </w:r>
      <w:r w:rsidR="00CD1603">
        <w:t>,</w:t>
      </w:r>
      <w:r w:rsidR="00857959">
        <w:t xml:space="preserve"> it was suggested that network densification can be more complex to implement and any increased </w:t>
      </w:r>
      <w:r w:rsidR="00CB3F24">
        <w:t>costs</w:t>
      </w:r>
      <w:r w:rsidR="00857959">
        <w:t xml:space="preserve"> may be passed</w:t>
      </w:r>
      <w:r w:rsidR="00525DBC">
        <w:t xml:space="preserve"> on</w:t>
      </w:r>
      <w:r w:rsidR="00857959">
        <w:t xml:space="preserve"> to </w:t>
      </w:r>
      <w:r w:rsidR="00525DBC">
        <w:t>consumers</w:t>
      </w:r>
      <w:r w:rsidR="00CB3F24">
        <w:t>.</w:t>
      </w:r>
    </w:p>
    <w:p w14:paraId="1D2D87AE" w14:textId="247E844F" w:rsidR="000F5572" w:rsidRDefault="000F5572" w:rsidP="000F5572">
      <w:pPr>
        <w:pStyle w:val="Paragraph"/>
      </w:pPr>
      <w:r>
        <w:t>WRC-23 identified the</w:t>
      </w:r>
      <w:r w:rsidR="00BD0DE5">
        <w:t xml:space="preserve"> upper 6</w:t>
      </w:r>
      <w:r w:rsidR="002D0D47">
        <w:t> GHz</w:t>
      </w:r>
      <w:r>
        <w:t xml:space="preserve"> band for IMT (WA WBB) in Region 1 and various countries in other regions</w:t>
      </w:r>
      <w:r w:rsidR="00C67696">
        <w:t>.</w:t>
      </w:r>
      <w:r>
        <w:t xml:space="preserve"> </w:t>
      </w:r>
      <w:r w:rsidR="00C67696">
        <w:t>C</w:t>
      </w:r>
      <w:r>
        <w:t>urrently</w:t>
      </w:r>
      <w:r w:rsidR="00CD1603">
        <w:t>,</w:t>
      </w:r>
      <w:r>
        <w:t xml:space="preserve"> the only major market to commit to IMT use in the upper 6</w:t>
      </w:r>
      <w:r w:rsidR="002D0D47">
        <w:t> GHz</w:t>
      </w:r>
      <w:r>
        <w:t xml:space="preserve"> band is China. Europe is still considering hybrid sharing arrangements in the band</w:t>
      </w:r>
      <w:r w:rsidR="00252CEB">
        <w:t xml:space="preserve"> and India has reserved its decision on the entire (upper and lower) band</w:t>
      </w:r>
      <w:r w:rsidR="00CD1603">
        <w:t>. However,</w:t>
      </w:r>
      <w:r>
        <w:t xml:space="preserve"> if </w:t>
      </w:r>
      <w:r w:rsidR="00252CEB">
        <w:t xml:space="preserve">both </w:t>
      </w:r>
      <w:r>
        <w:t>decide against a WA WBB allocation, there is risk that device availability may be limited/costly.</w:t>
      </w:r>
      <w:r w:rsidRPr="00B50744">
        <w:t xml:space="preserve"> </w:t>
      </w:r>
      <w:r>
        <w:t xml:space="preserve">The United States, Canada, South Korea and a number of South American countries have already allocated the entire band for RLAN use, so Australia </w:t>
      </w:r>
      <w:r w:rsidR="0077736B">
        <w:t xml:space="preserve">might </w:t>
      </w:r>
      <w:r>
        <w:t xml:space="preserve">not benefit from economies of scale for equipment </w:t>
      </w:r>
      <w:r w:rsidR="006E08C3">
        <w:t xml:space="preserve">that can be used </w:t>
      </w:r>
      <w:r>
        <w:t>in the band</w:t>
      </w:r>
      <w:r w:rsidR="006E08C3">
        <w:t>.</w:t>
      </w:r>
    </w:p>
    <w:p w14:paraId="25317518" w14:textId="4EC9AE2F" w:rsidR="009F1E83" w:rsidRDefault="009F1E83" w:rsidP="009F1E83">
      <w:pPr>
        <w:pStyle w:val="Paragraph"/>
      </w:pPr>
      <w:r>
        <w:t xml:space="preserve">If dedicated WA WBB use </w:t>
      </w:r>
      <w:r w:rsidR="0077736B">
        <w:t xml:space="preserve">were to </w:t>
      </w:r>
      <w:r w:rsidR="006E08C3">
        <w:t xml:space="preserve">be </w:t>
      </w:r>
      <w:r>
        <w:t xml:space="preserve">supported in </w:t>
      </w:r>
      <w:r w:rsidRPr="005D0ED4">
        <w:t>the upper 6</w:t>
      </w:r>
      <w:r w:rsidR="002D0D47">
        <w:t> GHz</w:t>
      </w:r>
      <w:r w:rsidRPr="005D0ED4">
        <w:t xml:space="preserve"> band</w:t>
      </w:r>
      <w:r>
        <w:t>,</w:t>
      </w:r>
      <w:r w:rsidRPr="005D0ED4">
        <w:t xml:space="preserve"> there is a case for it </w:t>
      </w:r>
      <w:r>
        <w:t>to be</w:t>
      </w:r>
      <w:r w:rsidRPr="005D0ED4">
        <w:t xml:space="preserve"> limited to metro areas</w:t>
      </w:r>
      <w:r w:rsidR="006E08C3">
        <w:t xml:space="preserve"> and regional centres</w:t>
      </w:r>
      <w:r w:rsidRPr="005D0ED4">
        <w:t xml:space="preserve"> only</w:t>
      </w:r>
      <w:r w:rsidR="006E08C3">
        <w:t xml:space="preserve">. We note that submissions </w:t>
      </w:r>
      <w:r w:rsidR="008502C0">
        <w:t>indicated that</w:t>
      </w:r>
      <w:r w:rsidR="006E08C3">
        <w:t xml:space="preserve"> there is less of a need for WA WBB use of the band in regional/remote</w:t>
      </w:r>
      <w:r w:rsidRPr="005D0ED4">
        <w:t xml:space="preserve"> </w:t>
      </w:r>
      <w:r w:rsidR="006E08C3">
        <w:t xml:space="preserve">areas </w:t>
      </w:r>
      <w:r w:rsidRPr="005D0ED4">
        <w:t>and</w:t>
      </w:r>
      <w:r w:rsidR="006E08C3">
        <w:t xml:space="preserve"> that WA WBB access in those areas could be facilitated on a</w:t>
      </w:r>
      <w:r w:rsidRPr="005D0ED4">
        <w:t xml:space="preserve"> share</w:t>
      </w:r>
      <w:r w:rsidR="006E08C3">
        <w:t>d basis with existing uses.</w:t>
      </w:r>
      <w:r w:rsidRPr="005D0ED4">
        <w:t xml:space="preserve"> </w:t>
      </w:r>
      <w:r w:rsidR="006E08C3">
        <w:t>We agree with this premise.</w:t>
      </w:r>
    </w:p>
    <w:p w14:paraId="342BCEEE" w14:textId="39EAB9FE" w:rsidR="00CD030B" w:rsidRDefault="00396DDF" w:rsidP="00A712E8">
      <w:pPr>
        <w:pStyle w:val="Heading3"/>
      </w:pPr>
      <w:bookmarkStart w:id="12" w:name="_Toc184973653"/>
      <w:r>
        <w:t xml:space="preserve">Satellite </w:t>
      </w:r>
      <w:r w:rsidR="00A712E8">
        <w:t>sector</w:t>
      </w:r>
      <w:bookmarkEnd w:id="12"/>
    </w:p>
    <w:p w14:paraId="48EE1916" w14:textId="4895C60A" w:rsidR="00396DDF" w:rsidRDefault="00396DDF" w:rsidP="00276DDB">
      <w:pPr>
        <w:pStyle w:val="Paragraph"/>
      </w:pPr>
      <w:r w:rsidRPr="00276DDB">
        <w:t xml:space="preserve">The satellite </w:t>
      </w:r>
      <w:r w:rsidR="00A712E8" w:rsidRPr="00276DDB">
        <w:t xml:space="preserve">sector </w:t>
      </w:r>
      <w:r w:rsidR="002805A3" w:rsidRPr="00276DDB">
        <w:t>expressed</w:t>
      </w:r>
      <w:r w:rsidR="00A712E8" w:rsidRPr="00276DDB">
        <w:t xml:space="preserve"> </w:t>
      </w:r>
      <w:r w:rsidR="00877B7E" w:rsidRPr="00276DDB">
        <w:t xml:space="preserve">the broad view that, if it were to support either of the </w:t>
      </w:r>
      <w:r w:rsidR="00072EEA" w:rsidRPr="00276DDB">
        <w:t>additional use</w:t>
      </w:r>
      <w:r w:rsidR="00B91986">
        <w:t>s</w:t>
      </w:r>
      <w:r w:rsidR="00072EEA" w:rsidRPr="00276DDB">
        <w:t xml:space="preserve"> put forward, it strongly preferred RLAN use</w:t>
      </w:r>
      <w:r w:rsidR="00236BB4">
        <w:t>. I</w:t>
      </w:r>
      <w:r w:rsidR="00B91986">
        <w:t xml:space="preserve">n </w:t>
      </w:r>
      <w:r w:rsidR="00236BB4">
        <w:t>its</w:t>
      </w:r>
      <w:r w:rsidR="00B91986">
        <w:t xml:space="preserve"> view, RLAN devices would be able to coexist with satellite services better than WA WBB services would.</w:t>
      </w:r>
      <w:r w:rsidR="00072EEA" w:rsidRPr="00276DDB">
        <w:t xml:space="preserve"> </w:t>
      </w:r>
      <w:r w:rsidR="00BF4911" w:rsidRPr="00276DDB">
        <w:t xml:space="preserve">Satellite users also stated that WA WBB use would </w:t>
      </w:r>
      <w:r w:rsidR="001B0820">
        <w:t>interfere</w:t>
      </w:r>
      <w:r w:rsidR="00BF4911" w:rsidRPr="00276DDB">
        <w:t xml:space="preserve"> with </w:t>
      </w:r>
      <w:r w:rsidR="001B0820">
        <w:t>satellite receivers</w:t>
      </w:r>
      <w:r w:rsidR="00276DDB">
        <w:t>.</w:t>
      </w:r>
    </w:p>
    <w:p w14:paraId="253A46A5" w14:textId="58BA8DF9" w:rsidR="006E7093" w:rsidRPr="007827F9" w:rsidRDefault="006E7093" w:rsidP="00B31BD6">
      <w:pPr>
        <w:pStyle w:val="Heading4"/>
      </w:pPr>
      <w:r w:rsidRPr="007827F9">
        <w:t xml:space="preserve">ACMA </w:t>
      </w:r>
      <w:r w:rsidR="00437417">
        <w:t>response</w:t>
      </w:r>
    </w:p>
    <w:p w14:paraId="3F1E6E3B" w14:textId="23B95EF0" w:rsidR="006E7093" w:rsidRDefault="00236BB4" w:rsidP="00276DDB">
      <w:pPr>
        <w:pStyle w:val="Paragraph"/>
      </w:pPr>
      <w:r>
        <w:t>We note</w:t>
      </w:r>
      <w:r w:rsidR="001B0820" w:rsidRPr="001B0820">
        <w:t xml:space="preserve"> that coexistence arrangements included in the ITU-R Radio Regulations (as an outcome of WRC-23) are </w:t>
      </w:r>
      <w:r w:rsidR="00331F96">
        <w:t xml:space="preserve">considered </w:t>
      </w:r>
      <w:r w:rsidR="001B0820" w:rsidRPr="001B0820">
        <w:t xml:space="preserve">adequate to mitigate the risk of </w:t>
      </w:r>
      <w:r w:rsidR="00331F96">
        <w:t xml:space="preserve">aggregate </w:t>
      </w:r>
      <w:r w:rsidR="001B0820" w:rsidRPr="001B0820">
        <w:t>interference</w:t>
      </w:r>
      <w:r w:rsidR="00331F96">
        <w:t xml:space="preserve"> from widespread WBB deployments </w:t>
      </w:r>
      <w:r w:rsidR="00723318">
        <w:t>to</w:t>
      </w:r>
      <w:r w:rsidR="00331F96">
        <w:t xml:space="preserve"> satellite uplinks</w:t>
      </w:r>
      <w:r w:rsidR="001B0820" w:rsidRPr="001B0820">
        <w:t>. These arrangements could be mandated in technical frameworks, which would be subject to further discussion via a Technical Liaison Group</w:t>
      </w:r>
      <w:r w:rsidR="00A308F7">
        <w:t xml:space="preserve"> </w:t>
      </w:r>
      <w:r w:rsidR="00331F96">
        <w:t>(TLG) when considering</w:t>
      </w:r>
      <w:r w:rsidR="00A308F7">
        <w:t xml:space="preserve"> technical parameters for WA WBB deployment</w:t>
      </w:r>
      <w:r w:rsidR="00331F96">
        <w:t>s in the band</w:t>
      </w:r>
      <w:r w:rsidR="001B0820" w:rsidRPr="001B0820">
        <w:t>.</w:t>
      </w:r>
    </w:p>
    <w:p w14:paraId="2BD16194" w14:textId="2D281404" w:rsidR="004E7F2E" w:rsidRDefault="00DA279C" w:rsidP="00276DDB">
      <w:pPr>
        <w:pStyle w:val="Paragraph"/>
      </w:pPr>
      <w:r>
        <w:t xml:space="preserve">We agree that RLAN use </w:t>
      </w:r>
      <w:r w:rsidR="004E7F2E">
        <w:t>can</w:t>
      </w:r>
      <w:r>
        <w:t xml:space="preserve"> coexist with earth stations transmitters with minimal regulatory intervention, and this sharing scenario is already present in the lower 6</w:t>
      </w:r>
      <w:r w:rsidR="002D0D47">
        <w:t> GHz</w:t>
      </w:r>
      <w:r>
        <w:t xml:space="preserve"> band. Coexistence between RLAN and earth station receivers operating above 6700 MHz would require a different regulatory solution if </w:t>
      </w:r>
      <w:r w:rsidR="00E87A4D">
        <w:t>class licensed</w:t>
      </w:r>
      <w:r>
        <w:t xml:space="preserve"> RLANs were permitted above </w:t>
      </w:r>
      <w:r w:rsidR="00162883">
        <w:br/>
      </w:r>
      <w:r>
        <w:t xml:space="preserve">6700 MHz. </w:t>
      </w:r>
    </w:p>
    <w:p w14:paraId="542C7CC2" w14:textId="5EFC4C88" w:rsidR="00B91986" w:rsidRDefault="00DA279C" w:rsidP="00276DDB">
      <w:pPr>
        <w:pStyle w:val="Paragraph"/>
      </w:pPr>
      <w:r>
        <w:t>We also agree that coexistence between WA WBB services and earth stations may require a higher level of regulatory intervention, which would partly depend on the chosen licensing solution. This could range from implement</w:t>
      </w:r>
      <w:r w:rsidR="004E7F2E">
        <w:t>ing</w:t>
      </w:r>
      <w:r>
        <w:t xml:space="preserve"> coordination requirements around existing earth stations and/or requiring earth stations to cease operation in the same area as a potential WA WBB allocation. </w:t>
      </w:r>
      <w:r w:rsidR="00252CEB">
        <w:t xml:space="preserve">We </w:t>
      </w:r>
      <w:r>
        <w:t xml:space="preserve">agree that </w:t>
      </w:r>
      <w:r w:rsidR="00252CEB">
        <w:t xml:space="preserve">the </w:t>
      </w:r>
      <w:r w:rsidR="004E7F2E">
        <w:t>introduction</w:t>
      </w:r>
      <w:r>
        <w:t xml:space="preserve"> of WA WBB </w:t>
      </w:r>
      <w:r w:rsidR="004E7F2E">
        <w:t>arrangements</w:t>
      </w:r>
      <w:r>
        <w:t xml:space="preserve"> </w:t>
      </w:r>
      <w:r w:rsidR="00252CEB">
        <w:t>would</w:t>
      </w:r>
      <w:r>
        <w:t xml:space="preserve"> likely have a </w:t>
      </w:r>
      <w:r w:rsidR="004E7F2E">
        <w:t xml:space="preserve">greater impact on </w:t>
      </w:r>
      <w:r w:rsidR="00252CEB">
        <w:t xml:space="preserve">fixed satellite service </w:t>
      </w:r>
      <w:r w:rsidR="004E7F2E">
        <w:t xml:space="preserve">operations </w:t>
      </w:r>
      <w:r w:rsidR="00252CEB">
        <w:t>than that of introducing</w:t>
      </w:r>
      <w:r w:rsidR="004E7F2E">
        <w:t xml:space="preserve"> RLAN arrangements. However, while the impact on incumbents is an important consideration in any band planning activity, </w:t>
      </w:r>
      <w:r w:rsidR="00252CEB">
        <w:t>a</w:t>
      </w:r>
      <w:r w:rsidR="004E7F2E">
        <w:t xml:space="preserve"> decision to replan a band for a new service or application will </w:t>
      </w:r>
      <w:r w:rsidR="00252CEB">
        <w:t xml:space="preserve">always </w:t>
      </w:r>
      <w:r w:rsidR="004E7F2E">
        <w:t>be based on the arrangements that provide the greatest net benefit from the use of the band.</w:t>
      </w:r>
      <w:r w:rsidR="00E96C47" w:rsidRPr="00E96C47">
        <w:t xml:space="preserve"> </w:t>
      </w:r>
      <w:r w:rsidR="00252CEB">
        <w:t>Some a</w:t>
      </w:r>
      <w:r w:rsidR="00E96C47">
        <w:t>nalysis o</w:t>
      </w:r>
      <w:r w:rsidR="00D76BC2">
        <w:t xml:space="preserve">n the benefits and impact from the planning options </w:t>
      </w:r>
      <w:r w:rsidR="00E96C47">
        <w:t xml:space="preserve">is </w:t>
      </w:r>
      <w:r w:rsidR="00252CEB">
        <w:t>provided</w:t>
      </w:r>
      <w:r w:rsidR="00E96C47">
        <w:t xml:space="preserve"> </w:t>
      </w:r>
      <w:r w:rsidR="00252CEB">
        <w:t xml:space="preserve">in the </w:t>
      </w:r>
      <w:hyperlink w:anchor="_Assessment_of_Options" w:history="1">
        <w:r w:rsidR="00252CEB" w:rsidRPr="00CF69DB">
          <w:rPr>
            <w:rStyle w:val="Hyperlink"/>
          </w:rPr>
          <w:t xml:space="preserve">Assessment of </w:t>
        </w:r>
        <w:r w:rsidR="00CF69DB" w:rsidRPr="00CF69DB">
          <w:rPr>
            <w:rStyle w:val="Hyperlink"/>
          </w:rPr>
          <w:t>o</w:t>
        </w:r>
        <w:r w:rsidR="00252CEB" w:rsidRPr="00CF69DB">
          <w:rPr>
            <w:rStyle w:val="Hyperlink"/>
          </w:rPr>
          <w:t>ptions</w:t>
        </w:r>
      </w:hyperlink>
      <w:r w:rsidR="00252CEB">
        <w:t xml:space="preserve"> chapter in this</w:t>
      </w:r>
      <w:r w:rsidR="00E96C47">
        <w:t xml:space="preserve"> paper.</w:t>
      </w:r>
    </w:p>
    <w:p w14:paraId="756AE0E6" w14:textId="6C666326" w:rsidR="00276DDB" w:rsidRDefault="00276DDB" w:rsidP="00276DDB">
      <w:pPr>
        <w:pStyle w:val="Heading3"/>
      </w:pPr>
      <w:bookmarkStart w:id="13" w:name="_Toc184973654"/>
      <w:r>
        <w:lastRenderedPageBreak/>
        <w:t xml:space="preserve">Television </w:t>
      </w:r>
      <w:r w:rsidR="00CF69DB">
        <w:t>o</w:t>
      </w:r>
      <w:r>
        <w:t xml:space="preserve">utside </w:t>
      </w:r>
      <w:r w:rsidR="00CF69DB">
        <w:t>b</w:t>
      </w:r>
      <w:r>
        <w:t xml:space="preserve">roadcast </w:t>
      </w:r>
      <w:r w:rsidR="003B1340">
        <w:t xml:space="preserve">(TOB) </w:t>
      </w:r>
      <w:r>
        <w:t>sector</w:t>
      </w:r>
      <w:bookmarkEnd w:id="13"/>
    </w:p>
    <w:p w14:paraId="7AEDC679" w14:textId="711C9DB8" w:rsidR="00276DDB" w:rsidRDefault="002B6431" w:rsidP="00276DDB">
      <w:pPr>
        <w:pStyle w:val="Paragraph"/>
      </w:pPr>
      <w:r>
        <w:t xml:space="preserve">The </w:t>
      </w:r>
      <w:r w:rsidR="00331F96">
        <w:t xml:space="preserve">TOB </w:t>
      </w:r>
      <w:r>
        <w:t>sector uses spectrum above 7100 MHz to deliver television content of live events</w:t>
      </w:r>
      <w:r w:rsidR="001B0820">
        <w:t xml:space="preserve"> (i.e.</w:t>
      </w:r>
      <w:r w:rsidR="00CF69DB">
        <w:t>,</w:t>
      </w:r>
      <w:r w:rsidR="001B0820">
        <w:t xml:space="preserve"> the upper 25 MHz of the upper 6</w:t>
      </w:r>
      <w:r w:rsidR="002D0D47">
        <w:t> GHz</w:t>
      </w:r>
      <w:r w:rsidR="001B0820">
        <w:t xml:space="preserve"> band)</w:t>
      </w:r>
      <w:r>
        <w:t>. The sector has argued that changes in spectrum availability over the years has provided an environment of uncertainty and has led to high costs related to equipment turnover</w:t>
      </w:r>
      <w:r w:rsidR="00CF69DB">
        <w:t>,</w:t>
      </w:r>
      <w:r>
        <w:t xml:space="preserve"> and that some certainty about use of this spectrum is needed. </w:t>
      </w:r>
    </w:p>
    <w:p w14:paraId="00A5C0FC" w14:textId="6969587D" w:rsidR="006E7093" w:rsidRPr="001B0820" w:rsidRDefault="006E7093" w:rsidP="00B31BD6">
      <w:pPr>
        <w:pStyle w:val="Heading4"/>
      </w:pPr>
      <w:r w:rsidRPr="001B0820">
        <w:t xml:space="preserve">ACMA </w:t>
      </w:r>
      <w:r w:rsidR="00437417">
        <w:t>response</w:t>
      </w:r>
    </w:p>
    <w:p w14:paraId="20B7D8CD" w14:textId="638AC463" w:rsidR="00A7266E" w:rsidRDefault="00764F02" w:rsidP="00276DDB">
      <w:pPr>
        <w:pStyle w:val="Paragraph"/>
      </w:pPr>
      <w:r>
        <w:t>We</w:t>
      </w:r>
      <w:r w:rsidR="001B0820">
        <w:t xml:space="preserve"> </w:t>
      </w:r>
      <w:r w:rsidR="00331F96">
        <w:t>note the importance of</w:t>
      </w:r>
      <w:r w:rsidR="00A308F7">
        <w:t xml:space="preserve"> the upper 25 M</w:t>
      </w:r>
      <w:r w:rsidR="00FD7B5F">
        <w:t>H</w:t>
      </w:r>
      <w:r w:rsidR="00A308F7">
        <w:t>z of the upper 6</w:t>
      </w:r>
      <w:r w:rsidR="002D0D47">
        <w:t> GHz</w:t>
      </w:r>
      <w:r w:rsidR="00A308F7">
        <w:t xml:space="preserve"> band</w:t>
      </w:r>
      <w:r w:rsidR="00331F96">
        <w:t xml:space="preserve"> for TOB operations</w:t>
      </w:r>
      <w:r w:rsidR="004E4A47">
        <w:t xml:space="preserve"> and that the TOB sector has been impacted b</w:t>
      </w:r>
      <w:r w:rsidR="00D76BC2">
        <w:t>y</w:t>
      </w:r>
      <w:r w:rsidR="004E4A47">
        <w:t xml:space="preserve"> several band replanning projects.</w:t>
      </w:r>
      <w:r w:rsidR="00C15F2B">
        <w:t xml:space="preserve"> Consideration of the benefit for ongoing use of this spectrum for TOB operations </w:t>
      </w:r>
      <w:r w:rsidR="00FD6A2A">
        <w:t>must</w:t>
      </w:r>
      <w:r w:rsidR="00C15F2B">
        <w:t xml:space="preserve"> be weighed against the benefit that could be provided by introduction RLAN and WA WBB arrangements. </w:t>
      </w:r>
    </w:p>
    <w:p w14:paraId="3413945D" w14:textId="6F241EAE" w:rsidR="00DB6271" w:rsidRDefault="00DB6271" w:rsidP="00B31BD6">
      <w:pPr>
        <w:pStyle w:val="Heading3"/>
      </w:pPr>
      <w:bookmarkStart w:id="14" w:name="_Toc184973655"/>
      <w:r>
        <w:t>Fixed point</w:t>
      </w:r>
      <w:r w:rsidR="00FD6A2A">
        <w:t>-</w:t>
      </w:r>
      <w:r>
        <w:t>to</w:t>
      </w:r>
      <w:r w:rsidR="00FD6A2A">
        <w:t>-</w:t>
      </w:r>
      <w:r>
        <w:t>point link sector</w:t>
      </w:r>
      <w:bookmarkEnd w:id="14"/>
    </w:p>
    <w:p w14:paraId="2FEA1409" w14:textId="53FB1FEB" w:rsidR="0092297A" w:rsidRDefault="00FD6A2A" w:rsidP="00276DDB">
      <w:pPr>
        <w:pStyle w:val="Paragraph"/>
      </w:pPr>
      <w:r>
        <w:t>Representatives</w:t>
      </w:r>
      <w:r w:rsidR="0092297A">
        <w:t xml:space="preserve"> of this </w:t>
      </w:r>
      <w:r>
        <w:t>sector</w:t>
      </w:r>
      <w:r w:rsidR="0092297A">
        <w:t xml:space="preserve"> </w:t>
      </w:r>
      <w:r w:rsidR="00EC19C6">
        <w:t xml:space="preserve">described their reliance on the band and </w:t>
      </w:r>
      <w:r>
        <w:t>suggested</w:t>
      </w:r>
      <w:r w:rsidR="0092297A">
        <w:t xml:space="preserve"> that coordinating with WA WBB to minimise interference would be challenging</w:t>
      </w:r>
      <w:r w:rsidR="00EC19C6">
        <w:t xml:space="preserve">. </w:t>
      </w:r>
    </w:p>
    <w:p w14:paraId="6F9EE0B9" w14:textId="5D44E4E5" w:rsidR="00DB6271" w:rsidRDefault="00EC19C6" w:rsidP="00B31BD6">
      <w:pPr>
        <w:pStyle w:val="Heading4"/>
      </w:pPr>
      <w:r>
        <w:t>ACMA</w:t>
      </w:r>
      <w:r w:rsidR="00437417">
        <w:t xml:space="preserve"> response</w:t>
      </w:r>
    </w:p>
    <w:p w14:paraId="6039CC2F" w14:textId="383A1AD5" w:rsidR="00DB6271" w:rsidRDefault="00764F02" w:rsidP="00276DDB">
      <w:pPr>
        <w:pStyle w:val="Paragraph"/>
      </w:pPr>
      <w:r>
        <w:t>We</w:t>
      </w:r>
      <w:r w:rsidR="00EC19C6">
        <w:t xml:space="preserve"> note the extensive use of the band by fixed point-to-point links and will consider the potential impact of planning outcomes on this service.</w:t>
      </w:r>
      <w:r w:rsidR="00650C35">
        <w:t xml:space="preserve"> Similar to our response to the satellite sector, the level of impact would depend on the</w:t>
      </w:r>
      <w:r w:rsidR="00E96C47">
        <w:t xml:space="preserve"> chosen planning solution, with introduction of RLANs likely to have less of an impact comparted to WA WBB. </w:t>
      </w:r>
      <w:r w:rsidR="00FD6A2A">
        <w:t xml:space="preserve">Some analysis of this impact is provided in the </w:t>
      </w:r>
      <w:hyperlink w:anchor="_Assessment_of_Options" w:history="1">
        <w:r w:rsidR="00FD6A2A" w:rsidRPr="000D0A09">
          <w:rPr>
            <w:rStyle w:val="Hyperlink"/>
          </w:rPr>
          <w:t xml:space="preserve">Assessment of </w:t>
        </w:r>
        <w:r w:rsidR="000D0A09" w:rsidRPr="000D0A09">
          <w:rPr>
            <w:rStyle w:val="Hyperlink"/>
          </w:rPr>
          <w:t>o</w:t>
        </w:r>
        <w:r w:rsidR="00FD6A2A" w:rsidRPr="000D0A09">
          <w:rPr>
            <w:rStyle w:val="Hyperlink"/>
          </w:rPr>
          <w:t>ptions</w:t>
        </w:r>
      </w:hyperlink>
      <w:r w:rsidR="00FD6A2A">
        <w:t xml:space="preserve"> chapter.</w:t>
      </w:r>
    </w:p>
    <w:p w14:paraId="449897B7" w14:textId="2CF06CF0" w:rsidR="005B285C" w:rsidRDefault="005B285C" w:rsidP="00A7266E">
      <w:pPr>
        <w:pStyle w:val="Heading1"/>
      </w:pPr>
      <w:bookmarkStart w:id="15" w:name="_Planning_considerations"/>
      <w:bookmarkStart w:id="16" w:name="_Toc184973656"/>
      <w:bookmarkEnd w:id="15"/>
      <w:r>
        <w:lastRenderedPageBreak/>
        <w:t xml:space="preserve">Planning </w:t>
      </w:r>
      <w:r w:rsidR="000E0668">
        <w:t>considerations</w:t>
      </w:r>
      <w:bookmarkEnd w:id="16"/>
    </w:p>
    <w:p w14:paraId="2231476F" w14:textId="22A92298" w:rsidR="000E0668" w:rsidRDefault="000E0668" w:rsidP="000E0668">
      <w:pPr>
        <w:pStyle w:val="Heading2"/>
      </w:pPr>
      <w:bookmarkStart w:id="17" w:name="_International_context_and"/>
      <w:bookmarkStart w:id="18" w:name="_Toc184973657"/>
      <w:bookmarkEnd w:id="17"/>
      <w:r>
        <w:t>International context and equipment markets</w:t>
      </w:r>
      <w:bookmarkEnd w:id="18"/>
    </w:p>
    <w:p w14:paraId="614B2BF6" w14:textId="79562E2E" w:rsidR="000E0668" w:rsidRDefault="000E0668" w:rsidP="00B31BD6">
      <w:pPr>
        <w:pStyle w:val="Paragraph"/>
      </w:pPr>
      <w:r>
        <w:t xml:space="preserve">A key input to our decision process </w:t>
      </w:r>
      <w:r w:rsidR="002D0D47">
        <w:t>is</w:t>
      </w:r>
      <w:r>
        <w:t xml:space="preserve"> international factors</w:t>
      </w:r>
      <w:r w:rsidR="003205C6">
        <w:t xml:space="preserve"> –</w:t>
      </w:r>
      <w:r>
        <w:t xml:space="preserve"> in particular</w:t>
      </w:r>
      <w:r w:rsidR="003205C6">
        <w:t>,</w:t>
      </w:r>
      <w:r>
        <w:t xml:space="preserve"> the maturity of device equipment markets. Equipment standardisation, industry developments, national regulatory </w:t>
      </w:r>
      <w:r w:rsidR="002D0D47">
        <w:t>arrangements,</w:t>
      </w:r>
      <w:r>
        <w:t xml:space="preserve"> and spectrum harmonisation through the ITU all contribute to the availability and scale of devices. </w:t>
      </w:r>
    </w:p>
    <w:p w14:paraId="1BE26A97" w14:textId="2873844C" w:rsidR="000E0668" w:rsidRDefault="000E0668" w:rsidP="00B31BD6">
      <w:pPr>
        <w:pStyle w:val="Paragraph"/>
      </w:pPr>
      <w:r>
        <w:t>There is an established market for RLAN devices operating in the 6</w:t>
      </w:r>
      <w:r w:rsidR="002D0D47">
        <w:t> GHz</w:t>
      </w:r>
      <w:r>
        <w:t xml:space="preserve"> band, with Wi-Fi 6 and 6E (both part of the IEEE 802.11ax standard) already in the market in many countries</w:t>
      </w:r>
      <w:r w:rsidR="003205C6">
        <w:t>,</w:t>
      </w:r>
      <w:r>
        <w:t xml:space="preserve"> and Wi-Fi 7 (802.11be) devices in the early stages of release. Both technologies use the 2.4</w:t>
      </w:r>
      <w:r w:rsidR="002D0D47">
        <w:t> GHz</w:t>
      </w:r>
      <w:r>
        <w:t>, 5</w:t>
      </w:r>
      <w:r w:rsidR="002D0D47">
        <w:t> GHz</w:t>
      </w:r>
      <w:r>
        <w:t xml:space="preserve"> and 6</w:t>
      </w:r>
      <w:r w:rsidR="002D0D47">
        <w:t> GHz</w:t>
      </w:r>
      <w:r>
        <w:t xml:space="preserve"> bands, depending on national frequency arrangements. The lower 6</w:t>
      </w:r>
      <w:r w:rsidR="002D0D47">
        <w:t> GHz</w:t>
      </w:r>
      <w:r>
        <w:t xml:space="preserve"> band</w:t>
      </w:r>
      <w:r w:rsidR="003E5CCD">
        <w:t xml:space="preserve"> (5925</w:t>
      </w:r>
      <w:r w:rsidR="003205C6">
        <w:t>–</w:t>
      </w:r>
      <w:r w:rsidR="003E5CCD">
        <w:t>6425 MHz)</w:t>
      </w:r>
      <w:r>
        <w:t xml:space="preserve"> has been made available for RLANs throughout much of the world</w:t>
      </w:r>
      <w:r w:rsidR="003205C6">
        <w:t>. This includes</w:t>
      </w:r>
      <w:r>
        <w:t xml:space="preserve"> the Americas, Europe, Russia, Japan and Australia, while the upper 6</w:t>
      </w:r>
      <w:r w:rsidR="002D0D47">
        <w:t> GHz</w:t>
      </w:r>
      <w:r>
        <w:t xml:space="preserve"> band has also been made available in the </w:t>
      </w:r>
      <w:r w:rsidR="00494EC0">
        <w:t xml:space="preserve">United States, Canada South Korea </w:t>
      </w:r>
      <w:r>
        <w:t>and a handful of other countries</w:t>
      </w:r>
      <w:r w:rsidR="003205C6">
        <w:t>.</w:t>
      </w:r>
      <w:r w:rsidR="00F302E0">
        <w:rPr>
          <w:rStyle w:val="FootnoteReference"/>
        </w:rPr>
        <w:footnoteReference w:id="7"/>
      </w:r>
      <w:r>
        <w:t xml:space="preserve"> </w:t>
      </w:r>
      <w:r w:rsidR="003205C6">
        <w:t xml:space="preserve">This </w:t>
      </w:r>
      <w:r w:rsidR="00C67D9B">
        <w:t xml:space="preserve">includes standard power Wi-Fi-based equipment, which </w:t>
      </w:r>
      <w:r w:rsidR="008F6450">
        <w:t>although</w:t>
      </w:r>
      <w:r w:rsidR="00C67D9B">
        <w:t xml:space="preserve"> not currently </w:t>
      </w:r>
      <w:r w:rsidR="00823B9D">
        <w:t>authorised under</w:t>
      </w:r>
      <w:r w:rsidR="00C67D9B">
        <w:t xml:space="preserve"> the LIPD </w:t>
      </w:r>
      <w:r w:rsidR="00D76BC2">
        <w:t>c</w:t>
      </w:r>
      <w:r w:rsidR="00C67D9B">
        <w:t xml:space="preserve">lass </w:t>
      </w:r>
      <w:r w:rsidR="00D76BC2">
        <w:t>l</w:t>
      </w:r>
      <w:r w:rsidR="00C67D9B">
        <w:t>icence,</w:t>
      </w:r>
      <w:r w:rsidR="008F6450">
        <w:t xml:space="preserve"> could</w:t>
      </w:r>
      <w:r w:rsidR="00C67D9B">
        <w:t xml:space="preserve"> potentially be operated on a coordinated basis under an apparatus licence</w:t>
      </w:r>
      <w:r w:rsidR="003205C6">
        <w:t xml:space="preserve">. We note </w:t>
      </w:r>
      <w:r w:rsidR="00C67D9B">
        <w:t>that consideration of arrangements that support standard-power RLAN use will be subject to a future</w:t>
      </w:r>
      <w:r w:rsidR="00823B9D">
        <w:t>, separate</w:t>
      </w:r>
      <w:r w:rsidR="00C67D9B">
        <w:t xml:space="preserve"> consultation process. </w:t>
      </w:r>
      <w:r w:rsidR="003205C6">
        <w:t>W</w:t>
      </w:r>
      <w:r w:rsidR="003E5CCD">
        <w:t>e a</w:t>
      </w:r>
      <w:r w:rsidR="00823B9D">
        <w:t>re</w:t>
      </w:r>
      <w:r w:rsidR="003E5CCD">
        <w:t xml:space="preserve"> </w:t>
      </w:r>
      <w:r w:rsidR="003205C6">
        <w:t xml:space="preserve">therefore </w:t>
      </w:r>
      <w:r w:rsidR="003E5CCD">
        <w:t xml:space="preserve">confident that </w:t>
      </w:r>
      <w:r>
        <w:t xml:space="preserve">RLAN equipment </w:t>
      </w:r>
      <w:r w:rsidR="00823B9D">
        <w:t xml:space="preserve">that </w:t>
      </w:r>
      <w:r>
        <w:t>operat</w:t>
      </w:r>
      <w:r w:rsidR="00823B9D">
        <w:t>es</w:t>
      </w:r>
      <w:r>
        <w:t xml:space="preserve"> in the band is </w:t>
      </w:r>
      <w:r w:rsidR="003E5CCD">
        <w:t>readily available.</w:t>
      </w:r>
    </w:p>
    <w:p w14:paraId="626F4816" w14:textId="78674105" w:rsidR="00551987" w:rsidRDefault="000E0668" w:rsidP="00B31BD6">
      <w:pPr>
        <w:pStyle w:val="Paragraph"/>
      </w:pPr>
      <w:r>
        <w:t xml:space="preserve">The scenario for WA WBB equipment is not yet as clear. </w:t>
      </w:r>
      <w:r w:rsidR="003E5CCD">
        <w:t>The upper 6</w:t>
      </w:r>
      <w:r w:rsidR="002D0D47">
        <w:t> GHz</w:t>
      </w:r>
      <w:r w:rsidR="003E5CCD">
        <w:t xml:space="preserve"> band has been included in 3GPP standards </w:t>
      </w:r>
      <w:r w:rsidR="00344356">
        <w:t>as part of</w:t>
      </w:r>
      <w:r w:rsidR="003E5CCD">
        <w:t xml:space="preserve"> Release</w:t>
      </w:r>
      <w:r w:rsidR="00344356">
        <w:t xml:space="preserve"> 17</w:t>
      </w:r>
      <w:r w:rsidR="003E5CCD">
        <w:t xml:space="preserve"> (referred to as band n104). While this is a key milestone, </w:t>
      </w:r>
      <w:r w:rsidR="00344356">
        <w:t xml:space="preserve">the </w:t>
      </w:r>
      <w:r w:rsidR="003E5CCD">
        <w:t xml:space="preserve">manufacture of devices that can operate in this band at scale will depend on </w:t>
      </w:r>
      <w:r w:rsidR="00551987">
        <w:t xml:space="preserve">national </w:t>
      </w:r>
      <w:r w:rsidR="003E5CCD">
        <w:t xml:space="preserve">regulatory and licensing </w:t>
      </w:r>
      <w:r w:rsidR="00551987">
        <w:t>arrangements</w:t>
      </w:r>
      <w:r w:rsidR="00823B9D">
        <w:t xml:space="preserve"> being put in place in key markets</w:t>
      </w:r>
      <w:r w:rsidR="00551987">
        <w:t xml:space="preserve">. </w:t>
      </w:r>
    </w:p>
    <w:p w14:paraId="5286B880" w14:textId="135ADB25" w:rsidR="00650591" w:rsidRDefault="000E0668" w:rsidP="00B31BD6">
      <w:pPr>
        <w:pStyle w:val="Paragraph"/>
      </w:pPr>
      <w:r>
        <w:t xml:space="preserve">On the regulatory front, the </w:t>
      </w:r>
      <w:r w:rsidR="00551987">
        <w:t xml:space="preserve">full </w:t>
      </w:r>
      <w:r>
        <w:t>band has been identified in key markets such as Europe and Africa for International Mobile Telecommunications (IMT) in the ITU Radio Regulations</w:t>
      </w:r>
      <w:r w:rsidR="003205C6">
        <w:t xml:space="preserve">. This </w:t>
      </w:r>
      <w:r w:rsidR="00012F5D">
        <w:t xml:space="preserve">is </w:t>
      </w:r>
      <w:r>
        <w:t>a key market signal on potential WA WBB use of the band in those markets</w:t>
      </w:r>
      <w:r w:rsidR="003205C6">
        <w:t>. H</w:t>
      </w:r>
      <w:r>
        <w:t>owever</w:t>
      </w:r>
      <w:r w:rsidR="003205C6">
        <w:t>,</w:t>
      </w:r>
      <w:r>
        <w:t xml:space="preserve"> national/regional regulatory arrangements to support WA WBB are </w:t>
      </w:r>
      <w:r w:rsidR="00892902">
        <w:t>in</w:t>
      </w:r>
      <w:r w:rsidR="00182D42">
        <w:t xml:space="preserve"> their</w:t>
      </w:r>
      <w:r w:rsidR="00892902">
        <w:t xml:space="preserve"> infancy </w:t>
      </w:r>
      <w:r w:rsidR="00182D42">
        <w:t xml:space="preserve">and </w:t>
      </w:r>
      <w:r w:rsidR="009833A4">
        <w:t>may</w:t>
      </w:r>
      <w:r w:rsidR="00182D42">
        <w:t xml:space="preserve"> be implemented gradually</w:t>
      </w:r>
      <w:r>
        <w:t xml:space="preserve">. </w:t>
      </w:r>
      <w:r w:rsidR="00012F5D">
        <w:t xml:space="preserve">We are aware </w:t>
      </w:r>
      <w:r>
        <w:t>that China has made the entire 6</w:t>
      </w:r>
      <w:r w:rsidR="002D0D47">
        <w:t> GHz</w:t>
      </w:r>
      <w:r>
        <w:t xml:space="preserve"> band available for WA WBB deployments and that some other Asian countries are considering following suit. From an equipment market perspective, this importantly includes India, </w:t>
      </w:r>
      <w:r w:rsidR="00021257">
        <w:t>which is</w:t>
      </w:r>
      <w:r w:rsidR="009A64AA">
        <w:t xml:space="preserve"> yet to make</w:t>
      </w:r>
      <w:r>
        <w:t xml:space="preserve"> a decision on the use of the entire (upper and lower) 6</w:t>
      </w:r>
      <w:r w:rsidR="002D0D47">
        <w:t> GHz</w:t>
      </w:r>
      <w:r>
        <w:t xml:space="preserve"> band for RLAN and/or WA WBB use.</w:t>
      </w:r>
      <w:r w:rsidR="006827D6" w:rsidRPr="006827D6">
        <w:t xml:space="preserve"> </w:t>
      </w:r>
    </w:p>
    <w:p w14:paraId="598ADFBF" w14:textId="73D17552" w:rsidR="000E0668" w:rsidRDefault="006827D6" w:rsidP="00B31BD6">
      <w:pPr>
        <w:pStyle w:val="Paragraph"/>
      </w:pPr>
      <w:r>
        <w:t>The United Arab Emirates also announced in November 2024 their intentions to make the upper 6</w:t>
      </w:r>
      <w:r w:rsidR="002D0D47">
        <w:t> GHz</w:t>
      </w:r>
      <w:r>
        <w:t xml:space="preserve"> band available for WA WBB</w:t>
      </w:r>
      <w:r w:rsidR="003205C6">
        <w:t>. W</w:t>
      </w:r>
      <w:r w:rsidR="00A23959">
        <w:t>e will continue to monitor developments in other (particularly larger) markets</w:t>
      </w:r>
      <w:r>
        <w:t>.</w:t>
      </w:r>
      <w:r w:rsidR="00650591">
        <w:t xml:space="preserve"> </w:t>
      </w:r>
      <w:r w:rsidR="003205C6">
        <w:t>T</w:t>
      </w:r>
      <w:r w:rsidR="000E0668">
        <w:t>he other major market we are watching</w:t>
      </w:r>
      <w:r w:rsidR="001C5C6A">
        <w:t xml:space="preserve"> closely</w:t>
      </w:r>
      <w:r w:rsidR="000E0668">
        <w:t xml:space="preserve"> is Europe, where CEPT’s Electronic Communications Committee (ECC) has been studying potential sharing models under which both RLANs and WA WBB would be able to access the upper 6</w:t>
      </w:r>
      <w:r w:rsidR="002D0D47">
        <w:t> GHz</w:t>
      </w:r>
      <w:r w:rsidR="000E0668">
        <w:t xml:space="preserve"> band. These studies are</w:t>
      </w:r>
      <w:r w:rsidR="00B37BFA">
        <w:t xml:space="preserve"> likely to be considered as part of the broader </w:t>
      </w:r>
      <w:r w:rsidR="00D22C08">
        <w:t xml:space="preserve">work in Europe to </w:t>
      </w:r>
      <w:r w:rsidR="00B37BFA">
        <w:t>harmonis</w:t>
      </w:r>
      <w:r w:rsidR="00D22C08">
        <w:t>e technical arrangements in</w:t>
      </w:r>
      <w:r w:rsidR="00B37BFA">
        <w:t xml:space="preserve"> the upper 6</w:t>
      </w:r>
      <w:r w:rsidR="002D0D47">
        <w:t> GHz</w:t>
      </w:r>
      <w:r w:rsidR="00B37BFA">
        <w:t xml:space="preserve"> band, </w:t>
      </w:r>
      <w:r w:rsidR="003E5CCD">
        <w:t xml:space="preserve">where </w:t>
      </w:r>
      <w:r w:rsidR="000E0668">
        <w:t>a draft European Commission (EC) Mandate to CEPT</w:t>
      </w:r>
      <w:r w:rsidR="00D22C08">
        <w:t>,</w:t>
      </w:r>
      <w:r w:rsidR="000E0668">
        <w:t xml:space="preserve"> </w:t>
      </w:r>
      <w:r w:rsidR="003205C6">
        <w:t xml:space="preserve">which </w:t>
      </w:r>
      <w:r w:rsidR="000E0668">
        <w:t>is being prepared in parallel</w:t>
      </w:r>
      <w:r w:rsidR="00D22C08">
        <w:t xml:space="preserve"> to the ECC study</w:t>
      </w:r>
      <w:r w:rsidR="000E0668">
        <w:t>, requests CEPT to:</w:t>
      </w:r>
    </w:p>
    <w:p w14:paraId="3FB689CA" w14:textId="50269D83" w:rsidR="000E0668" w:rsidRPr="0059226A" w:rsidRDefault="000E0668" w:rsidP="0059226A">
      <w:pPr>
        <w:pStyle w:val="Paragraph"/>
        <w:ind w:left="567"/>
        <w:rPr>
          <w:iCs/>
          <w:sz w:val="20"/>
          <w:szCs w:val="20"/>
        </w:rPr>
      </w:pPr>
      <w:r w:rsidRPr="0059226A">
        <w:rPr>
          <w:iCs/>
          <w:sz w:val="20"/>
          <w:szCs w:val="20"/>
        </w:rPr>
        <w:lastRenderedPageBreak/>
        <w:t>Study feasibility of and develop least restrictive harmonised technical conditions for the potential shared use of the 6425</w:t>
      </w:r>
      <w:r w:rsidR="003205C6">
        <w:rPr>
          <w:iCs/>
          <w:sz w:val="20"/>
          <w:szCs w:val="20"/>
        </w:rPr>
        <w:t>–</w:t>
      </w:r>
      <w:r w:rsidRPr="0059226A">
        <w:rPr>
          <w:iCs/>
          <w:sz w:val="20"/>
          <w:szCs w:val="20"/>
        </w:rPr>
        <w:t>7125 MHz frequency band for the provision of wireless broadband by terrestrial systems capable of providing wireless broadband electronic communications services and by wireless access systems, including radio local area networks.</w:t>
      </w:r>
    </w:p>
    <w:p w14:paraId="7932884E" w14:textId="77777777" w:rsidR="00AA2289" w:rsidRDefault="00A66173" w:rsidP="0059226A">
      <w:pPr>
        <w:pStyle w:val="Paragraphbeforelist"/>
      </w:pPr>
      <w:r>
        <w:t>Three</w:t>
      </w:r>
      <w:r w:rsidR="000E0668">
        <w:t xml:space="preserve"> tasks </w:t>
      </w:r>
      <w:r w:rsidR="00475C2C">
        <w:t xml:space="preserve">are </w:t>
      </w:r>
      <w:r w:rsidR="000E0668">
        <w:t xml:space="preserve">set out in the </w:t>
      </w:r>
      <w:r w:rsidR="00DD66FA">
        <w:t xml:space="preserve">draft </w:t>
      </w:r>
      <w:r w:rsidR="00475C2C">
        <w:t xml:space="preserve">EC </w:t>
      </w:r>
      <w:r w:rsidR="000E0668">
        <w:t>mandate</w:t>
      </w:r>
      <w:r w:rsidR="00475C2C">
        <w:t xml:space="preserve">: </w:t>
      </w:r>
    </w:p>
    <w:p w14:paraId="4960581A" w14:textId="77777777" w:rsidR="00AA2289" w:rsidRDefault="00475C2C" w:rsidP="00AA2289">
      <w:pPr>
        <w:pStyle w:val="Bulletlevel1"/>
      </w:pPr>
      <w:r>
        <w:t xml:space="preserve">study coexistence of prospective RLAN </w:t>
      </w:r>
      <w:r w:rsidR="000E0668">
        <w:t xml:space="preserve">and </w:t>
      </w:r>
      <w:r>
        <w:t>WA WBB services with incumbent services</w:t>
      </w:r>
    </w:p>
    <w:p w14:paraId="73B9C0EE" w14:textId="5E42FD27" w:rsidR="00AA2289" w:rsidRDefault="000E0668" w:rsidP="00AA2289">
      <w:pPr>
        <w:pStyle w:val="Bulletlevel1"/>
      </w:pPr>
      <w:r>
        <w:t xml:space="preserve">study </w:t>
      </w:r>
      <w:r w:rsidR="00475C2C">
        <w:t>the</w:t>
      </w:r>
      <w:r>
        <w:t xml:space="preserve"> feasibility and scenarios for shared RLAN/WA WBB use</w:t>
      </w:r>
    </w:p>
    <w:p w14:paraId="341F44F2" w14:textId="2F792120" w:rsidR="00AA2289" w:rsidRDefault="00475C2C" w:rsidP="00AA2289">
      <w:pPr>
        <w:pStyle w:val="Bulletlevel1last"/>
      </w:pPr>
      <w:r>
        <w:t>develop</w:t>
      </w:r>
      <w:r w:rsidR="000E0668">
        <w:t xml:space="preserve"> harmonised technical conditions for access to the band</w:t>
      </w:r>
      <w:r w:rsidR="00AA2289">
        <w:t>.</w:t>
      </w:r>
    </w:p>
    <w:p w14:paraId="1759B156" w14:textId="01A42D0B" w:rsidR="00475C2C" w:rsidRDefault="00AA2289" w:rsidP="00AA2289">
      <w:pPr>
        <w:pStyle w:val="Paragraph"/>
      </w:pPr>
      <w:r>
        <w:t>T</w:t>
      </w:r>
      <w:r w:rsidR="00475C2C">
        <w:t>he current ECC study appears to align with the second of those tasks.</w:t>
      </w:r>
    </w:p>
    <w:p w14:paraId="58D0D755" w14:textId="2FE4B5CF" w:rsidR="000E0668" w:rsidRDefault="00012F5D" w:rsidP="00B31BD6">
      <w:pPr>
        <w:pStyle w:val="Paragraph"/>
      </w:pPr>
      <w:r>
        <w:t xml:space="preserve">Assuming </w:t>
      </w:r>
      <w:r w:rsidR="003B1DFB">
        <w:t>the EC adopts the</w:t>
      </w:r>
      <w:r>
        <w:t xml:space="preserve"> draft </w:t>
      </w:r>
      <w:r w:rsidR="00AA2289">
        <w:t>m</w:t>
      </w:r>
      <w:r>
        <w:t>andate, a</w:t>
      </w:r>
      <w:r w:rsidR="000E0668">
        <w:t>n interim report on the coexistence study is expected in March 2025</w:t>
      </w:r>
      <w:r w:rsidR="00AA2289">
        <w:t>. H</w:t>
      </w:r>
      <w:r w:rsidR="000E0668">
        <w:t>owever</w:t>
      </w:r>
      <w:r w:rsidR="00AA2289">
        <w:t>,</w:t>
      </w:r>
      <w:r w:rsidR="000E0668">
        <w:t xml:space="preserve"> harmonised conditions are not scheduled for finalisation until July 2027</w:t>
      </w:r>
      <w:r w:rsidR="006B36A9">
        <w:t xml:space="preserve">, with various reporting milestones against the </w:t>
      </w:r>
      <w:r w:rsidR="00AA2289">
        <w:t xml:space="preserve">3 </w:t>
      </w:r>
      <w:r w:rsidR="006B36A9">
        <w:t>tasks scheduled</w:t>
      </w:r>
      <w:r w:rsidR="000E0668">
        <w:t xml:space="preserve">. While </w:t>
      </w:r>
      <w:r w:rsidR="006B36A9">
        <w:t>2027</w:t>
      </w:r>
      <w:r w:rsidR="000E0668">
        <w:t xml:space="preserve"> is some time off, favourable coexistence studies, later reinforced by feasibility studies, would be a strong indication that the eventual harmonised arrangements would contain provisions for both WA WBB and RLAN access on a shared basis. </w:t>
      </w:r>
    </w:p>
    <w:p w14:paraId="5EE1C69F" w14:textId="4085B096" w:rsidR="000E0668" w:rsidRDefault="000E0668" w:rsidP="00B31BD6">
      <w:pPr>
        <w:pStyle w:val="Paragraph"/>
      </w:pPr>
      <w:r>
        <w:t xml:space="preserve">March 2025 might be </w:t>
      </w:r>
      <w:r w:rsidR="006D1F05">
        <w:t>the first</w:t>
      </w:r>
      <w:r>
        <w:t xml:space="preserve"> key waypoint in gaining an indication of where Europe might be heading</w:t>
      </w:r>
      <w:r w:rsidR="00AA2289">
        <w:t>. More</w:t>
      </w:r>
      <w:r>
        <w:t xml:space="preserve"> clarity </w:t>
      </w:r>
      <w:r w:rsidR="00AA2289">
        <w:t xml:space="preserve">will emerge </w:t>
      </w:r>
      <w:r>
        <w:t xml:space="preserve">as interim, draft and final reports on each of the </w:t>
      </w:r>
      <w:r w:rsidR="00AA2289">
        <w:t xml:space="preserve">3 </w:t>
      </w:r>
      <w:r>
        <w:t xml:space="preserve">tasks are delivered to the EC, and we will watch these developments with interest. </w:t>
      </w:r>
      <w:r w:rsidR="00AA2289">
        <w:t>H</w:t>
      </w:r>
      <w:r>
        <w:t>ow and when EC member administrations choose to adopt/implement harmonised arrangements will also be a key factor, but it can be reasonably assumed that those harmonised arrangements will be a useful indicator of future equipment markets overall. At the latest, it seems that a clear picture of equipment markets in both India and Europe will be available in 2027</w:t>
      </w:r>
      <w:r w:rsidR="00AA2289">
        <w:t>. H</w:t>
      </w:r>
      <w:r>
        <w:t>owever</w:t>
      </w:r>
      <w:r w:rsidR="00AA2289">
        <w:t>,</w:t>
      </w:r>
      <w:r>
        <w:t xml:space="preserve"> there could be sufficient evidence to make informed projections ahead of that.</w:t>
      </w:r>
    </w:p>
    <w:p w14:paraId="168DAD70" w14:textId="5D1A4586" w:rsidR="000E0668" w:rsidRDefault="000E0668" w:rsidP="00B31BD6">
      <w:pPr>
        <w:pStyle w:val="Paragraph"/>
      </w:pPr>
      <w:r>
        <w:t xml:space="preserve">Another factor when considering the implications of international standards and markets is the impact that </w:t>
      </w:r>
      <w:r w:rsidR="009833A4">
        <w:t>unique A</w:t>
      </w:r>
      <w:r>
        <w:t>ustralian arrangements might have on the provision of equipment to the Australian market. Our technical frameworks that govern access to spectrum are intended to manage coexistence with other licensed services in our domestic environment – international standards are a key input to frameworks but there are other considerations that go into developing domestic licence conditions.</w:t>
      </w:r>
    </w:p>
    <w:p w14:paraId="544355D6" w14:textId="53EA1C24" w:rsidR="000E0668" w:rsidRDefault="00231BEB" w:rsidP="00B31BD6">
      <w:pPr>
        <w:pStyle w:val="Paragraph"/>
      </w:pPr>
      <w:r>
        <w:t>W</w:t>
      </w:r>
      <w:r w:rsidR="000E0668">
        <w:t xml:space="preserve">e seek to adopt international standards to the </w:t>
      </w:r>
      <w:r w:rsidR="009E3671">
        <w:t xml:space="preserve">most feasible </w:t>
      </w:r>
      <w:r w:rsidR="000E0668">
        <w:t>extent</w:t>
      </w:r>
      <w:r>
        <w:t xml:space="preserve"> –</w:t>
      </w:r>
      <w:r w:rsidR="000E0668">
        <w:t xml:space="preserve"> principally</w:t>
      </w:r>
      <w:r>
        <w:t>,</w:t>
      </w:r>
      <w:r w:rsidR="000E0668">
        <w:t xml:space="preserve"> so our industry can benefit from market scale and limit deployment costs</w:t>
      </w:r>
      <w:r w:rsidR="00D76BC2">
        <w:t>.</w:t>
      </w:r>
      <w:r w:rsidR="000E0668">
        <w:t xml:space="preserve"> </w:t>
      </w:r>
      <w:r w:rsidR="00D76BC2">
        <w:t>H</w:t>
      </w:r>
      <w:r w:rsidR="000E0668">
        <w:t>owever</w:t>
      </w:r>
      <w:r w:rsidR="00D76BC2">
        <w:t>,</w:t>
      </w:r>
      <w:r w:rsidR="000E0668">
        <w:t xml:space="preserve"> unique domestic factors often mean that frameworks are a variation on standards rather than a direct adoption. </w:t>
      </w:r>
      <w:r w:rsidR="0064762B">
        <w:t>For example, s</w:t>
      </w:r>
      <w:r w:rsidR="00C918BD">
        <w:t>uch variations might</w:t>
      </w:r>
      <w:r w:rsidR="000E0668">
        <w:t xml:space="preserve"> include additional filtering to, say, protect frequency-adjacent or near-frequency services. </w:t>
      </w:r>
    </w:p>
    <w:p w14:paraId="3640DCC4" w14:textId="4D466CF9" w:rsidR="000E0668" w:rsidRDefault="000E0668" w:rsidP="00B31BD6">
      <w:pPr>
        <w:pStyle w:val="Paragraph"/>
      </w:pPr>
      <w:r>
        <w:t>In the context of the upper 6</w:t>
      </w:r>
      <w:r w:rsidR="002D0D47">
        <w:t> GHz</w:t>
      </w:r>
      <w:r>
        <w:t xml:space="preserve"> band in Australia, Option 4 provides for frequency-separated access by both RLAN and WA WBB services</w:t>
      </w:r>
      <w:r w:rsidR="00231BEB">
        <w:t xml:space="preserve">. This </w:t>
      </w:r>
      <w:r>
        <w:t xml:space="preserve">would mean that </w:t>
      </w:r>
      <w:r w:rsidR="002A1000">
        <w:t xml:space="preserve">only </w:t>
      </w:r>
      <w:r>
        <w:t xml:space="preserve">a subset of the </w:t>
      </w:r>
      <w:r w:rsidR="007A0644">
        <w:t>frequency range</w:t>
      </w:r>
      <w:r>
        <w:t xml:space="preserve"> that n104</w:t>
      </w:r>
      <w:r w:rsidR="007A0644">
        <w:t>-</w:t>
      </w:r>
      <w:r w:rsidR="00823B9D">
        <w:t>band</w:t>
      </w:r>
      <w:r>
        <w:t xml:space="preserve"> radios operate across </w:t>
      </w:r>
      <w:r w:rsidR="002A1000">
        <w:t xml:space="preserve">would be used for WA WBB, </w:t>
      </w:r>
      <w:r>
        <w:t xml:space="preserve">and some (for example) non-standard filtering might be necessitated. Again, while we seek to make regulations that minimise deployment costs, this is not uncommon </w:t>
      </w:r>
      <w:r w:rsidR="007A0644">
        <w:t xml:space="preserve">in </w:t>
      </w:r>
      <w:r>
        <w:t>the Australian domestic spectrum environment</w:t>
      </w:r>
      <w:r w:rsidR="00231BEB">
        <w:t>. W</w:t>
      </w:r>
      <w:r>
        <w:t>e do so knowing that the broader benefit of the planning decisions made w</w:t>
      </w:r>
      <w:r w:rsidR="006E7EDE">
        <w:t>i</w:t>
      </w:r>
      <w:r>
        <w:t>ll outweigh any additional costs to prospective licensees.</w:t>
      </w:r>
    </w:p>
    <w:p w14:paraId="5E27D08F" w14:textId="6DD38562" w:rsidR="003E5CCD" w:rsidRPr="000E0668" w:rsidRDefault="000E0668" w:rsidP="00B31BD6">
      <w:pPr>
        <w:pStyle w:val="Heading2"/>
      </w:pPr>
      <w:bookmarkStart w:id="19" w:name="_Toc184973658"/>
      <w:r>
        <w:lastRenderedPageBreak/>
        <w:t xml:space="preserve">Refinement of </w:t>
      </w:r>
      <w:r w:rsidRPr="00437417">
        <w:t>planning</w:t>
      </w:r>
      <w:r>
        <w:t xml:space="preserve"> options</w:t>
      </w:r>
      <w:bookmarkEnd w:id="19"/>
    </w:p>
    <w:p w14:paraId="368B63F1" w14:textId="28BE1F6C" w:rsidR="00695C38" w:rsidRDefault="006E7EDE" w:rsidP="00B31BD6">
      <w:pPr>
        <w:pStyle w:val="Paragraphbeforelist"/>
      </w:pPr>
      <w:r>
        <w:t xml:space="preserve">The </w:t>
      </w:r>
      <w:r w:rsidR="00231BEB">
        <w:t>o</w:t>
      </w:r>
      <w:r>
        <w:t xml:space="preserve">ptions </w:t>
      </w:r>
      <w:r w:rsidR="00231BEB">
        <w:t>p</w:t>
      </w:r>
      <w:r>
        <w:t xml:space="preserve">aper </w:t>
      </w:r>
      <w:r w:rsidR="00823B9D">
        <w:t>sought views on</w:t>
      </w:r>
      <w:r>
        <w:t xml:space="preserve"> 4 planning options (replicated in the </w:t>
      </w:r>
      <w:hyperlink w:anchor="_Introduction" w:history="1">
        <w:r w:rsidR="00823B9D" w:rsidRPr="00231BEB">
          <w:rPr>
            <w:rStyle w:val="Hyperlink"/>
          </w:rPr>
          <w:t>I</w:t>
        </w:r>
        <w:r w:rsidRPr="00231BEB">
          <w:rPr>
            <w:rStyle w:val="Hyperlink"/>
          </w:rPr>
          <w:t xml:space="preserve">ntroduction </w:t>
        </w:r>
        <w:r w:rsidR="00823B9D" w:rsidRPr="00231BEB">
          <w:rPr>
            <w:rStyle w:val="Hyperlink"/>
          </w:rPr>
          <w:t>chapter</w:t>
        </w:r>
      </w:hyperlink>
      <w:r w:rsidR="00823B9D">
        <w:t xml:space="preserve"> in</w:t>
      </w:r>
      <w:r>
        <w:t xml:space="preserve"> this paper</w:t>
      </w:r>
      <w:r w:rsidR="00742F0A">
        <w:t>)</w:t>
      </w:r>
      <w:r>
        <w:t xml:space="preserve">. </w:t>
      </w:r>
      <w:r w:rsidR="00695C38">
        <w:t>Based on feedback</w:t>
      </w:r>
      <w:r w:rsidR="00AD2A99">
        <w:t xml:space="preserve"> </w:t>
      </w:r>
      <w:r>
        <w:t>we received t</w:t>
      </w:r>
      <w:r w:rsidR="00AD2A99">
        <w:t xml:space="preserve">o the </w:t>
      </w:r>
      <w:r w:rsidR="00231BEB">
        <w:t>p</w:t>
      </w:r>
      <w:r w:rsidR="00AD2A99">
        <w:t>aper,</w:t>
      </w:r>
      <w:r>
        <w:t xml:space="preserve"> and noting the discussion in the previous section on equipment markets,</w:t>
      </w:r>
      <w:r w:rsidR="00AD2A99">
        <w:t xml:space="preserve"> we have refined the options as</w:t>
      </w:r>
      <w:r w:rsidR="00231BEB">
        <w:t xml:space="preserve"> </w:t>
      </w:r>
      <w:r w:rsidR="00AD2A99">
        <w:t>below:</w:t>
      </w:r>
    </w:p>
    <w:p w14:paraId="1F55AF71" w14:textId="72CC1FB6" w:rsidR="00AD2A99" w:rsidRDefault="00AD2A99" w:rsidP="00AD2A99">
      <w:pPr>
        <w:pStyle w:val="Bulletlevel1"/>
      </w:pPr>
      <w:r w:rsidRPr="009E3671">
        <w:rPr>
          <w:b/>
          <w:bCs/>
        </w:rPr>
        <w:t>Options 1 and 2</w:t>
      </w:r>
      <w:r w:rsidR="00231BEB" w:rsidRPr="009E3671">
        <w:rPr>
          <w:b/>
          <w:bCs/>
        </w:rPr>
        <w:t>:</w:t>
      </w:r>
      <w:r>
        <w:t xml:space="preserve"> </w:t>
      </w:r>
      <w:r w:rsidR="00BB2A1E">
        <w:t>we have not proposed any change to these planning options</w:t>
      </w:r>
      <w:r>
        <w:t>.</w:t>
      </w:r>
    </w:p>
    <w:p w14:paraId="5923DADD" w14:textId="2033358A" w:rsidR="007245C6" w:rsidRPr="009E3671" w:rsidRDefault="00AD2A99" w:rsidP="00C1252A">
      <w:pPr>
        <w:pStyle w:val="Bulletlevel1"/>
        <w:rPr>
          <w:b/>
          <w:bCs/>
        </w:rPr>
      </w:pPr>
      <w:r w:rsidRPr="009E3671">
        <w:rPr>
          <w:b/>
          <w:bCs/>
        </w:rPr>
        <w:t>Option 3</w:t>
      </w:r>
      <w:r w:rsidR="00231BEB" w:rsidRPr="009E3671">
        <w:rPr>
          <w:b/>
          <w:bCs/>
        </w:rPr>
        <w:t>:</w:t>
      </w:r>
      <w:r w:rsidR="00C1252A" w:rsidRPr="009E3671">
        <w:rPr>
          <w:b/>
          <w:bCs/>
        </w:rPr>
        <w:t xml:space="preserve"> </w:t>
      </w:r>
    </w:p>
    <w:p w14:paraId="090E952D" w14:textId="30686BFC" w:rsidR="007245C6" w:rsidRDefault="007448A8" w:rsidP="007245C6">
      <w:pPr>
        <w:pStyle w:val="Bulletlevel2"/>
      </w:pPr>
      <w:r>
        <w:t xml:space="preserve">Based on feedback </w:t>
      </w:r>
      <w:r w:rsidR="00C1252A">
        <w:t>about</w:t>
      </w:r>
      <w:r>
        <w:t xml:space="preserve"> the areas where WA WBB access to the upper 6</w:t>
      </w:r>
      <w:r w:rsidR="002D0D47">
        <w:t> GHz</w:t>
      </w:r>
      <w:r>
        <w:t xml:space="preserve"> band is primarily needed, under this option we would only i</w:t>
      </w:r>
      <w:r w:rsidR="00AD2A99">
        <w:t>ntroduc</w:t>
      </w:r>
      <w:r>
        <w:t>e</w:t>
      </w:r>
      <w:r w:rsidR="00AD2A99">
        <w:t xml:space="preserve"> WA WBB arrangements </w:t>
      </w:r>
      <w:r>
        <w:t>in</w:t>
      </w:r>
      <w:r w:rsidR="00AD2A99">
        <w:t xml:space="preserve"> defined population areas</w:t>
      </w:r>
      <w:r w:rsidR="00C1252A">
        <w:t xml:space="preserve"> (a preliminary view on these defined areas is provided later in this chapter)</w:t>
      </w:r>
      <w:r w:rsidR="00AD2A99">
        <w:t>. Outside these defined areas, arrangements would be introduced for apparatus</w:t>
      </w:r>
      <w:r w:rsidR="00C61CCF">
        <w:t>-</w:t>
      </w:r>
      <w:r w:rsidR="00AD2A99">
        <w:t>licensed WBB use (not limited to wide</w:t>
      </w:r>
      <w:r w:rsidR="00C61CCF">
        <w:t>-</w:t>
      </w:r>
      <w:r w:rsidR="00AD2A99">
        <w:t>area applications of WBB), on a coordinated basis with existing users.</w:t>
      </w:r>
    </w:p>
    <w:p w14:paraId="2A673EEB" w14:textId="0B6EBBEB" w:rsidR="00AD2A99" w:rsidRDefault="00C14BD2" w:rsidP="007245C6">
      <w:pPr>
        <w:pStyle w:val="Bulletlevel2"/>
      </w:pPr>
      <w:r>
        <w:t>Our disposition is that the range 7100</w:t>
      </w:r>
      <w:r w:rsidR="00DD3263">
        <w:t>–</w:t>
      </w:r>
      <w:r>
        <w:t xml:space="preserve">7125 MHz should remain available for TOB use, due in part to </w:t>
      </w:r>
      <w:r w:rsidR="005029A6">
        <w:t xml:space="preserve">the expected increase in </w:t>
      </w:r>
      <w:r>
        <w:t xml:space="preserve">TOB </w:t>
      </w:r>
      <w:r w:rsidR="005029A6">
        <w:t>use of this spectrum as a result of planning changes to TOB use in the 2</w:t>
      </w:r>
      <w:r w:rsidR="002D0D47">
        <w:t> GHz</w:t>
      </w:r>
      <w:r w:rsidR="005029A6">
        <w:t xml:space="preserve"> band.</w:t>
      </w:r>
      <w:r w:rsidR="005029A6">
        <w:rPr>
          <w:rStyle w:val="FootnoteReference"/>
        </w:rPr>
        <w:footnoteReference w:id="8"/>
      </w:r>
      <w:r>
        <w:t xml:space="preserve"> This means that </w:t>
      </w:r>
      <w:r w:rsidR="00D76BC2">
        <w:t xml:space="preserve">under this option, </w:t>
      </w:r>
      <w:r>
        <w:t>the</w:t>
      </w:r>
      <w:r w:rsidR="007245C6">
        <w:t xml:space="preserve"> upper bound of a WA WBB allocation in defined areas (and WBB allocation outside of defined population areas) would be limited to 7100 MHz. This would negate the need for TOB services to cease operating in 7100</w:t>
      </w:r>
      <w:r w:rsidR="00DD3263">
        <w:t>–</w:t>
      </w:r>
      <w:r w:rsidR="007245C6">
        <w:t xml:space="preserve">7125 MHz. </w:t>
      </w:r>
    </w:p>
    <w:p w14:paraId="7402A524" w14:textId="41FA6800" w:rsidR="00ED58C9" w:rsidRDefault="00ED58C9" w:rsidP="00ED58C9">
      <w:pPr>
        <w:pStyle w:val="Bulletlevel1"/>
      </w:pPr>
      <w:r w:rsidRPr="009E3671">
        <w:rPr>
          <w:b/>
          <w:bCs/>
        </w:rPr>
        <w:t>Option 4</w:t>
      </w:r>
      <w:r w:rsidR="00231BEB" w:rsidRPr="009E3671">
        <w:rPr>
          <w:b/>
          <w:bCs/>
        </w:rPr>
        <w:t>:</w:t>
      </w:r>
      <w:r>
        <w:t xml:space="preserve"> </w:t>
      </w:r>
      <w:r w:rsidR="00C14BD2">
        <w:t xml:space="preserve">changes include the </w:t>
      </w:r>
      <w:r w:rsidR="00DD3263">
        <w:t xml:space="preserve">2 </w:t>
      </w:r>
      <w:r w:rsidR="00C14BD2">
        <w:t xml:space="preserve">revisions discussed </w:t>
      </w:r>
      <w:r>
        <w:t>for Option 3, as well defining the proposed</w:t>
      </w:r>
      <w:r w:rsidR="002642C9">
        <w:t xml:space="preserve"> frequency boundary between</w:t>
      </w:r>
      <w:r>
        <w:t xml:space="preserve"> </w:t>
      </w:r>
      <w:r w:rsidR="002642C9">
        <w:t xml:space="preserve">– and therefore amount of spectrum for each service resulting from – </w:t>
      </w:r>
      <w:r>
        <w:t>spectrum allocation</w:t>
      </w:r>
      <w:r w:rsidR="00687E64">
        <w:t>s</w:t>
      </w:r>
      <w:r>
        <w:t xml:space="preserve"> for RLAN and WA WBB </w:t>
      </w:r>
      <w:r w:rsidRPr="00CF7A18">
        <w:rPr>
          <w:szCs w:val="22"/>
        </w:rPr>
        <w:t>(see Figure 1)</w:t>
      </w:r>
      <w:r w:rsidR="00687E64">
        <w:t xml:space="preserve">. This option is </w:t>
      </w:r>
      <w:r>
        <w:t xml:space="preserve">also split into </w:t>
      </w:r>
      <w:r w:rsidR="00DD3263">
        <w:t xml:space="preserve">2 </w:t>
      </w:r>
      <w:r>
        <w:t xml:space="preserve">sub-options </w:t>
      </w:r>
      <w:r w:rsidR="00687E64">
        <w:t>(</w:t>
      </w:r>
      <w:r>
        <w:t>4A and 4B</w:t>
      </w:r>
      <w:r w:rsidR="00687E64">
        <w:t>),</w:t>
      </w:r>
      <w:r>
        <w:t xml:space="preserve"> with Option 4B being a temporal variation on 4A:</w:t>
      </w:r>
    </w:p>
    <w:p w14:paraId="31CD626A" w14:textId="77777777" w:rsidR="00A725A6" w:rsidRDefault="00ED58C9" w:rsidP="00183491">
      <w:pPr>
        <w:pStyle w:val="Bulletlevel2"/>
      </w:pPr>
      <w:r w:rsidRPr="00A725A6">
        <w:rPr>
          <w:b/>
          <w:bCs/>
        </w:rPr>
        <w:t>Option 4A:</w:t>
      </w:r>
      <w:r>
        <w:t xml:space="preserve"> </w:t>
      </w:r>
    </w:p>
    <w:p w14:paraId="016A3E46" w14:textId="12FB6F30" w:rsidR="00A725A6" w:rsidRDefault="00A725A6" w:rsidP="00A725A6">
      <w:pPr>
        <w:pStyle w:val="Bulletlevel2"/>
        <w:numPr>
          <w:ilvl w:val="0"/>
          <w:numId w:val="0"/>
        </w:numPr>
        <w:ind w:left="568"/>
      </w:pPr>
      <w:r w:rsidRPr="00A725A6">
        <w:rPr>
          <w:u w:val="single"/>
        </w:rPr>
        <w:t>RLAN arrangements:</w:t>
      </w:r>
      <w:r>
        <w:t xml:space="preserve"> access </w:t>
      </w:r>
      <w:r w:rsidR="002642C9">
        <w:t xml:space="preserve">to </w:t>
      </w:r>
      <w:r w:rsidR="002642C9" w:rsidRPr="00CF7A18">
        <w:t xml:space="preserve">the lower 160 MHz </w:t>
      </w:r>
      <w:r w:rsidR="002642C9">
        <w:t>of</w:t>
      </w:r>
      <w:r w:rsidR="002642C9" w:rsidRPr="00CF7A18">
        <w:t xml:space="preserve"> </w:t>
      </w:r>
      <w:r w:rsidR="002642C9">
        <w:t xml:space="preserve">the </w:t>
      </w:r>
      <w:r w:rsidR="002642C9" w:rsidRPr="00CF7A18">
        <w:t>upper 6</w:t>
      </w:r>
      <w:r w:rsidR="002D0D47">
        <w:t> GHz</w:t>
      </w:r>
      <w:r w:rsidR="002642C9" w:rsidRPr="00CF7A18">
        <w:t xml:space="preserve"> band (being 6425–6585 MHz)</w:t>
      </w:r>
      <w:r w:rsidR="002642C9">
        <w:t xml:space="preserve"> </w:t>
      </w:r>
      <w:r w:rsidR="0088229F">
        <w:t>would be provided for RLAN use through</w:t>
      </w:r>
      <w:r>
        <w:t xml:space="preserve"> an update to the LIPD </w:t>
      </w:r>
      <w:r w:rsidR="00FE26BC">
        <w:t>c</w:t>
      </w:r>
      <w:r>
        <w:t xml:space="preserve">lass </w:t>
      </w:r>
      <w:r w:rsidR="00FE26BC">
        <w:t>l</w:t>
      </w:r>
      <w:r>
        <w:t>icence. This provision, c</w:t>
      </w:r>
      <w:r w:rsidRPr="00CF7A18">
        <w:t>ombined with the</w:t>
      </w:r>
      <w:r>
        <w:t xml:space="preserve"> existing RLAN arrangements in the</w:t>
      </w:r>
      <w:r w:rsidRPr="00CF7A18">
        <w:t xml:space="preserve"> lower 6</w:t>
      </w:r>
      <w:r w:rsidR="002D0D47">
        <w:t> GHz</w:t>
      </w:r>
      <w:r w:rsidRPr="00CF7A18">
        <w:t xml:space="preserve"> band</w:t>
      </w:r>
      <w:r w:rsidR="002F3A67">
        <w:t>,</w:t>
      </w:r>
      <w:r w:rsidRPr="00CF7A18">
        <w:t xml:space="preserve"> </w:t>
      </w:r>
      <w:r>
        <w:t>w</w:t>
      </w:r>
      <w:r w:rsidRPr="00CF7A18">
        <w:t>ould provide for 2 x 320 MHz channels (or various other combinations of 40, 80, 160 and 320 MHz channels) for RLAN use</w:t>
      </w:r>
      <w:r>
        <w:t xml:space="preserve">. </w:t>
      </w:r>
    </w:p>
    <w:p w14:paraId="248659BB" w14:textId="3DC0070F" w:rsidR="00ED58C9" w:rsidRPr="00CD6D9F" w:rsidRDefault="00ED58C9" w:rsidP="00A725A6">
      <w:pPr>
        <w:pStyle w:val="Bulletlevel2"/>
        <w:numPr>
          <w:ilvl w:val="0"/>
          <w:numId w:val="0"/>
        </w:numPr>
        <w:ind w:left="568"/>
      </w:pPr>
      <w:r w:rsidRPr="00A725A6">
        <w:rPr>
          <w:u w:val="single"/>
        </w:rPr>
        <w:t xml:space="preserve">WA WBB </w:t>
      </w:r>
      <w:r w:rsidR="00A725A6" w:rsidRPr="00A725A6">
        <w:rPr>
          <w:u w:val="single"/>
        </w:rPr>
        <w:t>arrangements:</w:t>
      </w:r>
      <w:r w:rsidR="00A725A6">
        <w:t xml:space="preserve"> </w:t>
      </w:r>
      <w:r w:rsidRPr="00CF7A18">
        <w:t>access to 6</w:t>
      </w:r>
      <w:r>
        <w:t>585</w:t>
      </w:r>
      <w:r w:rsidRPr="00CF7A18">
        <w:t>–7100 MHz</w:t>
      </w:r>
      <w:r w:rsidR="00A725A6">
        <w:t xml:space="preserve"> </w:t>
      </w:r>
      <w:r w:rsidR="002642C9">
        <w:t xml:space="preserve">would be provided </w:t>
      </w:r>
      <w:r w:rsidR="0088229F">
        <w:t>for WA WBB use in defined population areas (and WBB access via apparatus licensing in other areas)</w:t>
      </w:r>
      <w:r>
        <w:t xml:space="preserve">, noting that there </w:t>
      </w:r>
      <w:r w:rsidR="002642C9">
        <w:t xml:space="preserve">would </w:t>
      </w:r>
      <w:r>
        <w:t>need to be</w:t>
      </w:r>
      <w:r w:rsidR="002642C9">
        <w:t xml:space="preserve"> some form of</w:t>
      </w:r>
      <w:r>
        <w:t xml:space="preserve"> guard band above 6585 MHz to help manage interference between RLAN and WA WBB services (further consideration on the need for a guard band w</w:t>
      </w:r>
      <w:r w:rsidR="0088229F">
        <w:t>ould</w:t>
      </w:r>
      <w:r>
        <w:t xml:space="preserve"> be considered </w:t>
      </w:r>
      <w:r w:rsidR="002642C9">
        <w:t>at a later time</w:t>
      </w:r>
      <w:r>
        <w:t xml:space="preserve"> </w:t>
      </w:r>
      <w:r w:rsidR="00DD3263">
        <w:br/>
      </w:r>
      <w:r w:rsidR="0088229F">
        <w:t>when develop</w:t>
      </w:r>
      <w:r w:rsidR="002642C9">
        <w:t>ing</w:t>
      </w:r>
      <w:r w:rsidR="0088229F">
        <w:t xml:space="preserve"> the applicable technical frameworks)</w:t>
      </w:r>
      <w:r>
        <w:t xml:space="preserve">. </w:t>
      </w:r>
    </w:p>
    <w:p w14:paraId="24A4F946" w14:textId="61EC0F67" w:rsidR="00ED58C9" w:rsidRDefault="00ED58C9" w:rsidP="00ED58C9">
      <w:pPr>
        <w:pStyle w:val="Bulletlevel2"/>
      </w:pPr>
      <w:r w:rsidRPr="00CD6D9F">
        <w:rPr>
          <w:b/>
          <w:bCs/>
        </w:rPr>
        <w:t>Option 4B</w:t>
      </w:r>
      <w:r>
        <w:t>:</w:t>
      </w:r>
      <w:r w:rsidRPr="00CD6D9F">
        <w:t xml:space="preserve"> is a variation on 4</w:t>
      </w:r>
      <w:r w:rsidR="00C67D9B">
        <w:t>A</w:t>
      </w:r>
      <w:r>
        <w:t>, where</w:t>
      </w:r>
      <w:r w:rsidRPr="00CD6D9F">
        <w:t xml:space="preserve"> the proposed arrangements are the same, except we would delay</w:t>
      </w:r>
      <w:r>
        <w:t xml:space="preserve"> implementing </w:t>
      </w:r>
      <w:r w:rsidR="00C67D9B">
        <w:t>arrangements for</w:t>
      </w:r>
      <w:r w:rsidRPr="00CD6D9F">
        <w:t xml:space="preserve"> WA WBB </w:t>
      </w:r>
      <w:r w:rsidR="00C67D9B">
        <w:t xml:space="preserve">in defined population areas </w:t>
      </w:r>
      <w:r w:rsidRPr="00CD6D9F">
        <w:t>until international arrangements mature.</w:t>
      </w:r>
      <w:r w:rsidR="00A725A6">
        <w:t xml:space="preserve"> </w:t>
      </w:r>
      <w:r w:rsidR="00D86A2F">
        <w:t xml:space="preserve">RLAN arrangements would be implemented as per Option 4A with no delay. </w:t>
      </w:r>
      <w:r w:rsidR="00A725A6">
        <w:t xml:space="preserve">This </w:t>
      </w:r>
      <w:r w:rsidR="00D86A2F">
        <w:t xml:space="preserve">approach </w:t>
      </w:r>
      <w:r w:rsidR="00A725A6">
        <w:t xml:space="preserve">would mitigate the risk of implementing WA WBB arrangements before there is </w:t>
      </w:r>
      <w:r w:rsidR="00D86A2F">
        <w:t xml:space="preserve">certainty </w:t>
      </w:r>
      <w:r w:rsidR="00A725A6">
        <w:t>of equipment availability</w:t>
      </w:r>
      <w:r w:rsidR="00D86A2F">
        <w:t xml:space="preserve"> in the necessary scale</w:t>
      </w:r>
      <w:r w:rsidR="00C67D9B">
        <w:t xml:space="preserve">. We </w:t>
      </w:r>
      <w:r w:rsidR="00A725A6">
        <w:t>would continue to mon</w:t>
      </w:r>
      <w:r w:rsidR="00590DA7">
        <w:t>itor</w:t>
      </w:r>
      <w:r w:rsidR="00A725A6">
        <w:t xml:space="preserve"> international development</w:t>
      </w:r>
      <w:r w:rsidR="00590DA7">
        <w:t xml:space="preserve">s and commence the </w:t>
      </w:r>
      <w:r w:rsidR="00C67D9B">
        <w:t xml:space="preserve">implementation </w:t>
      </w:r>
      <w:r w:rsidR="00590DA7">
        <w:t>process</w:t>
      </w:r>
      <w:r w:rsidR="00A725A6">
        <w:t xml:space="preserve"> once international harmonisation becomes </w:t>
      </w:r>
      <w:r w:rsidR="00590DA7">
        <w:t xml:space="preserve">more </w:t>
      </w:r>
      <w:r w:rsidR="0074480E">
        <w:t>advanced</w:t>
      </w:r>
      <w:r w:rsidR="00590DA7">
        <w:t>.</w:t>
      </w:r>
      <w:r w:rsidR="00C67D9B" w:rsidRPr="00C67D9B">
        <w:t xml:space="preserve"> </w:t>
      </w:r>
      <w:r w:rsidR="00C67D9B">
        <w:t xml:space="preserve">Under this sub-option, </w:t>
      </w:r>
      <w:r w:rsidR="00742F0A">
        <w:t>we anticipate that t</w:t>
      </w:r>
      <w:r w:rsidR="00C67D9B">
        <w:t xml:space="preserve">his delay would not </w:t>
      </w:r>
      <w:r w:rsidR="00D86A2F">
        <w:t xml:space="preserve">adversely </w:t>
      </w:r>
      <w:r w:rsidR="00C67D9B">
        <w:t xml:space="preserve">impact RLAN </w:t>
      </w:r>
      <w:r w:rsidR="00D86A2F">
        <w:t>use</w:t>
      </w:r>
      <w:r w:rsidR="00C67D9B">
        <w:t xml:space="preserve"> in 6425</w:t>
      </w:r>
      <w:r w:rsidR="00DD3263">
        <w:t>–</w:t>
      </w:r>
      <w:r w:rsidR="00C67D9B">
        <w:t xml:space="preserve">6585 MHz or WBB </w:t>
      </w:r>
      <w:r w:rsidR="00D86A2F">
        <w:t>deployments</w:t>
      </w:r>
      <w:r w:rsidR="00742F0A">
        <w:t xml:space="preserve"> above </w:t>
      </w:r>
      <w:r w:rsidR="00DD3263">
        <w:br/>
      </w:r>
      <w:r w:rsidR="00742F0A">
        <w:t>6585 MHz</w:t>
      </w:r>
      <w:r w:rsidR="000F332E">
        <w:t xml:space="preserve"> outside defined areas</w:t>
      </w:r>
      <w:r w:rsidR="00D86A2F">
        <w:t xml:space="preserve"> any more than they are already constrained by international factors</w:t>
      </w:r>
      <w:r w:rsidR="00C67D9B">
        <w:t>.</w:t>
      </w:r>
    </w:p>
    <w:p w14:paraId="1F416DB0" w14:textId="77777777" w:rsidR="00255055" w:rsidRDefault="00255055" w:rsidP="00255055">
      <w:pPr>
        <w:pStyle w:val="Bulletlevel2"/>
        <w:numPr>
          <w:ilvl w:val="0"/>
          <w:numId w:val="0"/>
        </w:numPr>
        <w:ind w:left="568" w:hanging="284"/>
      </w:pPr>
    </w:p>
    <w:p w14:paraId="02755177" w14:textId="783CDB37" w:rsidR="002F3A67" w:rsidRDefault="002F3A67" w:rsidP="002F3A67">
      <w:pPr>
        <w:pStyle w:val="Figureheading"/>
      </w:pPr>
      <w:r>
        <w:t>Band configuration under Option 4</w:t>
      </w:r>
      <w:r w:rsidR="00065588">
        <w:t>, guard band size will be determined as part of a future process</w:t>
      </w:r>
    </w:p>
    <w:p w14:paraId="5EFC6CA4" w14:textId="51B2C889" w:rsidR="00A3157A" w:rsidRDefault="008373C5" w:rsidP="00255055">
      <w:pPr>
        <w:pStyle w:val="Paragraph"/>
      </w:pPr>
      <w:r>
        <w:rPr>
          <w:noProof/>
        </w:rPr>
        <w:drawing>
          <wp:inline distT="0" distB="0" distL="0" distR="0" wp14:anchorId="3DA50E05" wp14:editId="56ED4E8A">
            <wp:extent cx="5759450" cy="1196340"/>
            <wp:effectExtent l="0" t="0" r="0" b="3810"/>
            <wp:docPr id="679608383" name="Picture 1" descr="Figure 1: Band configuration under Option 4, guard band size will be determined as part of a futur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08383" name="Picture 1" descr="Figure 1: Band configuration under Option 4, guard band size will be determined as part of a future process"/>
                    <pic:cNvPicPr/>
                  </pic:nvPicPr>
                  <pic:blipFill>
                    <a:blip r:embed="rId26"/>
                    <a:stretch>
                      <a:fillRect/>
                    </a:stretch>
                  </pic:blipFill>
                  <pic:spPr>
                    <a:xfrm>
                      <a:off x="0" y="0"/>
                      <a:ext cx="5759450" cy="1196340"/>
                    </a:xfrm>
                    <a:prstGeom prst="rect">
                      <a:avLst/>
                    </a:prstGeom>
                  </pic:spPr>
                </pic:pic>
              </a:graphicData>
            </a:graphic>
          </wp:inline>
        </w:drawing>
      </w:r>
    </w:p>
    <w:p w14:paraId="66043562" w14:textId="0AFCABFF" w:rsidR="00687E64" w:rsidRDefault="00687E64" w:rsidP="00B31BD6">
      <w:pPr>
        <w:pStyle w:val="Heading3"/>
      </w:pPr>
      <w:bookmarkStart w:id="20" w:name="_Toc184973659"/>
      <w:r>
        <w:t>Preliminary view on defined population areas</w:t>
      </w:r>
      <w:bookmarkEnd w:id="20"/>
    </w:p>
    <w:p w14:paraId="74E33788" w14:textId="09F6F253" w:rsidR="00255055" w:rsidRDefault="00255055" w:rsidP="00255055">
      <w:pPr>
        <w:pStyle w:val="Paragraph"/>
      </w:pPr>
      <w:r>
        <w:t xml:space="preserve">The above refined options refer to WB WBB arrangements being limited to defined population areas. </w:t>
      </w:r>
      <w:r w:rsidR="00086E26">
        <w:t xml:space="preserve">While these areas will be defined </w:t>
      </w:r>
      <w:r w:rsidR="00DD3263">
        <w:t>later</w:t>
      </w:r>
      <w:r w:rsidR="00086E26">
        <w:t>, as a starting point</w:t>
      </w:r>
      <w:r w:rsidR="004A66B3">
        <w:t xml:space="preserve"> the geographic areas that are subject to spectrum licensing in the </w:t>
      </w:r>
      <w:r w:rsidR="002F3A67">
        <w:t>3750</w:t>
      </w:r>
      <w:r w:rsidR="00DD3263">
        <w:t>–</w:t>
      </w:r>
      <w:r w:rsidR="002F3A67">
        <w:t>3800 MHz frequency range</w:t>
      </w:r>
      <w:r w:rsidR="00936388">
        <w:t xml:space="preserve"> provide a good indication of what defined areas in the upper 6</w:t>
      </w:r>
      <w:r w:rsidR="002D0D47">
        <w:t> GHz</w:t>
      </w:r>
      <w:r w:rsidR="00936388">
        <w:t xml:space="preserve"> band might look like</w:t>
      </w:r>
      <w:r w:rsidR="002F3A67">
        <w:t xml:space="preserve">. </w:t>
      </w:r>
      <w:r w:rsidR="004B63B9">
        <w:t>The</w:t>
      </w:r>
      <w:r w:rsidR="00341F6E">
        <w:t>s</w:t>
      </w:r>
      <w:r w:rsidR="004B63B9">
        <w:t xml:space="preserve">e areas are </w:t>
      </w:r>
      <w:r w:rsidR="00086E26">
        <w:t>set out in</w:t>
      </w:r>
      <w:r w:rsidR="004B63B9">
        <w:t xml:space="preserve"> the </w:t>
      </w:r>
      <w:hyperlink r:id="rId27" w:history="1">
        <w:r w:rsidR="004B63B9" w:rsidRPr="004B63B9">
          <w:rPr>
            <w:rStyle w:val="Hyperlink"/>
          </w:rPr>
          <w:t>Radiocommunications (Spectrum Re-allocation – 3.4</w:t>
        </w:r>
        <w:r w:rsidR="002D0D47">
          <w:rPr>
            <w:rStyle w:val="Hyperlink"/>
          </w:rPr>
          <w:t> GHz</w:t>
        </w:r>
        <w:r w:rsidR="004B63B9" w:rsidRPr="004B63B9">
          <w:rPr>
            <w:rStyle w:val="Hyperlink"/>
          </w:rPr>
          <w:t xml:space="preserve"> and 3.7</w:t>
        </w:r>
        <w:r w:rsidR="002D0D47">
          <w:rPr>
            <w:rStyle w:val="Hyperlink"/>
          </w:rPr>
          <w:t> GHz</w:t>
        </w:r>
        <w:r w:rsidR="004B63B9" w:rsidRPr="004B63B9">
          <w:rPr>
            <w:rStyle w:val="Hyperlink"/>
          </w:rPr>
          <w:t xml:space="preserve"> Bands) Declaration 2022</w:t>
        </w:r>
      </w:hyperlink>
      <w:r w:rsidR="004B63B9">
        <w:t xml:space="preserve"> and </w:t>
      </w:r>
      <w:r w:rsidR="002F3A67">
        <w:t xml:space="preserve">are shown in Figure 2. </w:t>
      </w:r>
      <w:r w:rsidR="00700073">
        <w:t>W</w:t>
      </w:r>
      <w:r w:rsidR="002F3A67">
        <w:t xml:space="preserve">hile these areas </w:t>
      </w:r>
      <w:r w:rsidR="00086E26">
        <w:t>provide a useful basis</w:t>
      </w:r>
      <w:r w:rsidR="002F3A67">
        <w:t xml:space="preserve"> for analysing planning options discussed in this paper, they will be subject to further consultation with industry before they are finalised.</w:t>
      </w:r>
    </w:p>
    <w:p w14:paraId="7E6C397E" w14:textId="14715A0F" w:rsidR="002F3A67" w:rsidRDefault="002F3A67" w:rsidP="002F3A67">
      <w:pPr>
        <w:pStyle w:val="Figureheading"/>
      </w:pPr>
      <w:r>
        <w:t xml:space="preserve">Defined population areas for WA WBB arrangements – to be </w:t>
      </w:r>
      <w:r w:rsidR="000820F5">
        <w:t xml:space="preserve">a </w:t>
      </w:r>
      <w:r>
        <w:t>subject of further consultation</w:t>
      </w:r>
    </w:p>
    <w:p w14:paraId="390B54A5" w14:textId="70C94094" w:rsidR="002F3A67" w:rsidRPr="005B285C" w:rsidRDefault="002F3A67" w:rsidP="002F3A67">
      <w:pPr>
        <w:pStyle w:val="Figureheading"/>
        <w:numPr>
          <w:ilvl w:val="0"/>
          <w:numId w:val="0"/>
        </w:numPr>
        <w:ind w:left="1021" w:hanging="1021"/>
      </w:pPr>
      <w:r>
        <w:rPr>
          <w:noProof/>
        </w:rPr>
        <w:drawing>
          <wp:inline distT="0" distB="0" distL="0" distR="0" wp14:anchorId="73BF6ECA" wp14:editId="6B6A415F">
            <wp:extent cx="5759450" cy="4769485"/>
            <wp:effectExtent l="0" t="0" r="0" b="0"/>
            <wp:docPr id="1648932160" name="Picture 1" descr="Figure 2: Defined population areas for WA WBB arrangements – to be a subject of further consu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32160" name="Picture 1" descr="Figure 2: Defined population areas for WA WBB arrangements – to be a subject of further consultation"/>
                    <pic:cNvPicPr/>
                  </pic:nvPicPr>
                  <pic:blipFill>
                    <a:blip r:embed="rId28"/>
                    <a:stretch>
                      <a:fillRect/>
                    </a:stretch>
                  </pic:blipFill>
                  <pic:spPr>
                    <a:xfrm>
                      <a:off x="0" y="0"/>
                      <a:ext cx="5759450" cy="4769485"/>
                    </a:xfrm>
                    <a:prstGeom prst="rect">
                      <a:avLst/>
                    </a:prstGeom>
                  </pic:spPr>
                </pic:pic>
              </a:graphicData>
            </a:graphic>
          </wp:inline>
        </w:drawing>
      </w:r>
    </w:p>
    <w:p w14:paraId="24E874AB" w14:textId="67F0027B" w:rsidR="006E7093" w:rsidRDefault="00A7266E" w:rsidP="00A7266E">
      <w:pPr>
        <w:pStyle w:val="Heading1"/>
      </w:pPr>
      <w:bookmarkStart w:id="21" w:name="_Assessment_of_Options"/>
      <w:bookmarkStart w:id="22" w:name="_Toc184973660"/>
      <w:bookmarkEnd w:id="21"/>
      <w:r>
        <w:lastRenderedPageBreak/>
        <w:t xml:space="preserve">Assessment of </w:t>
      </w:r>
      <w:r w:rsidR="00700073">
        <w:t>o</w:t>
      </w:r>
      <w:r>
        <w:t>ptions</w:t>
      </w:r>
      <w:bookmarkEnd w:id="22"/>
    </w:p>
    <w:p w14:paraId="0E4931E6" w14:textId="2C0D2ED5" w:rsidR="00A7266E" w:rsidRDefault="00A7266E" w:rsidP="00A7266E">
      <w:pPr>
        <w:pStyle w:val="Paragraph"/>
      </w:pPr>
      <w:r>
        <w:t xml:space="preserve">This chapter </w:t>
      </w:r>
      <w:r w:rsidR="00823B9D">
        <w:t xml:space="preserve">contains </w:t>
      </w:r>
      <w:r w:rsidR="00700073">
        <w:t>our</w:t>
      </w:r>
      <w:r>
        <w:t xml:space="preserve"> assessment of the </w:t>
      </w:r>
      <w:r w:rsidR="00204AA7">
        <w:t xml:space="preserve">refined planning </w:t>
      </w:r>
      <w:r>
        <w:t xml:space="preserve">options against the </w:t>
      </w:r>
      <w:r w:rsidR="00700073">
        <w:br/>
      </w:r>
      <w:r>
        <w:t>desirable planning outcomes for the upper 6</w:t>
      </w:r>
      <w:r w:rsidR="002D0D47">
        <w:t> GHz</w:t>
      </w:r>
      <w:r>
        <w:t xml:space="preserve"> band</w:t>
      </w:r>
      <w:r w:rsidR="00700073">
        <w:t>. This</w:t>
      </w:r>
      <w:r>
        <w:t xml:space="preserve"> is informed by a quantitative cost</w:t>
      </w:r>
      <w:r w:rsidR="00700073">
        <w:t>-</w:t>
      </w:r>
      <w:r>
        <w:t>benefit assessment.</w:t>
      </w:r>
    </w:p>
    <w:p w14:paraId="201DBF40" w14:textId="7F213BFA" w:rsidR="00A7266E" w:rsidRDefault="00A7266E" w:rsidP="00A7266E">
      <w:pPr>
        <w:pStyle w:val="Heading2"/>
      </w:pPr>
      <w:bookmarkStart w:id="23" w:name="_Toc184973661"/>
      <w:r>
        <w:t>Assessment against the desirable planning outcomes</w:t>
      </w:r>
      <w:bookmarkEnd w:id="23"/>
    </w:p>
    <w:p w14:paraId="434674FC" w14:textId="43968B63" w:rsidR="00A7266E" w:rsidRDefault="00A7266E" w:rsidP="00053C8C">
      <w:pPr>
        <w:pStyle w:val="Paragraphbeforelist"/>
      </w:pPr>
      <w:r>
        <w:t xml:space="preserve">As detailed in the </w:t>
      </w:r>
      <w:r w:rsidR="00700073">
        <w:t>o</w:t>
      </w:r>
      <w:r>
        <w:t>ptions paper, the desirable planning outcomes for the upper 6</w:t>
      </w:r>
      <w:r w:rsidR="002D0D47">
        <w:t> GHz</w:t>
      </w:r>
      <w:r>
        <w:t xml:space="preserve"> </w:t>
      </w:r>
      <w:r w:rsidR="00700073">
        <w:br/>
      </w:r>
      <w:r>
        <w:t>band are:</w:t>
      </w:r>
    </w:p>
    <w:p w14:paraId="3E477049" w14:textId="4537BEFB" w:rsidR="00A7266E" w:rsidRDefault="00A7266E" w:rsidP="00A7266E">
      <w:pPr>
        <w:pStyle w:val="Numberlistlevel1"/>
      </w:pPr>
      <w:r>
        <w:t>Optimise the efficiency and utility of the upper 6</w:t>
      </w:r>
      <w:r w:rsidR="002D0D47">
        <w:t> GHz</w:t>
      </w:r>
      <w:r>
        <w:t xml:space="preserve"> band by introducing arrangements for RLAN and/or WA WBB services.</w:t>
      </w:r>
    </w:p>
    <w:p w14:paraId="61DDBD78" w14:textId="06A68E09" w:rsidR="00A7266E" w:rsidRDefault="00A7266E" w:rsidP="00A7266E">
      <w:pPr>
        <w:pStyle w:val="Numberlistlevel1"/>
      </w:pPr>
      <w:r>
        <w:t>Maintain regulatory arrangements to the extent possible for existing services within the upper 6</w:t>
      </w:r>
      <w:r w:rsidR="002D0D47">
        <w:t> GHz</w:t>
      </w:r>
      <w:r>
        <w:t xml:space="preserve"> band when optimising its utility.</w:t>
      </w:r>
    </w:p>
    <w:p w14:paraId="407916DF" w14:textId="3EA3A37F" w:rsidR="00A7266E" w:rsidRDefault="00A7266E" w:rsidP="00A7266E">
      <w:pPr>
        <w:pStyle w:val="Numberlistlevel1"/>
      </w:pPr>
      <w:r>
        <w:t>Ensure coexistence with other services in the upper 6</w:t>
      </w:r>
      <w:r w:rsidR="002D0D47">
        <w:t> GHz</w:t>
      </w:r>
      <w:r>
        <w:t xml:space="preserve"> band.</w:t>
      </w:r>
    </w:p>
    <w:p w14:paraId="78B46804" w14:textId="6FEE92B4" w:rsidR="00A7266E" w:rsidRDefault="00A7266E" w:rsidP="00A7266E">
      <w:pPr>
        <w:pStyle w:val="Numberlistlevel1"/>
      </w:pPr>
      <w:r>
        <w:t>Maintain coexistence with adjacent band services.</w:t>
      </w:r>
    </w:p>
    <w:p w14:paraId="03150BC8" w14:textId="6F22B7D3" w:rsidR="009F72B3" w:rsidRDefault="007F2BD6" w:rsidP="00053C8C">
      <w:pPr>
        <w:pStyle w:val="Paragraph"/>
      </w:pPr>
      <w:r>
        <w:t>We have a</w:t>
      </w:r>
      <w:r w:rsidR="00086E26">
        <w:t>ss</w:t>
      </w:r>
      <w:r>
        <w:t>essed each of the refined planning options against the desirable planning outcomes</w:t>
      </w:r>
      <w:r w:rsidR="00086E26" w:rsidRPr="00086E26">
        <w:t xml:space="preserve"> </w:t>
      </w:r>
      <w:r w:rsidR="00086E26">
        <w:t>in working towards our planning decisions</w:t>
      </w:r>
      <w:r>
        <w:t xml:space="preserve">. </w:t>
      </w:r>
      <w:r w:rsidR="00086E26">
        <w:t>The following sections contain a</w:t>
      </w:r>
      <w:r>
        <w:t xml:space="preserve"> summary of </w:t>
      </w:r>
      <w:r w:rsidR="00086E26">
        <w:t>that</w:t>
      </w:r>
      <w:r>
        <w:t xml:space="preserve"> assessment</w:t>
      </w:r>
      <w:r w:rsidR="00086E26">
        <w:t>:</w:t>
      </w:r>
      <w:r>
        <w:t xml:space="preserve"> </w:t>
      </w:r>
    </w:p>
    <w:p w14:paraId="19729141" w14:textId="3C51F074" w:rsidR="0055646F" w:rsidRDefault="0055646F" w:rsidP="00B31BD6">
      <w:pPr>
        <w:pStyle w:val="Heading3"/>
      </w:pPr>
      <w:bookmarkStart w:id="24" w:name="_Toc184973662"/>
      <w:r>
        <w:t>Desirable planning outcome 1</w:t>
      </w:r>
      <w:r w:rsidR="00700073">
        <w:t>:</w:t>
      </w:r>
      <w:r w:rsidR="001C0DCB">
        <w:t xml:space="preserve"> </w:t>
      </w:r>
      <w:r>
        <w:t>Optimise the efficiency and utility of the upper 6</w:t>
      </w:r>
      <w:r w:rsidR="002D0D47">
        <w:t> GHz</w:t>
      </w:r>
      <w:r>
        <w:t xml:space="preserve"> band by introducing arrangements for RLAN and/or WA WBB services.</w:t>
      </w:r>
      <w:bookmarkEnd w:id="24"/>
    </w:p>
    <w:p w14:paraId="181B334A" w14:textId="57467196" w:rsidR="0055646F" w:rsidRDefault="0055646F" w:rsidP="0055646F">
      <w:pPr>
        <w:pStyle w:val="Paragraph"/>
      </w:pPr>
      <w:r>
        <w:t>Option 1 provides no arrangement to introduce RLAN or WA WBB services in the upper 6</w:t>
      </w:r>
      <w:r w:rsidR="002D0D47">
        <w:t> GHz</w:t>
      </w:r>
      <w:r>
        <w:t xml:space="preserve"> band. As such, it is rated low for desirable planning outcome 1.</w:t>
      </w:r>
    </w:p>
    <w:p w14:paraId="168B5EEB" w14:textId="397ACCE9" w:rsidR="00C23853" w:rsidRDefault="0055646F" w:rsidP="0055646F">
      <w:pPr>
        <w:pStyle w:val="Paragraph"/>
      </w:pPr>
      <w:r>
        <w:t>Options 2</w:t>
      </w:r>
      <w:r w:rsidR="00700073">
        <w:t>–</w:t>
      </w:r>
      <w:r>
        <w:t>4 all provide RLAN and</w:t>
      </w:r>
      <w:r w:rsidR="004F6ED4">
        <w:t>/or</w:t>
      </w:r>
      <w:r>
        <w:t xml:space="preserve"> WA WBB arrangement to varying degrees</w:t>
      </w:r>
      <w:r w:rsidR="003561FE">
        <w:t xml:space="preserve">. As detailed in the </w:t>
      </w:r>
      <w:hyperlink w:anchor="_Summary_of_submissions" w:history="1">
        <w:r w:rsidR="001C0DCB" w:rsidRPr="00700073">
          <w:rPr>
            <w:rStyle w:val="Hyperlink"/>
          </w:rPr>
          <w:t>Summary of</w:t>
        </w:r>
        <w:r w:rsidR="003561FE" w:rsidRPr="00700073">
          <w:rPr>
            <w:rStyle w:val="Hyperlink"/>
          </w:rPr>
          <w:t xml:space="preserve"> </w:t>
        </w:r>
        <w:r w:rsidR="00700073" w:rsidRPr="00700073">
          <w:rPr>
            <w:rStyle w:val="Hyperlink"/>
          </w:rPr>
          <w:t>s</w:t>
        </w:r>
        <w:r w:rsidR="003561FE" w:rsidRPr="00700073">
          <w:rPr>
            <w:rStyle w:val="Hyperlink"/>
          </w:rPr>
          <w:t>ubmission</w:t>
        </w:r>
        <w:r w:rsidR="001C0DCB" w:rsidRPr="00700073">
          <w:rPr>
            <w:rStyle w:val="Hyperlink"/>
          </w:rPr>
          <w:t>s</w:t>
        </w:r>
        <w:r w:rsidR="003561FE" w:rsidRPr="00700073">
          <w:rPr>
            <w:rStyle w:val="Hyperlink"/>
          </w:rPr>
          <w:t xml:space="preserve"> chapter</w:t>
        </w:r>
      </w:hyperlink>
      <w:r w:rsidR="003561FE">
        <w:t>, we have not seen sufficient evidence that supports the need for the entire upper 6</w:t>
      </w:r>
      <w:r w:rsidR="002D0D47">
        <w:t> GHz</w:t>
      </w:r>
      <w:r w:rsidR="003561FE">
        <w:t xml:space="preserve"> band to be allocated for either RLAN or WA WBB use. Options 2 and 3 would </w:t>
      </w:r>
      <w:r w:rsidR="001C0DCB">
        <w:t xml:space="preserve">therefore </w:t>
      </w:r>
      <w:r w:rsidR="003561FE">
        <w:t>not</w:t>
      </w:r>
      <w:r w:rsidR="001C0DCB">
        <w:t>, in our view,</w:t>
      </w:r>
      <w:r w:rsidR="003561FE">
        <w:t xml:space="preserve"> optimise the utility of the upper 6</w:t>
      </w:r>
      <w:r w:rsidR="002D0D47">
        <w:t> GHz</w:t>
      </w:r>
      <w:r w:rsidR="003561FE">
        <w:t xml:space="preserve"> band</w:t>
      </w:r>
      <w:r w:rsidR="001C0DCB">
        <w:t>, especially when</w:t>
      </w:r>
      <w:r w:rsidR="003561FE">
        <w:t xml:space="preserve"> compar</w:t>
      </w:r>
      <w:r w:rsidR="001C0DCB">
        <w:t>ed</w:t>
      </w:r>
      <w:r w:rsidR="003561FE">
        <w:t xml:space="preserve"> to Option 4</w:t>
      </w:r>
      <w:r w:rsidR="00700073">
        <w:t xml:space="preserve">, which </w:t>
      </w:r>
      <w:r w:rsidR="003561FE">
        <w:t>would allow</w:t>
      </w:r>
      <w:r w:rsidR="009537FC">
        <w:t xml:space="preserve"> both RLAN and WA WBB use of the band.</w:t>
      </w:r>
      <w:r w:rsidR="005B285C">
        <w:t xml:space="preserve"> </w:t>
      </w:r>
    </w:p>
    <w:p w14:paraId="74FE3AF9" w14:textId="19A3939F" w:rsidR="005B285C" w:rsidRDefault="001C0DCB" w:rsidP="0055646F">
      <w:pPr>
        <w:pStyle w:val="Paragraph"/>
      </w:pPr>
      <w:r>
        <w:t xml:space="preserve">We again acknowledge that there may be </w:t>
      </w:r>
      <w:r w:rsidR="004E10A6">
        <w:t xml:space="preserve">some limited scenarios </w:t>
      </w:r>
      <w:r>
        <w:t>where the entire band</w:t>
      </w:r>
      <w:r w:rsidR="00177CAC">
        <w:t>, if provided to one service or the other</w:t>
      </w:r>
      <w:r w:rsidR="00C23853">
        <w:t xml:space="preserve"> (through implementation of either Option 2 or 3)</w:t>
      </w:r>
      <w:r w:rsidR="00177CAC">
        <w:t>,</w:t>
      </w:r>
      <w:r>
        <w:t xml:space="preserve"> might be efficiently used by </w:t>
      </w:r>
      <w:r w:rsidR="00177CAC">
        <w:t>that service</w:t>
      </w:r>
      <w:r w:rsidR="00C23853">
        <w:t xml:space="preserve"> in small areas and/or timeframes</w:t>
      </w:r>
      <w:r w:rsidR="00700073">
        <w:t xml:space="preserve">. However, this would be </w:t>
      </w:r>
      <w:r w:rsidR="004E10A6">
        <w:t xml:space="preserve">at the expense of no use at all by the other </w:t>
      </w:r>
      <w:r w:rsidR="00177CAC">
        <w:t xml:space="preserve">candidate </w:t>
      </w:r>
      <w:r w:rsidR="004E10A6">
        <w:t>service</w:t>
      </w:r>
      <w:r w:rsidR="00177CAC">
        <w:t>.</w:t>
      </w:r>
      <w:r w:rsidR="004E10A6">
        <w:t xml:space="preserve"> </w:t>
      </w:r>
      <w:r w:rsidR="00700073">
        <w:t>W</w:t>
      </w:r>
      <w:r w:rsidR="004E10A6">
        <w:t xml:space="preserve">e are of the view that </w:t>
      </w:r>
      <w:r w:rsidR="00700073">
        <w:br/>
      </w:r>
      <w:r w:rsidR="004E10A6">
        <w:t>Option 4 would optimise the efficient use by both services concurrently for more of the time</w:t>
      </w:r>
      <w:r w:rsidR="00951502">
        <w:t xml:space="preserve"> and/or at more locations overall</w:t>
      </w:r>
      <w:r w:rsidR="00700073">
        <w:t xml:space="preserve">. It would </w:t>
      </w:r>
      <w:r w:rsidR="00177CAC">
        <w:t>provid</w:t>
      </w:r>
      <w:r w:rsidR="00700073">
        <w:t>e</w:t>
      </w:r>
      <w:r w:rsidR="00177CAC">
        <w:t xml:space="preserve"> sufficient bandwidth to support </w:t>
      </w:r>
      <w:r w:rsidR="00700073">
        <w:t>most</w:t>
      </w:r>
      <w:r w:rsidR="00177CAC">
        <w:t xml:space="preserve"> use</w:t>
      </w:r>
      <w:r w:rsidR="00700073">
        <w:t>-</w:t>
      </w:r>
      <w:r w:rsidR="00177CAC">
        <w:t>cases to be served by both prospective services</w:t>
      </w:r>
      <w:r w:rsidR="004E10A6">
        <w:t>.</w:t>
      </w:r>
    </w:p>
    <w:p w14:paraId="3BD17711" w14:textId="6CC0785B" w:rsidR="0055646F" w:rsidRDefault="00086E26" w:rsidP="0055646F">
      <w:pPr>
        <w:pStyle w:val="Paragraph"/>
      </w:pPr>
      <w:r>
        <w:t>S</w:t>
      </w:r>
      <w:r w:rsidR="005B285C">
        <w:t xml:space="preserve">pectrum requirements can </w:t>
      </w:r>
      <w:r>
        <w:t xml:space="preserve">also </w:t>
      </w:r>
      <w:r w:rsidR="005B285C">
        <w:t xml:space="preserve">differ geographically. </w:t>
      </w:r>
      <w:r w:rsidR="00CE2B59">
        <w:t xml:space="preserve">It was evident in submissions that dedicated spectrum </w:t>
      </w:r>
      <w:r>
        <w:t xml:space="preserve">allocations </w:t>
      </w:r>
      <w:r w:rsidR="00CE2B59">
        <w:t xml:space="preserve">for WA WBB </w:t>
      </w:r>
      <w:r w:rsidR="004768EE">
        <w:t xml:space="preserve">are </w:t>
      </w:r>
      <w:r w:rsidR="00CE2B59">
        <w:t xml:space="preserve">only desired in populated areas, and that outside these areas </w:t>
      </w:r>
      <w:r w:rsidR="004E10A6">
        <w:t>apparatus</w:t>
      </w:r>
      <w:r w:rsidR="004768EE">
        <w:t>-</w:t>
      </w:r>
      <w:r w:rsidR="004E10A6">
        <w:t xml:space="preserve">licensed </w:t>
      </w:r>
      <w:r w:rsidR="00CE2B59">
        <w:t xml:space="preserve">access </w:t>
      </w:r>
      <w:r w:rsidR="004E10A6">
        <w:t xml:space="preserve">that is coordinated </w:t>
      </w:r>
      <w:r w:rsidR="00CE2B59">
        <w:t xml:space="preserve">with </w:t>
      </w:r>
      <w:r w:rsidR="004E10A6">
        <w:t xml:space="preserve">other </w:t>
      </w:r>
      <w:r w:rsidR="00CE2B59">
        <w:t xml:space="preserve">services would be </w:t>
      </w:r>
      <w:r>
        <w:t>more appropriate</w:t>
      </w:r>
      <w:r w:rsidR="00CE2B59">
        <w:t xml:space="preserve">. We agree with this </w:t>
      </w:r>
      <w:r w:rsidR="004E10A6">
        <w:t>suggestion</w:t>
      </w:r>
      <w:r w:rsidR="00CE2B59">
        <w:t xml:space="preserve">, </w:t>
      </w:r>
      <w:r w:rsidR="004E10A6">
        <w:t xml:space="preserve">so implementation of prospective </w:t>
      </w:r>
      <w:r w:rsidR="00CE2B59">
        <w:t>options</w:t>
      </w:r>
      <w:r w:rsidR="002A3F99">
        <w:t xml:space="preserve"> </w:t>
      </w:r>
      <w:r w:rsidR="00CE2B59">
        <w:t xml:space="preserve">that </w:t>
      </w:r>
      <w:r w:rsidR="004E10A6">
        <w:t xml:space="preserve">make </w:t>
      </w:r>
      <w:r w:rsidR="00CE2B59">
        <w:t xml:space="preserve">this geographic </w:t>
      </w:r>
      <w:r w:rsidR="004E10A6">
        <w:t xml:space="preserve">distinction </w:t>
      </w:r>
      <w:r w:rsidR="00CE2B59">
        <w:t xml:space="preserve">would </w:t>
      </w:r>
      <w:r w:rsidR="004E10A6">
        <w:t>help meet</w:t>
      </w:r>
      <w:r w:rsidR="00CE2B59">
        <w:t xml:space="preserve"> desirable planning outcome 1. </w:t>
      </w:r>
    </w:p>
    <w:p w14:paraId="6AB7840A" w14:textId="77777777" w:rsidR="0037203E" w:rsidRDefault="0037203E" w:rsidP="0055646F">
      <w:pPr>
        <w:pStyle w:val="Paragraph"/>
      </w:pPr>
    </w:p>
    <w:p w14:paraId="7591B1AC" w14:textId="554F8179" w:rsidR="00CE2B59" w:rsidRDefault="004768EE" w:rsidP="0055646F">
      <w:pPr>
        <w:pStyle w:val="Paragraph"/>
      </w:pPr>
      <w:r>
        <w:lastRenderedPageBreak/>
        <w:t>O</w:t>
      </w:r>
      <w:r w:rsidR="004E10A6">
        <w:t xml:space="preserve">ur view is that </w:t>
      </w:r>
      <w:r w:rsidR="00CE2B59">
        <w:t>Option 4, with arrangements for dedicated WA WBB access limited to defined geographic areas</w:t>
      </w:r>
      <w:r w:rsidR="004E10A6">
        <w:t>,</w:t>
      </w:r>
      <w:r w:rsidR="00544376">
        <w:t xml:space="preserve"> would rate the highest against the desirable planning outcome 1.</w:t>
      </w:r>
      <w:r w:rsidR="00FA5E6B" w:rsidRPr="00FA5E6B">
        <w:t xml:space="preserve"> </w:t>
      </w:r>
      <w:r w:rsidR="00086E26">
        <w:t>Access to</w:t>
      </w:r>
      <w:r w:rsidR="00FA5E6B">
        <w:t xml:space="preserve"> the band by </w:t>
      </w:r>
      <w:r w:rsidR="00F55351">
        <w:t>both</w:t>
      </w:r>
      <w:r w:rsidR="00FA5E6B">
        <w:t xml:space="preserve"> RLAN </w:t>
      </w:r>
      <w:r w:rsidR="00F55351">
        <w:t>and</w:t>
      </w:r>
      <w:r w:rsidR="00FA5E6B">
        <w:t xml:space="preserve"> WA WBB services would </w:t>
      </w:r>
      <w:r w:rsidR="00086E26">
        <w:t>help enable proliferation of</w:t>
      </w:r>
      <w:r w:rsidR="00FA5E6B">
        <w:t xml:space="preserve"> the </w:t>
      </w:r>
      <w:r w:rsidR="000820F5">
        <w:t>next generation</w:t>
      </w:r>
      <w:r w:rsidR="00FA5E6B">
        <w:t xml:space="preserve"> of</w:t>
      </w:r>
      <w:r w:rsidR="00FA5E6B" w:rsidRPr="000A748A">
        <w:t xml:space="preserve"> technologies</w:t>
      </w:r>
      <w:r w:rsidR="00FA5E6B">
        <w:t>, providing</w:t>
      </w:r>
      <w:r w:rsidR="00FA5E6B" w:rsidRPr="000A748A">
        <w:t xml:space="preserve"> consumers</w:t>
      </w:r>
      <w:r w:rsidR="00F55351">
        <w:t xml:space="preserve"> </w:t>
      </w:r>
      <w:r w:rsidR="00FA5E6B" w:rsidRPr="000A748A">
        <w:t xml:space="preserve">with more advanced </w:t>
      </w:r>
      <w:r w:rsidR="00086E26">
        <w:t xml:space="preserve">devices and </w:t>
      </w:r>
      <w:r w:rsidR="00FA5E6B" w:rsidRPr="000A748A">
        <w:t xml:space="preserve">capabilities, as well as </w:t>
      </w:r>
      <w:r w:rsidR="00F55351">
        <w:t>encouraging more intensive use of</w:t>
      </w:r>
      <w:r w:rsidR="00FA5E6B" w:rsidRPr="000A748A">
        <w:t xml:space="preserve"> existing devices (e.g.</w:t>
      </w:r>
      <w:r>
        <w:t>,</w:t>
      </w:r>
      <w:r w:rsidR="00FA5E6B" w:rsidRPr="000A748A">
        <w:t xml:space="preserve"> smartphones, laptops, tablets, and smart appliances). This will be driven by </w:t>
      </w:r>
      <w:r w:rsidR="00FA5E6B">
        <w:t>applications such as</w:t>
      </w:r>
      <w:r w:rsidR="008433EA">
        <w:t xml:space="preserve"> </w:t>
      </w:r>
      <w:r>
        <w:t>h</w:t>
      </w:r>
      <w:r w:rsidR="00F64A45">
        <w:t>igh-</w:t>
      </w:r>
      <w:r>
        <w:t>d</w:t>
      </w:r>
      <w:r w:rsidR="00F64A45">
        <w:t>efinition</w:t>
      </w:r>
      <w:r w:rsidR="00FA5E6B" w:rsidRPr="000A748A">
        <w:t xml:space="preserve"> and </w:t>
      </w:r>
      <w:r>
        <w:t>u</w:t>
      </w:r>
      <w:r w:rsidR="00F64A45">
        <w:t>ltra</w:t>
      </w:r>
      <w:r>
        <w:t xml:space="preserve"> h</w:t>
      </w:r>
      <w:r w:rsidR="00F64A45">
        <w:t>igh</w:t>
      </w:r>
      <w:r>
        <w:t>-d</w:t>
      </w:r>
      <w:r w:rsidR="00F64A45">
        <w:t>efinition</w:t>
      </w:r>
      <w:r w:rsidR="00FA5E6B" w:rsidRPr="000A748A">
        <w:t xml:space="preserve"> content, video calls and new use</w:t>
      </w:r>
      <w:r>
        <w:t>-</w:t>
      </w:r>
      <w:r w:rsidR="00FA5E6B" w:rsidRPr="000A748A">
        <w:t xml:space="preserve">cases such as smart glasses, real-time cloud gaming, 360 video and </w:t>
      </w:r>
      <w:r w:rsidR="00195346">
        <w:t>virtual/augmented reality</w:t>
      </w:r>
      <w:r w:rsidR="00FA5E6B" w:rsidRPr="000A748A">
        <w:t xml:space="preserve"> devices. It</w:t>
      </w:r>
      <w:r w:rsidR="00FA5E6B">
        <w:t xml:space="preserve"> would also enable a</w:t>
      </w:r>
      <w:r w:rsidR="00FA5E6B" w:rsidRPr="000A748A">
        <w:t xml:space="preserve"> significant increase in machine-to</w:t>
      </w:r>
      <w:r w:rsidR="00FA5E6B">
        <w:t>-</w:t>
      </w:r>
      <w:r w:rsidR="00FA5E6B" w:rsidRPr="000A748A">
        <w:t>machine</w:t>
      </w:r>
      <w:r w:rsidR="00FA5E6B">
        <w:t xml:space="preserve"> </w:t>
      </w:r>
      <w:r w:rsidR="00FA5E6B" w:rsidRPr="000A748A">
        <w:t>(M2M) and IoT devices</w:t>
      </w:r>
      <w:r w:rsidR="00F55351">
        <w:t xml:space="preserve"> and applications</w:t>
      </w:r>
      <w:r w:rsidR="00FA5E6B" w:rsidRPr="000A748A">
        <w:t xml:space="preserve">, such as for smart home, manufacturing, and vehicles. </w:t>
      </w:r>
    </w:p>
    <w:p w14:paraId="3552FE6A" w14:textId="2542C34A" w:rsidR="00544376" w:rsidRDefault="00544376" w:rsidP="00B31BD6">
      <w:pPr>
        <w:pStyle w:val="Heading3"/>
      </w:pPr>
      <w:bookmarkStart w:id="25" w:name="_Toc184973663"/>
      <w:r>
        <w:t>Desirable planning outcome 2</w:t>
      </w:r>
      <w:r w:rsidR="0070749E">
        <w:t>:</w:t>
      </w:r>
      <w:r w:rsidR="001C0DCB">
        <w:t xml:space="preserve"> </w:t>
      </w:r>
      <w:r>
        <w:t>Maintain regulatory arrangements to the extent possible for existing services within the upper 6</w:t>
      </w:r>
      <w:r w:rsidR="002D0D47">
        <w:t> GHz</w:t>
      </w:r>
      <w:r>
        <w:t xml:space="preserve"> band when optimising its utility.</w:t>
      </w:r>
      <w:bookmarkEnd w:id="25"/>
    </w:p>
    <w:p w14:paraId="49A19E7B" w14:textId="3C3B62B2" w:rsidR="0055646F" w:rsidRDefault="00544376" w:rsidP="00E21872">
      <w:pPr>
        <w:pStyle w:val="Paragraph"/>
      </w:pPr>
      <w:r>
        <w:t>Option 1 would rate high against the first part of this desirable outcome</w:t>
      </w:r>
      <w:r w:rsidR="004768EE">
        <w:t>,</w:t>
      </w:r>
      <w:r>
        <w:t xml:space="preserve"> as the existing arrangements would be maintained. However, as detailed above, this option would not optimise the utility of the band, given that RLAN and/or WA WBB services would not be </w:t>
      </w:r>
      <w:r w:rsidR="004768EE">
        <w:br/>
      </w:r>
      <w:r>
        <w:t xml:space="preserve">able to be deployed. Option 1 would </w:t>
      </w:r>
      <w:r w:rsidR="004E10A6">
        <w:t xml:space="preserve">therefore </w:t>
      </w:r>
      <w:r>
        <w:t xml:space="preserve">not be rated highly against this desirable </w:t>
      </w:r>
      <w:r w:rsidR="00102C97">
        <w:t xml:space="preserve">planning </w:t>
      </w:r>
      <w:r>
        <w:t>outcome.</w:t>
      </w:r>
    </w:p>
    <w:p w14:paraId="00837D34" w14:textId="10DB1A58" w:rsidR="00544376" w:rsidRDefault="00E21872" w:rsidP="00E21872">
      <w:pPr>
        <w:pStyle w:val="Paragraph"/>
      </w:pPr>
      <w:r>
        <w:t xml:space="preserve">We </w:t>
      </w:r>
      <w:r w:rsidR="004768EE">
        <w:t>believe</w:t>
      </w:r>
      <w:r>
        <w:t xml:space="preserve"> the introduction of RLAN arrangements would have minimal impact o</w:t>
      </w:r>
      <w:r w:rsidR="00BA1EB9">
        <w:t>n</w:t>
      </w:r>
      <w:r>
        <w:t xml:space="preserve"> incumbent services</w:t>
      </w:r>
      <w:r w:rsidR="004768EE">
        <w:t xml:space="preserve">. </w:t>
      </w:r>
      <w:r>
        <w:t xml:space="preserve">WA WBB arrangements would require incumbent services in the same area to </w:t>
      </w:r>
      <w:r w:rsidR="00F55351">
        <w:t xml:space="preserve">be coordinated against (which is difficult) or potentially </w:t>
      </w:r>
      <w:r>
        <w:t xml:space="preserve">cease operation. Similar views were expressed in submissions to the </w:t>
      </w:r>
      <w:r w:rsidR="004768EE">
        <w:t>o</w:t>
      </w:r>
      <w:r>
        <w:t xml:space="preserve">ptions </w:t>
      </w:r>
      <w:r w:rsidR="004768EE">
        <w:t>p</w:t>
      </w:r>
      <w:r>
        <w:t xml:space="preserve">aper. </w:t>
      </w:r>
      <w:r w:rsidR="00BA1EB9">
        <w:t>O</w:t>
      </w:r>
      <w:r>
        <w:t>ptions 2</w:t>
      </w:r>
      <w:r w:rsidR="00BA1EB9">
        <w:t xml:space="preserve"> and (to a lesser extent</w:t>
      </w:r>
      <w:r w:rsidR="004E10A6">
        <w:t>)</w:t>
      </w:r>
      <w:r w:rsidR="00BA1EB9">
        <w:t xml:space="preserve"> </w:t>
      </w:r>
      <w:r w:rsidR="004E10A6">
        <w:t xml:space="preserve">4 </w:t>
      </w:r>
      <w:r w:rsidR="00BA1EB9">
        <w:t>would</w:t>
      </w:r>
      <w:r w:rsidR="004E10A6">
        <w:t xml:space="preserve"> therefore</w:t>
      </w:r>
      <w:r w:rsidR="00BA1EB9">
        <w:t xml:space="preserve"> </w:t>
      </w:r>
      <w:r w:rsidR="00D72475">
        <w:t>rate high</w:t>
      </w:r>
      <w:r w:rsidR="004768EE">
        <w:t>ly</w:t>
      </w:r>
      <w:r w:rsidR="00D72475">
        <w:t xml:space="preserve"> against this desirable outcome compared to Option 3. </w:t>
      </w:r>
    </w:p>
    <w:p w14:paraId="651ED2FF" w14:textId="75137B2B" w:rsidR="00D72475" w:rsidRDefault="00D72475" w:rsidP="00D72475">
      <w:pPr>
        <w:pStyle w:val="Paragraph"/>
      </w:pPr>
      <w:r>
        <w:t xml:space="preserve">The impact on existing services from the potential introduction of WA WBB services can be </w:t>
      </w:r>
      <w:r w:rsidR="004E10A6">
        <w:t xml:space="preserve">reduced by </w:t>
      </w:r>
      <w:r>
        <w:t xml:space="preserve">limiting the frequency range and geographical area of WA WBB arrangements. Variations of Options </w:t>
      </w:r>
      <w:r w:rsidR="005274D1">
        <w:t>3</w:t>
      </w:r>
      <w:r>
        <w:t xml:space="preserve"> and 4 that limit WA WBB arrangements to defined areas will mean the existing services outside these areas will not be affected. Likewise, options that have a smaller frequency range for WA WBB use, balanced with ensuring the WA WBB allocation is still of </w:t>
      </w:r>
      <w:r w:rsidR="00177CAC">
        <w:t>sufficient</w:t>
      </w:r>
      <w:r>
        <w:t xml:space="preserve"> bandwidth to </w:t>
      </w:r>
      <w:r w:rsidR="00177CAC">
        <w:t xml:space="preserve">ensure </w:t>
      </w:r>
      <w:r>
        <w:t xml:space="preserve">its utility, </w:t>
      </w:r>
      <w:r w:rsidR="00177CAC">
        <w:t xml:space="preserve">will </w:t>
      </w:r>
      <w:r>
        <w:t>rate higher against the desirable outcomes.</w:t>
      </w:r>
    </w:p>
    <w:p w14:paraId="76CD5A6E" w14:textId="667377F4" w:rsidR="00D72475" w:rsidRDefault="00D72475" w:rsidP="00D72475">
      <w:pPr>
        <w:pStyle w:val="Paragraph"/>
      </w:pPr>
      <w:r>
        <w:t xml:space="preserve">Overall, a variation </w:t>
      </w:r>
      <w:r w:rsidR="00177CAC">
        <w:t xml:space="preserve">on </w:t>
      </w:r>
      <w:r>
        <w:t>Option</w:t>
      </w:r>
      <w:r w:rsidR="005274D1">
        <w:t>s 3 and</w:t>
      </w:r>
      <w:r>
        <w:t xml:space="preserve"> 4, which limits a WA WBB allocation to defined population areas, and doesn’t overlap with TOB services above 7100 MHz</w:t>
      </w:r>
      <w:r w:rsidR="00177CAC">
        <w:t>,</w:t>
      </w:r>
      <w:r>
        <w:t xml:space="preserve"> </w:t>
      </w:r>
      <w:r w:rsidR="00770DCB">
        <w:t>would rate highest against this desirable outcome.</w:t>
      </w:r>
    </w:p>
    <w:p w14:paraId="7EC56A07" w14:textId="095E1F35" w:rsidR="001A0876" w:rsidRDefault="003E068E" w:rsidP="00B31BD6">
      <w:pPr>
        <w:pStyle w:val="Heading3"/>
      </w:pPr>
      <w:bookmarkStart w:id="26" w:name="_Toc184973664"/>
      <w:r>
        <w:t>Desirable planning outcome</w:t>
      </w:r>
      <w:r w:rsidR="00177CAC">
        <w:t>s</w:t>
      </w:r>
      <w:r>
        <w:t xml:space="preserve"> 3</w:t>
      </w:r>
      <w:r w:rsidR="001A0876">
        <w:t xml:space="preserve"> and 4</w:t>
      </w:r>
      <w:r w:rsidR="0070749E">
        <w:t>:</w:t>
      </w:r>
      <w:r w:rsidR="001C0DCB">
        <w:t xml:space="preserve"> </w:t>
      </w:r>
      <w:r>
        <w:t>Ensure coexistence with other services in the upper 6</w:t>
      </w:r>
      <w:r w:rsidR="002D0D47">
        <w:t> GHz</w:t>
      </w:r>
      <w:r>
        <w:t xml:space="preserve"> band</w:t>
      </w:r>
      <w:r w:rsidR="001C0DCB">
        <w:t xml:space="preserve"> and m</w:t>
      </w:r>
      <w:r w:rsidR="001A0876">
        <w:t>aintain coexistence with adjacent band services.</w:t>
      </w:r>
      <w:bookmarkEnd w:id="26"/>
    </w:p>
    <w:p w14:paraId="5BD99AF8" w14:textId="74D43072" w:rsidR="001A0876" w:rsidRDefault="003E068E" w:rsidP="00A7266E">
      <w:pPr>
        <w:pStyle w:val="Paragraph"/>
      </w:pPr>
      <w:r>
        <w:t xml:space="preserve">It is expected that RLAN arrangements would be able to coexist with other services with minimal regulatory conditions, and without the need for incumbent users to cease operation. </w:t>
      </w:r>
      <w:r w:rsidR="00DD23C4">
        <w:t>While f</w:t>
      </w:r>
      <w:r>
        <w:t xml:space="preserve">or WA WBB, </w:t>
      </w:r>
      <w:r w:rsidR="001A0876">
        <w:t xml:space="preserve">incumbents </w:t>
      </w:r>
      <w:r w:rsidR="00177CAC">
        <w:t xml:space="preserve">would </w:t>
      </w:r>
      <w:r w:rsidR="001A0876">
        <w:t xml:space="preserve">need to </w:t>
      </w:r>
      <w:r w:rsidR="00F55351">
        <w:t xml:space="preserve">be coordinated against (which is difficult) or potentially </w:t>
      </w:r>
      <w:r w:rsidR="001A0876">
        <w:t>cease operation in the same frequenc</w:t>
      </w:r>
      <w:r w:rsidR="00177CAC">
        <w:t>ies</w:t>
      </w:r>
      <w:r w:rsidR="001A0876">
        <w:t xml:space="preserve"> and area</w:t>
      </w:r>
      <w:r w:rsidR="00177CAC">
        <w:t>s where WA WBB will be used</w:t>
      </w:r>
      <w:r w:rsidR="001A0876">
        <w:t xml:space="preserve">. We expect that the technical framework that would </w:t>
      </w:r>
      <w:r w:rsidR="00177CAC">
        <w:t>be developed for</w:t>
      </w:r>
      <w:r w:rsidR="001A0876">
        <w:t xml:space="preserve"> WA WBB </w:t>
      </w:r>
      <w:r w:rsidR="00177CAC">
        <w:t>would contain provisions for</w:t>
      </w:r>
      <w:r w:rsidR="001A0876">
        <w:t xml:space="preserve"> WA WBB to coexist with other services in adjacent areas or frequencies</w:t>
      </w:r>
      <w:r>
        <w:t xml:space="preserve">. </w:t>
      </w:r>
    </w:p>
    <w:p w14:paraId="115F3298" w14:textId="56D704D9" w:rsidR="00A7266E" w:rsidRDefault="001A0876" w:rsidP="00A7266E">
      <w:pPr>
        <w:pStyle w:val="Paragraph"/>
      </w:pPr>
      <w:r>
        <w:t xml:space="preserve">Overall, </w:t>
      </w:r>
      <w:r w:rsidR="003E068E">
        <w:t>Options 1</w:t>
      </w:r>
      <w:r w:rsidR="00484C54">
        <w:t xml:space="preserve"> </w:t>
      </w:r>
      <w:r>
        <w:t xml:space="preserve">and </w:t>
      </w:r>
      <w:r w:rsidR="003E068E">
        <w:t xml:space="preserve">2 </w:t>
      </w:r>
      <w:r>
        <w:t xml:space="preserve">would </w:t>
      </w:r>
      <w:r w:rsidR="003E068E">
        <w:t>rate high</w:t>
      </w:r>
      <w:r w:rsidR="00776488">
        <w:t>ly</w:t>
      </w:r>
      <w:r w:rsidR="003E068E">
        <w:t xml:space="preserve"> against th</w:t>
      </w:r>
      <w:r>
        <w:t>ese</w:t>
      </w:r>
      <w:r w:rsidR="003E068E">
        <w:t xml:space="preserve"> desirable planning outcome</w:t>
      </w:r>
      <w:r>
        <w:t>s, whereas Options 3 and 4 would rate lower</w:t>
      </w:r>
      <w:r w:rsidR="00776488">
        <w:t>. W</w:t>
      </w:r>
      <w:r w:rsidR="00177CAC">
        <w:t xml:space="preserve">hile </w:t>
      </w:r>
      <w:r>
        <w:t xml:space="preserve">coexistence with other adjacent band/area services would be achievable, services </w:t>
      </w:r>
      <w:r w:rsidR="00177CAC">
        <w:t xml:space="preserve">in the same band/area as WA WBB </w:t>
      </w:r>
      <w:r>
        <w:t>would need to cease operation</w:t>
      </w:r>
      <w:r w:rsidR="003E068E">
        <w:t>.</w:t>
      </w:r>
    </w:p>
    <w:p w14:paraId="2881DC27" w14:textId="5C31CF20" w:rsidR="00770DCB" w:rsidRDefault="00770DCB" w:rsidP="00770DCB">
      <w:pPr>
        <w:pStyle w:val="Heading2"/>
      </w:pPr>
      <w:bookmarkStart w:id="27" w:name="_Toc184973665"/>
      <w:r>
        <w:lastRenderedPageBreak/>
        <w:t>Quantitative cost</w:t>
      </w:r>
      <w:r w:rsidR="00776488">
        <w:t>-</w:t>
      </w:r>
      <w:r>
        <w:t>benefit analysis</w:t>
      </w:r>
      <w:bookmarkEnd w:id="27"/>
    </w:p>
    <w:p w14:paraId="401DDF50" w14:textId="240EB248" w:rsidR="00484C54" w:rsidRDefault="00102809" w:rsidP="00770DCB">
      <w:pPr>
        <w:pStyle w:val="Paragraph"/>
      </w:pPr>
      <w:r>
        <w:t>Where evidence is available, a quantitative analysis</w:t>
      </w:r>
      <w:r w:rsidR="00F55351">
        <w:t xml:space="preserve"> in a cost/benefit evaluation </w:t>
      </w:r>
      <w:r>
        <w:t xml:space="preserve">is also undertaken to </w:t>
      </w:r>
      <w:r w:rsidR="00F55351">
        <w:t xml:space="preserve">help </w:t>
      </w:r>
      <w:r>
        <w:t>inform the planning decisions. While potentially providing some useful insights</w:t>
      </w:r>
      <w:r w:rsidR="00BC5F77">
        <w:t xml:space="preserve"> – </w:t>
      </w:r>
      <w:r>
        <w:t>especially in comparing options</w:t>
      </w:r>
      <w:r w:rsidR="00BC5F77">
        <w:t xml:space="preserve"> – we </w:t>
      </w:r>
      <w:r>
        <w:t>acknowledge that there are limitations to a quantitative cost</w:t>
      </w:r>
      <w:r w:rsidR="00BC5F77">
        <w:t>-</w:t>
      </w:r>
      <w:r>
        <w:t>benefit analysis. Firstly, all inputs are estimates, often with large margins between point estimates. Precise data is either impossible to acquire (e.g.</w:t>
      </w:r>
      <w:r w:rsidR="00BC5F77">
        <w:t>,</w:t>
      </w:r>
      <w:r>
        <w:t xml:space="preserve"> future benefit to the </w:t>
      </w:r>
      <w:r w:rsidR="00484C54">
        <w:t>economy</w:t>
      </w:r>
      <w:r>
        <w:t xml:space="preserve">) or unavailable to obtain in practice (exact knowledge of equipment related costs and user business decisions, etc). </w:t>
      </w:r>
    </w:p>
    <w:p w14:paraId="69720031" w14:textId="360A8160" w:rsidR="00484C54" w:rsidRDefault="00484C54" w:rsidP="00484C54">
      <w:pPr>
        <w:pStyle w:val="Heading3"/>
      </w:pPr>
      <w:bookmarkStart w:id="28" w:name="_Toc184973666"/>
      <w:r>
        <w:t>Quantification of benefits</w:t>
      </w:r>
      <w:bookmarkEnd w:id="28"/>
    </w:p>
    <w:p w14:paraId="19EAC683" w14:textId="61C774F4" w:rsidR="00684704" w:rsidRPr="00B31BD6" w:rsidRDefault="00C31040" w:rsidP="00651E15">
      <w:pPr>
        <w:pStyle w:val="Paragraph"/>
      </w:pPr>
      <w:r w:rsidRPr="00B31BD6">
        <w:t xml:space="preserve">Quantitative benefits </w:t>
      </w:r>
      <w:r w:rsidR="00F55351">
        <w:t xml:space="preserve">to the economy </w:t>
      </w:r>
      <w:r w:rsidRPr="00B31BD6">
        <w:t xml:space="preserve">attributed to RLAN and WA WBB </w:t>
      </w:r>
      <w:r w:rsidR="000D55DA">
        <w:t>use</w:t>
      </w:r>
      <w:r w:rsidR="000D55DA" w:rsidRPr="00B31BD6">
        <w:t xml:space="preserve"> </w:t>
      </w:r>
      <w:r w:rsidR="00F55351">
        <w:t xml:space="preserve">were </w:t>
      </w:r>
      <w:r w:rsidRPr="00B31BD6">
        <w:t>provided in submissions to the Options Paper.</w:t>
      </w:r>
      <w:r w:rsidR="00096089">
        <w:t xml:space="preserve"> </w:t>
      </w:r>
    </w:p>
    <w:p w14:paraId="0AD1CAD6" w14:textId="62201A7F" w:rsidR="005B2A47" w:rsidRDefault="0099114E" w:rsidP="00651E15">
      <w:pPr>
        <w:pStyle w:val="Paragraph"/>
      </w:pPr>
      <w:r>
        <w:t>A submission from the</w:t>
      </w:r>
      <w:r w:rsidR="005B2A47" w:rsidRPr="005B2A47">
        <w:t xml:space="preserve"> Wi-Fi Alliance suggested</w:t>
      </w:r>
      <w:r w:rsidR="00F55351">
        <w:t xml:space="preserve"> that</w:t>
      </w:r>
      <w:r w:rsidR="005B2A47" w:rsidRPr="005B2A47">
        <w:t xml:space="preserve">, </w:t>
      </w:r>
      <w:r>
        <w:t>based on a study</w:t>
      </w:r>
      <w:r w:rsidR="005B2A47" w:rsidRPr="005B2A47">
        <w:t xml:space="preserve"> published in 2021, that the total economic value </w:t>
      </w:r>
      <w:r w:rsidR="001D5EA9">
        <w:t xml:space="preserve">to Australia </w:t>
      </w:r>
      <w:r w:rsidR="005B2A47" w:rsidRPr="005B2A47">
        <w:t>for the allocation of the 6</w:t>
      </w:r>
      <w:r w:rsidR="002D0D47">
        <w:t> GHz</w:t>
      </w:r>
      <w:r w:rsidR="005B2A47" w:rsidRPr="005B2A47">
        <w:t xml:space="preserve"> spectrum band for Wi-Fi and the deployment of Wi-Fi 6 and Wi-Fi 6E devices would reach $5.4 billion in 2025. This value </w:t>
      </w:r>
      <w:r w:rsidR="001D5EA9">
        <w:t xml:space="preserve">is </w:t>
      </w:r>
      <w:r w:rsidR="005B2A47" w:rsidRPr="005B2A47">
        <w:t>expected to increase in future years in line with a greater uptake of 6</w:t>
      </w:r>
      <w:r w:rsidR="002D0D47">
        <w:t> GHz</w:t>
      </w:r>
      <w:r w:rsidR="005B2A47" w:rsidRPr="005B2A47">
        <w:t xml:space="preserve"> band compatible equipment </w:t>
      </w:r>
      <w:r w:rsidR="001D5EA9">
        <w:t>(the study assumed</w:t>
      </w:r>
      <w:r w:rsidR="005B2A47" w:rsidRPr="005B2A47">
        <w:t xml:space="preserve"> that by 2025 only 40% of Wi-Fi traffic would rely on 6</w:t>
      </w:r>
      <w:r w:rsidR="002D0D47">
        <w:t> GHz</w:t>
      </w:r>
      <w:r w:rsidR="005B2A47" w:rsidRPr="005B2A47">
        <w:t xml:space="preserve"> channels</w:t>
      </w:r>
      <w:r w:rsidR="00102C97">
        <w:t>, demonstrating that there is scope for future growth</w:t>
      </w:r>
      <w:r w:rsidR="001D5EA9">
        <w:t>)</w:t>
      </w:r>
      <w:r w:rsidR="005B2A47" w:rsidRPr="005B2A47">
        <w:t xml:space="preserve">. </w:t>
      </w:r>
      <w:r w:rsidR="00E842A8">
        <w:t>O</w:t>
      </w:r>
      <w:r w:rsidR="001D5EA9">
        <w:t>ur understanding is that</w:t>
      </w:r>
      <w:r w:rsidR="00102C97">
        <w:t xml:space="preserve"> the quoted economic benefit</w:t>
      </w:r>
      <w:r w:rsidR="005B2A47" w:rsidRPr="005B2A47">
        <w:t xml:space="preserve"> value</w:t>
      </w:r>
      <w:r w:rsidR="00102C97">
        <w:t>s</w:t>
      </w:r>
      <w:r w:rsidR="005B2A47" w:rsidRPr="005B2A47">
        <w:t xml:space="preserve"> </w:t>
      </w:r>
      <w:r w:rsidR="00102C97">
        <w:t>is</w:t>
      </w:r>
      <w:r w:rsidR="005B2A47" w:rsidRPr="005B2A47">
        <w:t xml:space="preserve"> based on the </w:t>
      </w:r>
      <w:r w:rsidR="00E842A8" w:rsidRPr="005B2A47">
        <w:t>entirety</w:t>
      </w:r>
      <w:r w:rsidR="005B2A47" w:rsidRPr="005B2A47">
        <w:t xml:space="preserve"> of the 6</w:t>
      </w:r>
      <w:r w:rsidR="002D0D47">
        <w:t> GHz</w:t>
      </w:r>
      <w:r w:rsidR="005B2A47" w:rsidRPr="005B2A47">
        <w:t xml:space="preserve"> band (both the upper and lower bands)</w:t>
      </w:r>
      <w:r w:rsidR="00F55351">
        <w:t xml:space="preserve"> being made available for RLAN use</w:t>
      </w:r>
      <w:r w:rsidR="00102C97">
        <w:t xml:space="preserve">, </w:t>
      </w:r>
      <w:r w:rsidR="00F55351">
        <w:t>so</w:t>
      </w:r>
      <w:r w:rsidR="00102C97">
        <w:t xml:space="preserve"> the benefit attributed to providing RLAN access to the upper 6</w:t>
      </w:r>
      <w:r w:rsidR="002D0D47">
        <w:t> GHz</w:t>
      </w:r>
      <w:r w:rsidR="00102C97">
        <w:t xml:space="preserve"> band </w:t>
      </w:r>
      <w:r w:rsidR="00E62762">
        <w:t xml:space="preserve">alone </w:t>
      </w:r>
      <w:r w:rsidR="00102C97">
        <w:t>would be less</w:t>
      </w:r>
      <w:r w:rsidR="005B2A47" w:rsidRPr="005B2A47">
        <w:t>.</w:t>
      </w:r>
    </w:p>
    <w:p w14:paraId="5A7F813F" w14:textId="7E19729C" w:rsidR="000A748A" w:rsidRPr="000A748A" w:rsidRDefault="0099114E" w:rsidP="00651E15">
      <w:pPr>
        <w:pStyle w:val="Paragraph"/>
      </w:pPr>
      <w:r>
        <w:t>AMTA</w:t>
      </w:r>
      <w:r w:rsidR="00E62762">
        <w:t>’s submission</w:t>
      </w:r>
      <w:r>
        <w:t xml:space="preserve"> quoted a </w:t>
      </w:r>
      <w:r w:rsidR="000A748A" w:rsidRPr="000A748A">
        <w:t>study from 2022</w:t>
      </w:r>
      <w:r w:rsidR="00E62762">
        <w:t xml:space="preserve"> which</w:t>
      </w:r>
      <w:r w:rsidR="000A748A" w:rsidRPr="000A748A">
        <w:t xml:space="preserve"> suggests that there may be a </w:t>
      </w:r>
      <w:r w:rsidR="00EA42B1">
        <w:br/>
      </w:r>
      <w:r w:rsidR="000A748A" w:rsidRPr="000A748A">
        <w:t>0.1</w:t>
      </w:r>
      <w:r w:rsidR="0004578D">
        <w:t>5</w:t>
      </w:r>
      <w:r w:rsidR="00EA42B1">
        <w:t>–</w:t>
      </w:r>
      <w:r w:rsidR="000A748A" w:rsidRPr="000A748A">
        <w:t>0.</w:t>
      </w:r>
      <w:r w:rsidR="0004578D">
        <w:t>35</w:t>
      </w:r>
      <w:r w:rsidR="000A748A" w:rsidRPr="000A748A">
        <w:t xml:space="preserve">% </w:t>
      </w:r>
      <w:r w:rsidR="00025AA4">
        <w:t>(roughly $</w:t>
      </w:r>
      <w:r w:rsidR="0004578D">
        <w:t>4.5</w:t>
      </w:r>
      <w:r w:rsidR="00025AA4">
        <w:t xml:space="preserve"> to $</w:t>
      </w:r>
      <w:r w:rsidR="0004578D">
        <w:t>10.5</w:t>
      </w:r>
      <w:r w:rsidR="00025AA4">
        <w:t xml:space="preserve"> billion</w:t>
      </w:r>
      <w:r w:rsidR="00751CD3">
        <w:t xml:space="preserve"> based on current projections</w:t>
      </w:r>
      <w:r w:rsidR="00025AA4">
        <w:t xml:space="preserve">) </w:t>
      </w:r>
      <w:r w:rsidR="000A748A" w:rsidRPr="000A748A">
        <w:t xml:space="preserve">increase to the </w:t>
      </w:r>
      <w:r w:rsidR="00E842A8">
        <w:t xml:space="preserve">Australian </w:t>
      </w:r>
      <w:r w:rsidR="000A748A" w:rsidRPr="000A748A">
        <w:t>G</w:t>
      </w:r>
      <w:r w:rsidR="00E842A8">
        <w:t>D</w:t>
      </w:r>
      <w:r w:rsidR="000A748A" w:rsidRPr="000A748A">
        <w:t>P in 2035 if the entire upper 6</w:t>
      </w:r>
      <w:r w:rsidR="002D0D47">
        <w:t> GHz</w:t>
      </w:r>
      <w:r w:rsidR="000A748A" w:rsidRPr="000A748A">
        <w:t xml:space="preserve"> band </w:t>
      </w:r>
      <w:r w:rsidR="00E62762">
        <w:t>were to be</w:t>
      </w:r>
      <w:r w:rsidR="000A748A" w:rsidRPr="000A748A">
        <w:t xml:space="preserve"> </w:t>
      </w:r>
      <w:r w:rsidR="00E62762">
        <w:t>made available</w:t>
      </w:r>
      <w:r w:rsidR="000A748A" w:rsidRPr="000A748A">
        <w:t xml:space="preserve"> for </w:t>
      </w:r>
      <w:r w:rsidR="00EA42B1">
        <w:br/>
      </w:r>
      <w:r w:rsidR="000A748A" w:rsidRPr="000A748A">
        <w:t xml:space="preserve">WA WBB use. </w:t>
      </w:r>
    </w:p>
    <w:p w14:paraId="575607C0" w14:textId="2BFF74F0" w:rsidR="000A748A" w:rsidRDefault="00E62762" w:rsidP="00651E15">
      <w:pPr>
        <w:pStyle w:val="Paragraph"/>
      </w:pPr>
      <w:r>
        <w:t xml:space="preserve">While </w:t>
      </w:r>
      <w:r w:rsidR="000D55DA">
        <w:t>these</w:t>
      </w:r>
      <w:r>
        <w:t xml:space="preserve"> economic projections</w:t>
      </w:r>
      <w:r w:rsidR="000D55DA">
        <w:t xml:space="preserve"> are, by nature, difficult to produce with a high degree of accuracy</w:t>
      </w:r>
      <w:r>
        <w:t>, the material</w:t>
      </w:r>
      <w:r w:rsidRPr="00EC2260">
        <w:t xml:space="preserve"> provided </w:t>
      </w:r>
      <w:r>
        <w:t xml:space="preserve">by </w:t>
      </w:r>
      <w:r w:rsidRPr="00EC2260">
        <w:t xml:space="preserve">industry </w:t>
      </w:r>
      <w:r>
        <w:t>gives a useful</w:t>
      </w:r>
      <w:r w:rsidRPr="00EC2260">
        <w:t xml:space="preserve"> indicati</w:t>
      </w:r>
      <w:r>
        <w:t>on</w:t>
      </w:r>
      <w:r w:rsidRPr="00EC2260">
        <w:t xml:space="preserve"> of the </w:t>
      </w:r>
      <w:r>
        <w:t>general magnitude of the economic benefits that RLAN and/or WA WBB use of the upper 6</w:t>
      </w:r>
      <w:r w:rsidR="002D0D47">
        <w:t> GHz</w:t>
      </w:r>
      <w:r>
        <w:t xml:space="preserve"> band might contribute </w:t>
      </w:r>
      <w:r w:rsidR="006C4BEA">
        <w:t>to</w:t>
      </w:r>
      <w:r>
        <w:t xml:space="preserve"> Australia. O</w:t>
      </w:r>
      <w:r w:rsidR="00E300EB">
        <w:t>ur view is that</w:t>
      </w:r>
      <w:r w:rsidR="00D81E5B">
        <w:t xml:space="preserve"> the</w:t>
      </w:r>
      <w:r>
        <w:t>se</w:t>
      </w:r>
      <w:r w:rsidR="00D81E5B">
        <w:t xml:space="preserve"> economic benefits would </w:t>
      </w:r>
      <w:r w:rsidR="00EA42B1">
        <w:br/>
      </w:r>
      <w:r w:rsidR="00D81E5B">
        <w:t>outweigh the cost of relocating existing users</w:t>
      </w:r>
      <w:r w:rsidR="00E300EB">
        <w:t xml:space="preserve"> out of the</w:t>
      </w:r>
      <w:r w:rsidR="00D81E5B">
        <w:t xml:space="preserve"> band (discussed further below)</w:t>
      </w:r>
      <w:r>
        <w:t xml:space="preserve"> by a considerable margin.</w:t>
      </w:r>
    </w:p>
    <w:p w14:paraId="423A34C8" w14:textId="236665FB" w:rsidR="00484C54" w:rsidRDefault="00484C54" w:rsidP="00484C54">
      <w:pPr>
        <w:pStyle w:val="Heading3"/>
      </w:pPr>
      <w:bookmarkStart w:id="29" w:name="_Toc184973667"/>
      <w:r>
        <w:t>Quantification of costs</w:t>
      </w:r>
      <w:bookmarkEnd w:id="29"/>
    </w:p>
    <w:p w14:paraId="349BB3F3" w14:textId="5EBE467F" w:rsidR="00484C54" w:rsidRDefault="00484C54" w:rsidP="00425386">
      <w:pPr>
        <w:pStyle w:val="Paragraph"/>
      </w:pPr>
      <w:r>
        <w:t>The key quantifiable cost</w:t>
      </w:r>
      <w:r w:rsidR="00E62762">
        <w:t>s</w:t>
      </w:r>
      <w:r>
        <w:t xml:space="preserve"> of a planning decision in the band </w:t>
      </w:r>
      <w:r w:rsidR="00E62762">
        <w:t xml:space="preserve">are </w:t>
      </w:r>
      <w:r w:rsidR="000D55DA">
        <w:t>those</w:t>
      </w:r>
      <w:r>
        <w:t xml:space="preserve"> associated with requiring incumbent services to cease operation. As the planning options have been refined to limit WA WBB operation </w:t>
      </w:r>
      <w:r w:rsidR="000D55DA">
        <w:t xml:space="preserve">to below </w:t>
      </w:r>
      <w:r>
        <w:t xml:space="preserve">7100 MHz and within defined geographic areas, the impacted services </w:t>
      </w:r>
      <w:r w:rsidR="00365D39">
        <w:t xml:space="preserve">that would incur costs from a planning decision </w:t>
      </w:r>
      <w:r>
        <w:t>are fixed point-to point links and earth stations (operating under an earth or earth receive licence).</w:t>
      </w:r>
      <w:r w:rsidR="00B3113C">
        <w:t xml:space="preserve"> </w:t>
      </w:r>
    </w:p>
    <w:p w14:paraId="099E5FA3" w14:textId="082FBFD5" w:rsidR="00CB0AED" w:rsidRDefault="00425386" w:rsidP="00425386">
      <w:pPr>
        <w:pStyle w:val="Paragraphbeforelist"/>
      </w:pPr>
      <w:r>
        <w:t>The quantification of costs in this section is based on the following a</w:t>
      </w:r>
      <w:r w:rsidR="00CB0AED">
        <w:t>ssumptions:</w:t>
      </w:r>
    </w:p>
    <w:p w14:paraId="6B24C17B" w14:textId="493FCFFB" w:rsidR="00CB0AED" w:rsidRDefault="00CB0AED" w:rsidP="00CB0AED">
      <w:pPr>
        <w:pStyle w:val="Bulletlevel1"/>
      </w:pPr>
      <w:r>
        <w:t>I</w:t>
      </w:r>
      <w:r w:rsidR="000D55DA">
        <w:t>mpacted i</w:t>
      </w:r>
      <w:r>
        <w:t xml:space="preserve">ncumbent </w:t>
      </w:r>
      <w:r w:rsidR="00AE5D25">
        <w:t>fixed point-to-point</w:t>
      </w:r>
      <w:r>
        <w:t xml:space="preserve"> link operators </w:t>
      </w:r>
      <w:r w:rsidR="000D55DA">
        <w:t xml:space="preserve">would </w:t>
      </w:r>
      <w:r>
        <w:t>either:</w:t>
      </w:r>
    </w:p>
    <w:p w14:paraId="7D671E6A" w14:textId="6D9A2F1F" w:rsidR="00CB0AED" w:rsidRDefault="002F45C8" w:rsidP="00CB0AED">
      <w:pPr>
        <w:pStyle w:val="Bulletlevel2"/>
      </w:pPr>
      <w:r>
        <w:t>R</w:t>
      </w:r>
      <w:r w:rsidR="00CB0AED">
        <w:t>etune to the lower 6</w:t>
      </w:r>
      <w:r w:rsidR="002D0D47">
        <w:t> GHz</w:t>
      </w:r>
      <w:r w:rsidR="00CB0AED">
        <w:t xml:space="preserve"> band (5925</w:t>
      </w:r>
      <w:r>
        <w:t>–</w:t>
      </w:r>
      <w:r w:rsidR="00CB0AED">
        <w:t>6425 MHz), if there is capacity in the</w:t>
      </w:r>
      <w:r w:rsidR="00AE5D25">
        <w:t xml:space="preserve"> lower 6</w:t>
      </w:r>
      <w:r w:rsidR="002D0D47">
        <w:t> GHz</w:t>
      </w:r>
      <w:r w:rsidR="00CB0AED">
        <w:t xml:space="preserve"> band</w:t>
      </w:r>
      <w:r w:rsidR="00AA1D38">
        <w:t xml:space="preserve"> to accommodate the link</w:t>
      </w:r>
      <w:r w:rsidR="00CB0AED">
        <w:t xml:space="preserve"> and </w:t>
      </w:r>
      <w:r w:rsidR="00AE5D25">
        <w:t xml:space="preserve">if </w:t>
      </w:r>
      <w:r w:rsidR="00CB0AED">
        <w:t>the equipment/infrastructure allow</w:t>
      </w:r>
      <w:r w:rsidR="00AA1D38">
        <w:t>s</w:t>
      </w:r>
      <w:r w:rsidR="00CB0AED">
        <w:t xml:space="preserve"> retuning with minimal cost</w:t>
      </w:r>
      <w:r>
        <w:t>.</w:t>
      </w:r>
    </w:p>
    <w:p w14:paraId="6747F4AF" w14:textId="2727949F" w:rsidR="00CB0AED" w:rsidRDefault="002F45C8" w:rsidP="00CB0AED">
      <w:pPr>
        <w:pStyle w:val="Bulletlevel2"/>
      </w:pPr>
      <w:r>
        <w:t>U</w:t>
      </w:r>
      <w:r w:rsidR="00CB0AED">
        <w:t xml:space="preserve">pgrade equipment/infrastructure to </w:t>
      </w:r>
      <w:r w:rsidR="00AE5D25">
        <w:t xml:space="preserve">enable </w:t>
      </w:r>
      <w:r w:rsidR="00CB0AED">
        <w:t>operat</w:t>
      </w:r>
      <w:r w:rsidR="00AE5D25">
        <w:t>ion</w:t>
      </w:r>
      <w:r w:rsidR="00CB0AED">
        <w:t xml:space="preserve"> in a </w:t>
      </w:r>
      <w:r w:rsidR="00365D39">
        <w:t xml:space="preserve">frequency </w:t>
      </w:r>
      <w:r w:rsidR="00CB0AED">
        <w:t>band other than the lower 6</w:t>
      </w:r>
      <w:r w:rsidR="002D0D47">
        <w:t> GHz</w:t>
      </w:r>
      <w:r w:rsidR="00CB0AED">
        <w:t xml:space="preserve"> band, at a higher cost</w:t>
      </w:r>
      <w:r w:rsidR="00851CD9">
        <w:t>.</w:t>
      </w:r>
    </w:p>
    <w:p w14:paraId="5F676005" w14:textId="7508E351" w:rsidR="00CB0AED" w:rsidRDefault="000D55DA" w:rsidP="00CB0AED">
      <w:pPr>
        <w:pStyle w:val="Bulletlevel1"/>
      </w:pPr>
      <w:r>
        <w:lastRenderedPageBreak/>
        <w:t xml:space="preserve">Affected satellite </w:t>
      </w:r>
      <w:r w:rsidR="002F45C8">
        <w:t>e</w:t>
      </w:r>
      <w:r>
        <w:t xml:space="preserve">arth </w:t>
      </w:r>
      <w:r w:rsidR="00CB0AED">
        <w:t xml:space="preserve">station operators </w:t>
      </w:r>
      <w:r>
        <w:t xml:space="preserve">would </w:t>
      </w:r>
      <w:r w:rsidR="00CB0AED">
        <w:t xml:space="preserve">need to physically relocate </w:t>
      </w:r>
      <w:r>
        <w:t xml:space="preserve">their station </w:t>
      </w:r>
      <w:r w:rsidR="00CB0AED">
        <w:t xml:space="preserve">outside of </w:t>
      </w:r>
      <w:r>
        <w:t xml:space="preserve">a </w:t>
      </w:r>
      <w:r w:rsidR="00CB0AED">
        <w:t>defined area. While a possible option would be to retun</w:t>
      </w:r>
      <w:r w:rsidR="00852A57">
        <w:t>e</w:t>
      </w:r>
      <w:r w:rsidR="00CB0AED">
        <w:t xml:space="preserve"> </w:t>
      </w:r>
      <w:r w:rsidR="00852A57">
        <w:t xml:space="preserve">operations </w:t>
      </w:r>
      <w:r w:rsidR="00CB0AED">
        <w:t xml:space="preserve">to below 6585 MHz, this would be dependent on factors such as the </w:t>
      </w:r>
      <w:r w:rsidR="00851CD9">
        <w:t>flexibility</w:t>
      </w:r>
      <w:r w:rsidR="00CB0AED">
        <w:t xml:space="preserve"> of equipment/infrastructure to retune and </w:t>
      </w:r>
      <w:r w:rsidR="00851CD9">
        <w:t xml:space="preserve">successful </w:t>
      </w:r>
      <w:r w:rsidR="00CB0AED">
        <w:t xml:space="preserve">coordination with </w:t>
      </w:r>
      <w:r w:rsidR="00851CD9">
        <w:t>fixed links and domestic and foreign satellite</w:t>
      </w:r>
      <w:r w:rsidR="00CB0AED">
        <w:t xml:space="preserve"> operators</w:t>
      </w:r>
      <w:r w:rsidR="00851CD9">
        <w:t xml:space="preserve">. </w:t>
      </w:r>
      <w:r w:rsidR="002F45C8">
        <w:t>W</w:t>
      </w:r>
      <w:r w:rsidR="00851CD9">
        <w:t>e have taken the conservative approach and assume</w:t>
      </w:r>
      <w:r w:rsidR="00025AA4">
        <w:t>d</w:t>
      </w:r>
      <w:r w:rsidR="00851CD9">
        <w:t xml:space="preserve"> </w:t>
      </w:r>
      <w:r w:rsidR="00025AA4">
        <w:t>that</w:t>
      </w:r>
      <w:r w:rsidR="00851CD9">
        <w:t xml:space="preserve"> all affected earth stations </w:t>
      </w:r>
      <w:r w:rsidR="00025AA4">
        <w:t xml:space="preserve">would need </w:t>
      </w:r>
      <w:r w:rsidR="00851CD9">
        <w:t xml:space="preserve">to </w:t>
      </w:r>
      <w:r w:rsidR="00852A57">
        <w:t xml:space="preserve">be </w:t>
      </w:r>
      <w:r w:rsidR="00851CD9">
        <w:t>physically relocate</w:t>
      </w:r>
      <w:r w:rsidR="00852A57">
        <w:t>d</w:t>
      </w:r>
      <w:r w:rsidR="003B1053">
        <w:t xml:space="preserve">. However fixed-satellite uplink stations, for example, could be subject to exclusion zones for </w:t>
      </w:r>
      <w:r w:rsidR="002F45C8">
        <w:br/>
      </w:r>
      <w:r w:rsidR="003B1053">
        <w:t>WA WBB deployments instead of needing to relocate</w:t>
      </w:r>
      <w:r w:rsidR="002F45C8">
        <w:t>. This r</w:t>
      </w:r>
      <w:r w:rsidR="003B1053">
        <w:t>einforces that these are indeed worst-case compliance costs.</w:t>
      </w:r>
    </w:p>
    <w:p w14:paraId="75479023" w14:textId="7E5A134B" w:rsidR="00851CD9" w:rsidRDefault="00025AA4" w:rsidP="00CB0AED">
      <w:pPr>
        <w:pStyle w:val="Bulletlevel1"/>
      </w:pPr>
      <w:r>
        <w:t>F</w:t>
      </w:r>
      <w:r w:rsidR="00851CD9">
        <w:t xml:space="preserve">ixed link and earth station </w:t>
      </w:r>
      <w:r>
        <w:t xml:space="preserve">compliance </w:t>
      </w:r>
      <w:r w:rsidR="00851CD9">
        <w:t>costs are based on the assumptions used in our 3700</w:t>
      </w:r>
      <w:r w:rsidR="002F45C8">
        <w:t>–</w:t>
      </w:r>
      <w:r w:rsidR="00851CD9">
        <w:t>4200 MHz planning process, adjusted for inflation.</w:t>
      </w:r>
      <w:r w:rsidR="00365D39">
        <w:rPr>
          <w:rStyle w:val="FootnoteReference"/>
        </w:rPr>
        <w:footnoteReference w:id="9"/>
      </w:r>
      <w:r w:rsidR="00851CD9">
        <w:t xml:space="preserve"> </w:t>
      </w:r>
    </w:p>
    <w:p w14:paraId="0068CBD1" w14:textId="117F7E58" w:rsidR="00851CD9" w:rsidRDefault="00851CD9" w:rsidP="00425386">
      <w:pPr>
        <w:pStyle w:val="Bulletlevel1last"/>
      </w:pPr>
      <w:r>
        <w:t xml:space="preserve">The defined areas used in this analysis </w:t>
      </w:r>
      <w:r w:rsidR="00025AA4">
        <w:t xml:space="preserve">are </w:t>
      </w:r>
      <w:r>
        <w:t>the areas subject to spectrum licensing in the 3750</w:t>
      </w:r>
      <w:r w:rsidR="002F45C8">
        <w:t>–</w:t>
      </w:r>
      <w:r>
        <w:t>3800 MHz</w:t>
      </w:r>
      <w:r w:rsidR="00025AA4">
        <w:t xml:space="preserve"> band</w:t>
      </w:r>
      <w:r w:rsidR="00365D39">
        <w:t xml:space="preserve">, </w:t>
      </w:r>
      <w:r w:rsidR="00025AA4">
        <w:t xml:space="preserve">for reasons described in the </w:t>
      </w:r>
      <w:hyperlink w:anchor="_Planning_considerations" w:history="1">
        <w:r w:rsidR="00025AA4" w:rsidRPr="002F45C8">
          <w:rPr>
            <w:rStyle w:val="Hyperlink"/>
          </w:rPr>
          <w:t>Planning considerations chapter</w:t>
        </w:r>
      </w:hyperlink>
      <w:r w:rsidR="00025AA4">
        <w:t xml:space="preserve"> of this paper</w:t>
      </w:r>
      <w:r>
        <w:t>.</w:t>
      </w:r>
    </w:p>
    <w:p w14:paraId="24A7FF4B" w14:textId="5EA10564" w:rsidR="00851CD9" w:rsidRDefault="00851CD9" w:rsidP="003337E6">
      <w:pPr>
        <w:pStyle w:val="Paragraph"/>
      </w:pPr>
      <w:r>
        <w:t>Table 1 contains the number of current</w:t>
      </w:r>
      <w:r w:rsidR="00365D39">
        <w:t xml:space="preserve"> fixed</w:t>
      </w:r>
      <w:r>
        <w:t xml:space="preserve"> links and earth station sites (per operator)</w:t>
      </w:r>
      <w:r w:rsidR="00365D39">
        <w:t xml:space="preserve"> in the applicable frequency range and area</w:t>
      </w:r>
      <w:r w:rsidR="00025AA4">
        <w:t xml:space="preserve"> that would be impacted by either Option 3 or 4</w:t>
      </w:r>
      <w:r>
        <w:t xml:space="preserve">, </w:t>
      </w:r>
      <w:r w:rsidR="00025AA4">
        <w:t xml:space="preserve">along with </w:t>
      </w:r>
      <w:r>
        <w:t xml:space="preserve">the assumed costs per link/site </w:t>
      </w:r>
      <w:r w:rsidR="00AC6567">
        <w:t xml:space="preserve">(for either scenario) </w:t>
      </w:r>
      <w:r>
        <w:t xml:space="preserve">and the total costs for both </w:t>
      </w:r>
      <w:r w:rsidR="00025AA4">
        <w:t>options</w:t>
      </w:r>
      <w:r>
        <w:t>.</w:t>
      </w:r>
      <w:r w:rsidR="00AC6567">
        <w:t xml:space="preserve"> The assumed percentage of fixed link</w:t>
      </w:r>
      <w:r w:rsidR="00BB3BD7">
        <w:t>s</w:t>
      </w:r>
      <w:r w:rsidR="00AC6567">
        <w:t xml:space="preserve"> that </w:t>
      </w:r>
      <w:r w:rsidR="00025AA4">
        <w:t>would be able to</w:t>
      </w:r>
      <w:r w:rsidR="00AC6567">
        <w:t xml:space="preserve"> retune (10%) is based on </w:t>
      </w:r>
      <w:r w:rsidR="00025AA4">
        <w:t xml:space="preserve">a review of current </w:t>
      </w:r>
      <w:r w:rsidR="00AC6567">
        <w:t xml:space="preserve">channel </w:t>
      </w:r>
      <w:r w:rsidR="00025AA4">
        <w:t>occupancy</w:t>
      </w:r>
      <w:r w:rsidR="00AC6567">
        <w:t xml:space="preserve"> statistics in the lower 6</w:t>
      </w:r>
      <w:r w:rsidR="002D0D47">
        <w:t> GHz</w:t>
      </w:r>
      <w:r w:rsidR="00AC6567">
        <w:t xml:space="preserve"> band.</w:t>
      </w:r>
      <w:r w:rsidR="00B86B5D">
        <w:t xml:space="preserve"> From </w:t>
      </w:r>
      <w:r w:rsidR="00162883">
        <w:br/>
      </w:r>
      <w:r w:rsidR="00B86B5D">
        <w:t xml:space="preserve">Table 1, the estimated compliance costs for Options 3 and 4 </w:t>
      </w:r>
      <w:r w:rsidR="00F75DBA">
        <w:t>are</w:t>
      </w:r>
      <w:r w:rsidR="003D29E5">
        <w:t xml:space="preserve"> $431,163,442 and</w:t>
      </w:r>
      <w:r w:rsidR="00F75DBA">
        <w:t xml:space="preserve"> </w:t>
      </w:r>
      <w:r w:rsidR="00162883">
        <w:br/>
      </w:r>
      <w:r w:rsidR="00B86B5D" w:rsidRPr="00B31BD6">
        <w:t>$378,337,772 respectively.</w:t>
      </w:r>
    </w:p>
    <w:p w14:paraId="55131291" w14:textId="7084F0A5" w:rsidR="00851CD9" w:rsidRDefault="00851CD9" w:rsidP="00851CD9">
      <w:pPr>
        <w:pStyle w:val="Tableheading"/>
      </w:pPr>
      <w:r>
        <w:t xml:space="preserve">Estimated </w:t>
      </w:r>
      <w:r w:rsidR="00025AA4">
        <w:t>relocation costs</w:t>
      </w:r>
      <w:r w:rsidR="00237546">
        <w:t xml:space="preserve"> </w:t>
      </w:r>
      <w:r w:rsidR="00025AA4">
        <w:t xml:space="preserve">for </w:t>
      </w:r>
      <w:r w:rsidR="00237546">
        <w:t>incumbent services</w:t>
      </w:r>
      <w:r w:rsidR="00025AA4">
        <w:t xml:space="preserve"> affected by Options 3 </w:t>
      </w:r>
      <w:r w:rsidR="00F75DBA">
        <w:br/>
      </w:r>
      <w:r w:rsidR="00025AA4">
        <w:t>and 4</w:t>
      </w:r>
    </w:p>
    <w:tbl>
      <w:tblPr>
        <w:tblW w:w="0" w:type="auto"/>
        <w:tblCellMar>
          <w:left w:w="0" w:type="dxa"/>
          <w:right w:w="0" w:type="dxa"/>
        </w:tblCellMar>
        <w:tblLook w:val="04A0" w:firstRow="1" w:lastRow="0" w:firstColumn="1" w:lastColumn="0" w:noHBand="0" w:noVBand="1"/>
      </w:tblPr>
      <w:tblGrid>
        <w:gridCol w:w="1439"/>
        <w:gridCol w:w="1744"/>
        <w:gridCol w:w="1461"/>
        <w:gridCol w:w="1444"/>
        <w:gridCol w:w="1433"/>
        <w:gridCol w:w="1539"/>
      </w:tblGrid>
      <w:tr w:rsidR="00F75DBA" w:rsidRPr="00F75DBA" w14:paraId="70FF67A8" w14:textId="77777777" w:rsidTr="003D29E5">
        <w:tc>
          <w:tcPr>
            <w:tcW w:w="1455" w:type="dxa"/>
            <w:tcBorders>
              <w:top w:val="single" w:sz="4" w:space="0" w:color="auto"/>
              <w:left w:val="single" w:sz="4" w:space="0" w:color="auto"/>
              <w:bottom w:val="single" w:sz="4" w:space="0" w:color="auto"/>
              <w:right w:val="single" w:sz="4" w:space="0" w:color="auto"/>
            </w:tcBorders>
            <w:shd w:val="clear" w:color="auto" w:fill="000000" w:themeFill="text1"/>
            <w:tcMar>
              <w:top w:w="0" w:type="dxa"/>
              <w:left w:w="108" w:type="dxa"/>
              <w:bottom w:w="0" w:type="dxa"/>
              <w:right w:w="108" w:type="dxa"/>
            </w:tcMar>
          </w:tcPr>
          <w:p w14:paraId="2C62B29F" w14:textId="77777777" w:rsidR="00851CD9" w:rsidRPr="00D2147F" w:rsidRDefault="00851CD9" w:rsidP="002C7265">
            <w:pPr>
              <w:rPr>
                <w:rFonts w:ascii="Calibri" w:eastAsiaTheme="minorHAnsi" w:hAnsi="Calibri"/>
                <w:b/>
                <w:bCs/>
                <w:color w:val="FFFFFF" w:themeColor="background1"/>
                <w:lang w:eastAsia="en-US"/>
              </w:rPr>
            </w:pPr>
          </w:p>
        </w:tc>
        <w:tc>
          <w:tcPr>
            <w:tcW w:w="1759" w:type="dxa"/>
            <w:tcBorders>
              <w:top w:val="single" w:sz="4" w:space="0" w:color="auto"/>
              <w:left w:val="single" w:sz="4" w:space="0" w:color="auto"/>
              <w:bottom w:val="single" w:sz="4" w:space="0" w:color="auto"/>
              <w:right w:val="single" w:sz="4" w:space="0" w:color="auto"/>
            </w:tcBorders>
            <w:shd w:val="clear" w:color="auto" w:fill="000000" w:themeFill="text1"/>
            <w:tcMar>
              <w:top w:w="0" w:type="dxa"/>
              <w:left w:w="108" w:type="dxa"/>
              <w:bottom w:w="0" w:type="dxa"/>
              <w:right w:w="108" w:type="dxa"/>
            </w:tcMar>
            <w:hideMark/>
          </w:tcPr>
          <w:p w14:paraId="616B59D9" w14:textId="77777777" w:rsidR="00851CD9" w:rsidRPr="00D2147F" w:rsidRDefault="00851CD9" w:rsidP="002C7265">
            <w:pPr>
              <w:rPr>
                <w:b/>
                <w:bCs/>
                <w:color w:val="FFFFFF" w:themeColor="background1"/>
              </w:rPr>
            </w:pPr>
            <w:r w:rsidRPr="00D2147F">
              <w:rPr>
                <w:b/>
                <w:bCs/>
                <w:color w:val="FFFFFF" w:themeColor="background1"/>
              </w:rPr>
              <w:t>Number of links/sites</w:t>
            </w:r>
          </w:p>
        </w:tc>
        <w:tc>
          <w:tcPr>
            <w:tcW w:w="1396" w:type="dxa"/>
            <w:tcBorders>
              <w:top w:val="single" w:sz="4" w:space="0" w:color="auto"/>
              <w:left w:val="single" w:sz="4" w:space="0" w:color="auto"/>
              <w:bottom w:val="single" w:sz="4" w:space="0" w:color="auto"/>
              <w:right w:val="single" w:sz="4" w:space="0" w:color="auto"/>
            </w:tcBorders>
            <w:shd w:val="clear" w:color="auto" w:fill="000000" w:themeFill="text1"/>
            <w:tcMar>
              <w:top w:w="0" w:type="dxa"/>
              <w:left w:w="108" w:type="dxa"/>
              <w:bottom w:w="0" w:type="dxa"/>
              <w:right w:w="108" w:type="dxa"/>
            </w:tcMar>
            <w:hideMark/>
          </w:tcPr>
          <w:p w14:paraId="6E62BCBC" w14:textId="77777777" w:rsidR="00851CD9" w:rsidRPr="00D2147F" w:rsidRDefault="00851CD9" w:rsidP="002C7265">
            <w:pPr>
              <w:rPr>
                <w:b/>
                <w:bCs/>
                <w:color w:val="FFFFFF" w:themeColor="background1"/>
              </w:rPr>
            </w:pPr>
            <w:r w:rsidRPr="00D2147F">
              <w:rPr>
                <w:b/>
                <w:bCs/>
                <w:color w:val="FFFFFF" w:themeColor="background1"/>
              </w:rPr>
              <w:t>Replacement cost per link/site</w:t>
            </w:r>
          </w:p>
        </w:tc>
        <w:tc>
          <w:tcPr>
            <w:tcW w:w="1459" w:type="dxa"/>
            <w:tcBorders>
              <w:top w:val="single" w:sz="4" w:space="0" w:color="auto"/>
              <w:left w:val="single" w:sz="4" w:space="0" w:color="auto"/>
              <w:bottom w:val="single" w:sz="4" w:space="0" w:color="auto"/>
              <w:right w:val="single" w:sz="4" w:space="0" w:color="auto"/>
            </w:tcBorders>
            <w:shd w:val="clear" w:color="auto" w:fill="000000" w:themeFill="text1"/>
            <w:tcMar>
              <w:top w:w="0" w:type="dxa"/>
              <w:left w:w="108" w:type="dxa"/>
              <w:bottom w:w="0" w:type="dxa"/>
              <w:right w:w="108" w:type="dxa"/>
            </w:tcMar>
            <w:hideMark/>
          </w:tcPr>
          <w:p w14:paraId="5CEF6F82" w14:textId="77777777" w:rsidR="00851CD9" w:rsidRPr="00D2147F" w:rsidRDefault="00851CD9" w:rsidP="002C7265">
            <w:pPr>
              <w:rPr>
                <w:b/>
                <w:bCs/>
                <w:color w:val="FFFFFF" w:themeColor="background1"/>
              </w:rPr>
            </w:pPr>
            <w:r w:rsidRPr="00D2147F">
              <w:rPr>
                <w:b/>
                <w:bCs/>
                <w:color w:val="FFFFFF" w:themeColor="background1"/>
              </w:rPr>
              <w:t>Retune cost per link</w:t>
            </w:r>
          </w:p>
        </w:tc>
        <w:tc>
          <w:tcPr>
            <w:tcW w:w="1449" w:type="dxa"/>
            <w:tcBorders>
              <w:top w:val="single" w:sz="4" w:space="0" w:color="auto"/>
              <w:left w:val="single" w:sz="4" w:space="0" w:color="auto"/>
              <w:bottom w:val="single" w:sz="4" w:space="0" w:color="auto"/>
              <w:right w:val="single" w:sz="4" w:space="0" w:color="auto"/>
            </w:tcBorders>
            <w:shd w:val="clear" w:color="auto" w:fill="000000" w:themeFill="text1"/>
            <w:tcMar>
              <w:top w:w="0" w:type="dxa"/>
              <w:left w:w="108" w:type="dxa"/>
              <w:bottom w:w="0" w:type="dxa"/>
              <w:right w:w="108" w:type="dxa"/>
            </w:tcMar>
            <w:hideMark/>
          </w:tcPr>
          <w:p w14:paraId="6895A7C4" w14:textId="77777777" w:rsidR="00851CD9" w:rsidRPr="00D2147F" w:rsidRDefault="00851CD9" w:rsidP="002C7265">
            <w:pPr>
              <w:rPr>
                <w:b/>
                <w:bCs/>
                <w:color w:val="FFFFFF" w:themeColor="background1"/>
              </w:rPr>
            </w:pPr>
            <w:r w:rsidRPr="00D2147F">
              <w:rPr>
                <w:b/>
                <w:bCs/>
                <w:color w:val="FFFFFF" w:themeColor="background1"/>
              </w:rPr>
              <w:t>% that can retune</w:t>
            </w:r>
          </w:p>
        </w:tc>
        <w:tc>
          <w:tcPr>
            <w:tcW w:w="1542" w:type="dxa"/>
            <w:tcBorders>
              <w:top w:val="single" w:sz="4" w:space="0" w:color="auto"/>
              <w:left w:val="single" w:sz="4" w:space="0" w:color="auto"/>
              <w:bottom w:val="single" w:sz="4" w:space="0" w:color="auto"/>
              <w:right w:val="single" w:sz="4" w:space="0" w:color="auto"/>
            </w:tcBorders>
            <w:shd w:val="clear" w:color="auto" w:fill="000000" w:themeFill="text1"/>
            <w:tcMar>
              <w:top w:w="0" w:type="dxa"/>
              <w:left w:w="108" w:type="dxa"/>
              <w:bottom w:w="0" w:type="dxa"/>
              <w:right w:w="108" w:type="dxa"/>
            </w:tcMar>
            <w:hideMark/>
          </w:tcPr>
          <w:p w14:paraId="5051E65D" w14:textId="77777777" w:rsidR="00851CD9" w:rsidRPr="00D2147F" w:rsidRDefault="00851CD9" w:rsidP="002C7265">
            <w:pPr>
              <w:rPr>
                <w:b/>
                <w:bCs/>
                <w:color w:val="FFFFFF" w:themeColor="background1"/>
              </w:rPr>
            </w:pPr>
            <w:r w:rsidRPr="00D2147F">
              <w:rPr>
                <w:b/>
                <w:bCs/>
                <w:color w:val="FFFFFF" w:themeColor="background1"/>
              </w:rPr>
              <w:t>Total</w:t>
            </w:r>
          </w:p>
        </w:tc>
      </w:tr>
      <w:tr w:rsidR="00851CD9" w14:paraId="413DFE1A" w14:textId="77777777" w:rsidTr="00851CD9">
        <w:tc>
          <w:tcPr>
            <w:tcW w:w="9060"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388B20" w14:textId="7D43C209" w:rsidR="00851CD9" w:rsidRPr="00C01B2A" w:rsidRDefault="00F75DBA" w:rsidP="002C7265">
            <w:pPr>
              <w:jc w:val="center"/>
              <w:rPr>
                <w:b/>
                <w:bCs/>
                <w:u w:val="single"/>
              </w:rPr>
            </w:pPr>
            <w:r>
              <w:rPr>
                <w:b/>
                <w:bCs/>
                <w:u w:val="single"/>
              </w:rPr>
              <w:br/>
            </w:r>
            <w:r w:rsidR="00851CD9" w:rsidRPr="00C01B2A">
              <w:rPr>
                <w:b/>
                <w:bCs/>
                <w:u w:val="single"/>
              </w:rPr>
              <w:t>Option 3</w:t>
            </w:r>
          </w:p>
        </w:tc>
      </w:tr>
      <w:tr w:rsidR="00851CD9" w14:paraId="044089FF" w14:textId="77777777" w:rsidTr="00D2147F">
        <w:trPr>
          <w:trHeight w:val="522"/>
        </w:trPr>
        <w:tc>
          <w:tcPr>
            <w:tcW w:w="1455" w:type="dxa"/>
            <w:tcBorders>
              <w:top w:val="single" w:sz="4" w:space="0" w:color="auto"/>
              <w:left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0249FD1F" w14:textId="77777777" w:rsidR="00851CD9" w:rsidRDefault="00851CD9" w:rsidP="002C7265">
            <w:r>
              <w:t>Fixed PP</w:t>
            </w:r>
          </w:p>
        </w:tc>
        <w:tc>
          <w:tcPr>
            <w:tcW w:w="1759" w:type="dxa"/>
            <w:tcBorders>
              <w:top w:val="single" w:sz="4" w:space="0" w:color="auto"/>
              <w:left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6B804149" w14:textId="4BE16481" w:rsidR="00851CD9" w:rsidRDefault="00851CD9" w:rsidP="002C7265">
            <w:r>
              <w:t>1200 links</w:t>
            </w:r>
          </w:p>
        </w:tc>
        <w:tc>
          <w:tcPr>
            <w:tcW w:w="1396" w:type="dxa"/>
            <w:tcBorders>
              <w:top w:val="single" w:sz="4" w:space="0" w:color="auto"/>
              <w:left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3255821D" w14:textId="77777777" w:rsidR="00851CD9" w:rsidRDefault="00851CD9" w:rsidP="002C7265">
            <w:r>
              <w:t>$105,651</w:t>
            </w:r>
          </w:p>
        </w:tc>
        <w:tc>
          <w:tcPr>
            <w:tcW w:w="1459" w:type="dxa"/>
            <w:tcBorders>
              <w:top w:val="single" w:sz="4" w:space="0" w:color="auto"/>
              <w:left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156D4F01" w14:textId="77777777" w:rsidR="00851CD9" w:rsidRDefault="00851CD9" w:rsidP="002C7265">
            <w:r>
              <w:t>$883</w:t>
            </w:r>
          </w:p>
        </w:tc>
        <w:tc>
          <w:tcPr>
            <w:tcW w:w="1449" w:type="dxa"/>
            <w:tcBorders>
              <w:top w:val="single" w:sz="4" w:space="0" w:color="auto"/>
              <w:left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1D7CA33F" w14:textId="77777777" w:rsidR="00851CD9" w:rsidRDefault="00851CD9" w:rsidP="002C7265">
            <w:r>
              <w:t>10%</w:t>
            </w:r>
          </w:p>
        </w:tc>
        <w:tc>
          <w:tcPr>
            <w:tcW w:w="1542" w:type="dxa"/>
            <w:tcBorders>
              <w:top w:val="single" w:sz="4" w:space="0" w:color="auto"/>
              <w:left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518F5F1C" w14:textId="43ED10D1" w:rsidR="00851CD9" w:rsidRDefault="00851CD9" w:rsidP="002C7265">
            <w:r>
              <w:t>$114,209,422</w:t>
            </w:r>
          </w:p>
        </w:tc>
      </w:tr>
      <w:tr w:rsidR="00851CD9" w14:paraId="0E3EFD44" w14:textId="77777777" w:rsidTr="00851CD9">
        <w:trPr>
          <w:trHeight w:val="686"/>
        </w:trPr>
        <w:tc>
          <w:tcPr>
            <w:tcW w:w="1455" w:type="dxa"/>
            <w:tcBorders>
              <w:top w:val="single" w:sz="4" w:space="0" w:color="auto"/>
              <w:left w:val="single" w:sz="4" w:space="0" w:color="auto"/>
              <w:right w:val="single" w:sz="4" w:space="0" w:color="auto"/>
            </w:tcBorders>
            <w:tcMar>
              <w:top w:w="0" w:type="dxa"/>
              <w:left w:w="108" w:type="dxa"/>
              <w:bottom w:w="0" w:type="dxa"/>
              <w:right w:w="108" w:type="dxa"/>
            </w:tcMar>
          </w:tcPr>
          <w:p w14:paraId="7E4B9391" w14:textId="6AA78DF3" w:rsidR="00851CD9" w:rsidRDefault="00851CD9" w:rsidP="002C7265">
            <w:r>
              <w:t xml:space="preserve">Earth and </w:t>
            </w:r>
            <w:r w:rsidR="00F75DBA">
              <w:t>e</w:t>
            </w:r>
            <w:r>
              <w:t>arth receive</w:t>
            </w:r>
          </w:p>
        </w:tc>
        <w:tc>
          <w:tcPr>
            <w:tcW w:w="1759" w:type="dxa"/>
            <w:tcBorders>
              <w:top w:val="single" w:sz="4" w:space="0" w:color="auto"/>
              <w:left w:val="single" w:sz="4" w:space="0" w:color="auto"/>
              <w:right w:val="single" w:sz="4" w:space="0" w:color="auto"/>
            </w:tcBorders>
            <w:tcMar>
              <w:top w:w="0" w:type="dxa"/>
              <w:left w:w="108" w:type="dxa"/>
              <w:bottom w:w="0" w:type="dxa"/>
              <w:right w:w="108" w:type="dxa"/>
            </w:tcMar>
          </w:tcPr>
          <w:p w14:paraId="34691165" w14:textId="3C47AD1F" w:rsidR="00851CD9" w:rsidRDefault="009A64AA" w:rsidP="002C7265">
            <w:r>
              <w:t>6</w:t>
            </w:r>
            <w:r w:rsidR="00851CD9">
              <w:t xml:space="preserve"> sites</w:t>
            </w:r>
          </w:p>
        </w:tc>
        <w:tc>
          <w:tcPr>
            <w:tcW w:w="1396" w:type="dxa"/>
            <w:tcBorders>
              <w:top w:val="single" w:sz="4" w:space="0" w:color="auto"/>
              <w:left w:val="single" w:sz="4" w:space="0" w:color="auto"/>
              <w:right w:val="single" w:sz="4" w:space="0" w:color="auto"/>
            </w:tcBorders>
            <w:tcMar>
              <w:top w:w="0" w:type="dxa"/>
              <w:left w:w="108" w:type="dxa"/>
              <w:bottom w:w="0" w:type="dxa"/>
              <w:right w:w="108" w:type="dxa"/>
            </w:tcMar>
          </w:tcPr>
          <w:p w14:paraId="3DCD22F0" w14:textId="01544DA1" w:rsidR="00851CD9" w:rsidRDefault="00851CD9" w:rsidP="002C7265">
            <w:r>
              <w:t>$5</w:t>
            </w:r>
            <w:r w:rsidR="0004023A">
              <w:t>2</w:t>
            </w:r>
            <w:r>
              <w:t>,825,670</w:t>
            </w:r>
          </w:p>
        </w:tc>
        <w:tc>
          <w:tcPr>
            <w:tcW w:w="1459" w:type="dxa"/>
            <w:tcBorders>
              <w:top w:val="single" w:sz="4" w:space="0" w:color="auto"/>
              <w:left w:val="single" w:sz="4" w:space="0" w:color="auto"/>
              <w:right w:val="single" w:sz="4" w:space="0" w:color="auto"/>
            </w:tcBorders>
            <w:tcMar>
              <w:top w:w="0" w:type="dxa"/>
              <w:left w:w="108" w:type="dxa"/>
              <w:bottom w:w="0" w:type="dxa"/>
              <w:right w:w="108" w:type="dxa"/>
            </w:tcMar>
          </w:tcPr>
          <w:p w14:paraId="01C22376" w14:textId="77777777" w:rsidR="00851CD9" w:rsidRDefault="00851CD9" w:rsidP="002C7265">
            <w:r>
              <w:t>-</w:t>
            </w:r>
          </w:p>
        </w:tc>
        <w:tc>
          <w:tcPr>
            <w:tcW w:w="1449" w:type="dxa"/>
            <w:tcBorders>
              <w:top w:val="single" w:sz="4" w:space="0" w:color="auto"/>
              <w:left w:val="single" w:sz="4" w:space="0" w:color="auto"/>
              <w:right w:val="single" w:sz="4" w:space="0" w:color="auto"/>
            </w:tcBorders>
            <w:tcMar>
              <w:top w:w="0" w:type="dxa"/>
              <w:left w:w="108" w:type="dxa"/>
              <w:bottom w:w="0" w:type="dxa"/>
              <w:right w:w="108" w:type="dxa"/>
            </w:tcMar>
          </w:tcPr>
          <w:p w14:paraId="0FD72A48" w14:textId="77777777" w:rsidR="00851CD9" w:rsidRDefault="00851CD9" w:rsidP="002C7265">
            <w:r>
              <w:t>-</w:t>
            </w:r>
          </w:p>
        </w:tc>
        <w:tc>
          <w:tcPr>
            <w:tcW w:w="1542" w:type="dxa"/>
            <w:tcBorders>
              <w:top w:val="single" w:sz="4" w:space="0" w:color="auto"/>
              <w:left w:val="single" w:sz="4" w:space="0" w:color="auto"/>
              <w:right w:val="single" w:sz="4" w:space="0" w:color="auto"/>
            </w:tcBorders>
            <w:tcMar>
              <w:top w:w="0" w:type="dxa"/>
              <w:left w:w="108" w:type="dxa"/>
              <w:bottom w:w="0" w:type="dxa"/>
              <w:right w:w="108" w:type="dxa"/>
            </w:tcMar>
          </w:tcPr>
          <w:p w14:paraId="4C7DB96A" w14:textId="0C38ACD7" w:rsidR="00851CD9" w:rsidRDefault="00851CD9" w:rsidP="002C7265">
            <w:r>
              <w:t>$</w:t>
            </w:r>
            <w:r w:rsidR="009A64AA">
              <w:t>316,954,020</w:t>
            </w:r>
          </w:p>
        </w:tc>
      </w:tr>
      <w:tr w:rsidR="00851CD9" w14:paraId="385CD22C" w14:textId="77777777" w:rsidTr="00D2147F">
        <w:tc>
          <w:tcPr>
            <w:tcW w:w="751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567FFFBB" w14:textId="77777777" w:rsidR="00851CD9" w:rsidRPr="00C01B2A" w:rsidRDefault="00851CD9" w:rsidP="002C7265">
            <w:pPr>
              <w:rPr>
                <w:b/>
                <w:bCs/>
              </w:rPr>
            </w:pPr>
            <w:r w:rsidRPr="00C01B2A">
              <w:rPr>
                <w:b/>
                <w:bCs/>
              </w:rPr>
              <w:t>Total</w:t>
            </w:r>
          </w:p>
        </w:tc>
        <w:tc>
          <w:tcPr>
            <w:tcW w:w="15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375AFB05" w14:textId="25E07D4B" w:rsidR="00851CD9" w:rsidRPr="00C01B2A" w:rsidRDefault="00851CD9" w:rsidP="002C7265">
            <w:pPr>
              <w:rPr>
                <w:b/>
                <w:bCs/>
              </w:rPr>
            </w:pPr>
            <w:r w:rsidRPr="00C01B2A">
              <w:rPr>
                <w:b/>
                <w:bCs/>
              </w:rPr>
              <w:t>$</w:t>
            </w:r>
            <w:r w:rsidR="009A64AA">
              <w:rPr>
                <w:b/>
                <w:bCs/>
              </w:rPr>
              <w:t>431,163,442</w:t>
            </w:r>
          </w:p>
        </w:tc>
      </w:tr>
      <w:tr w:rsidR="00851CD9" w14:paraId="4918A8E5" w14:textId="77777777" w:rsidTr="00851CD9">
        <w:tc>
          <w:tcPr>
            <w:tcW w:w="9060"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F7B647" w14:textId="1C4E5FC6" w:rsidR="00851CD9" w:rsidRPr="00C01B2A" w:rsidRDefault="00F75DBA" w:rsidP="002C7265">
            <w:pPr>
              <w:jc w:val="center"/>
              <w:rPr>
                <w:b/>
                <w:bCs/>
                <w:u w:val="single"/>
              </w:rPr>
            </w:pPr>
            <w:r>
              <w:rPr>
                <w:b/>
                <w:bCs/>
                <w:u w:val="single"/>
              </w:rPr>
              <w:br/>
            </w:r>
            <w:r w:rsidR="00851CD9" w:rsidRPr="00C01B2A">
              <w:rPr>
                <w:b/>
                <w:bCs/>
                <w:u w:val="single"/>
              </w:rPr>
              <w:t>Option 4</w:t>
            </w:r>
          </w:p>
        </w:tc>
      </w:tr>
      <w:tr w:rsidR="00851CD9" w14:paraId="1D1ECF4A" w14:textId="77777777" w:rsidTr="00D2147F">
        <w:trPr>
          <w:trHeight w:val="540"/>
        </w:trPr>
        <w:tc>
          <w:tcPr>
            <w:tcW w:w="1455" w:type="dxa"/>
            <w:tcBorders>
              <w:top w:val="single" w:sz="4" w:space="0" w:color="auto"/>
              <w:left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521430A2" w14:textId="77777777" w:rsidR="00851CD9" w:rsidRDefault="00851CD9" w:rsidP="002C7265">
            <w:r>
              <w:t>Fixed PP</w:t>
            </w:r>
          </w:p>
        </w:tc>
        <w:tc>
          <w:tcPr>
            <w:tcW w:w="1759" w:type="dxa"/>
            <w:tcBorders>
              <w:top w:val="single" w:sz="4" w:space="0" w:color="auto"/>
              <w:left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6B9A8FB7" w14:textId="653661AD" w:rsidR="00851CD9" w:rsidRDefault="00851CD9" w:rsidP="002C7265">
            <w:r>
              <w:t>1200 links</w:t>
            </w:r>
          </w:p>
        </w:tc>
        <w:tc>
          <w:tcPr>
            <w:tcW w:w="1396" w:type="dxa"/>
            <w:tcBorders>
              <w:top w:val="single" w:sz="4" w:space="0" w:color="auto"/>
              <w:left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238849A8" w14:textId="77777777" w:rsidR="00851CD9" w:rsidRDefault="00851CD9" w:rsidP="002C7265">
            <w:r>
              <w:t>$105,651</w:t>
            </w:r>
          </w:p>
        </w:tc>
        <w:tc>
          <w:tcPr>
            <w:tcW w:w="1459" w:type="dxa"/>
            <w:tcBorders>
              <w:top w:val="single" w:sz="4" w:space="0" w:color="auto"/>
              <w:left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3E7E7458" w14:textId="77777777" w:rsidR="00851CD9" w:rsidRDefault="00851CD9" w:rsidP="002C7265">
            <w:r>
              <w:t>$883</w:t>
            </w:r>
          </w:p>
        </w:tc>
        <w:tc>
          <w:tcPr>
            <w:tcW w:w="1449" w:type="dxa"/>
            <w:tcBorders>
              <w:top w:val="single" w:sz="4" w:space="0" w:color="auto"/>
              <w:left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1442244B" w14:textId="77777777" w:rsidR="00851CD9" w:rsidRDefault="00851CD9" w:rsidP="002C7265">
            <w:r>
              <w:t>10%</w:t>
            </w:r>
          </w:p>
        </w:tc>
        <w:tc>
          <w:tcPr>
            <w:tcW w:w="1542" w:type="dxa"/>
            <w:tcBorders>
              <w:top w:val="single" w:sz="4" w:space="0" w:color="auto"/>
              <w:left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4877204C" w14:textId="559223D1" w:rsidR="00851CD9" w:rsidRDefault="00851CD9" w:rsidP="002C7265">
            <w:r>
              <w:t>$114,209,422</w:t>
            </w:r>
          </w:p>
        </w:tc>
      </w:tr>
      <w:tr w:rsidR="00851CD9" w14:paraId="0BFDC2B8" w14:textId="77777777" w:rsidTr="00851CD9">
        <w:trPr>
          <w:trHeight w:val="704"/>
        </w:trPr>
        <w:tc>
          <w:tcPr>
            <w:tcW w:w="1455" w:type="dxa"/>
            <w:tcBorders>
              <w:top w:val="single" w:sz="4" w:space="0" w:color="auto"/>
              <w:left w:val="single" w:sz="4" w:space="0" w:color="auto"/>
              <w:right w:val="single" w:sz="4" w:space="0" w:color="auto"/>
            </w:tcBorders>
            <w:tcMar>
              <w:top w:w="0" w:type="dxa"/>
              <w:left w:w="108" w:type="dxa"/>
              <w:bottom w:w="0" w:type="dxa"/>
              <w:right w:w="108" w:type="dxa"/>
            </w:tcMar>
          </w:tcPr>
          <w:p w14:paraId="3D4B0A5D" w14:textId="10B88537" w:rsidR="00851CD9" w:rsidRDefault="00851CD9" w:rsidP="002C7265">
            <w:r>
              <w:t xml:space="preserve">Earth and </w:t>
            </w:r>
            <w:r w:rsidR="00F75DBA">
              <w:t>e</w:t>
            </w:r>
            <w:r>
              <w:t>arth receive</w:t>
            </w:r>
          </w:p>
        </w:tc>
        <w:tc>
          <w:tcPr>
            <w:tcW w:w="1759" w:type="dxa"/>
            <w:tcBorders>
              <w:top w:val="single" w:sz="4" w:space="0" w:color="auto"/>
              <w:left w:val="single" w:sz="4" w:space="0" w:color="auto"/>
              <w:right w:val="single" w:sz="4" w:space="0" w:color="auto"/>
            </w:tcBorders>
            <w:tcMar>
              <w:top w:w="0" w:type="dxa"/>
              <w:left w:w="108" w:type="dxa"/>
              <w:bottom w:w="0" w:type="dxa"/>
              <w:right w:w="108" w:type="dxa"/>
            </w:tcMar>
          </w:tcPr>
          <w:p w14:paraId="02D976B8" w14:textId="31A91D51" w:rsidR="00851CD9" w:rsidRDefault="009A64AA" w:rsidP="00851CD9">
            <w:r>
              <w:t>5</w:t>
            </w:r>
            <w:r w:rsidR="00851CD9">
              <w:t xml:space="preserve"> sites</w:t>
            </w:r>
          </w:p>
        </w:tc>
        <w:tc>
          <w:tcPr>
            <w:tcW w:w="1396" w:type="dxa"/>
            <w:tcBorders>
              <w:top w:val="single" w:sz="4" w:space="0" w:color="auto"/>
              <w:left w:val="single" w:sz="4" w:space="0" w:color="auto"/>
              <w:right w:val="single" w:sz="4" w:space="0" w:color="auto"/>
            </w:tcBorders>
            <w:tcMar>
              <w:top w:w="0" w:type="dxa"/>
              <w:left w:w="108" w:type="dxa"/>
              <w:bottom w:w="0" w:type="dxa"/>
              <w:right w:w="108" w:type="dxa"/>
            </w:tcMar>
          </w:tcPr>
          <w:p w14:paraId="6BAC17A7" w14:textId="275BAF05" w:rsidR="00851CD9" w:rsidRDefault="00851CD9" w:rsidP="002C7265">
            <w:r>
              <w:t>$5</w:t>
            </w:r>
            <w:r w:rsidR="0004023A">
              <w:t>2</w:t>
            </w:r>
            <w:r>
              <w:t>,825,670</w:t>
            </w:r>
          </w:p>
        </w:tc>
        <w:tc>
          <w:tcPr>
            <w:tcW w:w="1459" w:type="dxa"/>
            <w:tcBorders>
              <w:top w:val="single" w:sz="4" w:space="0" w:color="auto"/>
              <w:left w:val="single" w:sz="4" w:space="0" w:color="auto"/>
              <w:right w:val="single" w:sz="4" w:space="0" w:color="auto"/>
            </w:tcBorders>
            <w:tcMar>
              <w:top w:w="0" w:type="dxa"/>
              <w:left w:w="108" w:type="dxa"/>
              <w:bottom w:w="0" w:type="dxa"/>
              <w:right w:w="108" w:type="dxa"/>
            </w:tcMar>
          </w:tcPr>
          <w:p w14:paraId="44146552" w14:textId="77777777" w:rsidR="00851CD9" w:rsidRDefault="00851CD9" w:rsidP="002C7265">
            <w:r>
              <w:t>-</w:t>
            </w:r>
          </w:p>
        </w:tc>
        <w:tc>
          <w:tcPr>
            <w:tcW w:w="1449" w:type="dxa"/>
            <w:tcBorders>
              <w:top w:val="single" w:sz="4" w:space="0" w:color="auto"/>
              <w:left w:val="single" w:sz="4" w:space="0" w:color="auto"/>
              <w:right w:val="single" w:sz="4" w:space="0" w:color="auto"/>
            </w:tcBorders>
            <w:tcMar>
              <w:top w:w="0" w:type="dxa"/>
              <w:left w:w="108" w:type="dxa"/>
              <w:bottom w:w="0" w:type="dxa"/>
              <w:right w:w="108" w:type="dxa"/>
            </w:tcMar>
          </w:tcPr>
          <w:p w14:paraId="5D7FCABC" w14:textId="77777777" w:rsidR="00851CD9" w:rsidRDefault="00851CD9" w:rsidP="002C7265">
            <w:r>
              <w:t>-</w:t>
            </w:r>
          </w:p>
        </w:tc>
        <w:tc>
          <w:tcPr>
            <w:tcW w:w="1542" w:type="dxa"/>
            <w:tcBorders>
              <w:top w:val="single" w:sz="4" w:space="0" w:color="auto"/>
              <w:left w:val="single" w:sz="4" w:space="0" w:color="auto"/>
              <w:right w:val="single" w:sz="4" w:space="0" w:color="auto"/>
            </w:tcBorders>
            <w:tcMar>
              <w:top w:w="0" w:type="dxa"/>
              <w:left w:w="108" w:type="dxa"/>
              <w:bottom w:w="0" w:type="dxa"/>
              <w:right w:w="108" w:type="dxa"/>
            </w:tcMar>
          </w:tcPr>
          <w:p w14:paraId="0A91873C" w14:textId="19ECAFFB" w:rsidR="00851CD9" w:rsidRDefault="00851CD9" w:rsidP="002C7265">
            <w:r>
              <w:t>$</w:t>
            </w:r>
            <w:r w:rsidR="009A64AA">
              <w:t>264,128,350</w:t>
            </w:r>
          </w:p>
        </w:tc>
      </w:tr>
      <w:tr w:rsidR="00851CD9" w14:paraId="5A628C69" w14:textId="77777777" w:rsidTr="00D2147F">
        <w:tc>
          <w:tcPr>
            <w:tcW w:w="751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16D2F195" w14:textId="77777777" w:rsidR="00851CD9" w:rsidRPr="00C01B2A" w:rsidRDefault="00851CD9" w:rsidP="002C7265">
            <w:pPr>
              <w:rPr>
                <w:b/>
                <w:bCs/>
              </w:rPr>
            </w:pPr>
            <w:r w:rsidRPr="00C01B2A">
              <w:rPr>
                <w:b/>
                <w:bCs/>
              </w:rPr>
              <w:t>Total</w:t>
            </w:r>
          </w:p>
        </w:tc>
        <w:tc>
          <w:tcPr>
            <w:tcW w:w="15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23A70B20" w14:textId="475ABE89" w:rsidR="00851CD9" w:rsidRPr="00851CD9" w:rsidRDefault="00851CD9" w:rsidP="002C7265">
            <w:pPr>
              <w:rPr>
                <w:b/>
                <w:bCs/>
              </w:rPr>
            </w:pPr>
            <w:r w:rsidRPr="00C01B2A">
              <w:rPr>
                <w:b/>
                <w:bCs/>
              </w:rPr>
              <w:t>$</w:t>
            </w:r>
            <w:r w:rsidR="009A64AA" w:rsidRPr="00C01B2A">
              <w:rPr>
                <w:b/>
                <w:bCs/>
              </w:rPr>
              <w:t>3</w:t>
            </w:r>
            <w:r w:rsidR="009A64AA">
              <w:rPr>
                <w:b/>
                <w:bCs/>
              </w:rPr>
              <w:t>7</w:t>
            </w:r>
            <w:r w:rsidR="009A64AA" w:rsidRPr="00C01B2A">
              <w:rPr>
                <w:b/>
                <w:bCs/>
              </w:rPr>
              <w:t>8,337,772</w:t>
            </w:r>
          </w:p>
        </w:tc>
      </w:tr>
    </w:tbl>
    <w:p w14:paraId="1453C777" w14:textId="77777777" w:rsidR="00851CD9" w:rsidRDefault="00851CD9" w:rsidP="00851CD9">
      <w:pPr>
        <w:pStyle w:val="Bulletlevel1"/>
        <w:numPr>
          <w:ilvl w:val="0"/>
          <w:numId w:val="0"/>
        </w:numPr>
        <w:ind w:left="284" w:hanging="284"/>
      </w:pPr>
    </w:p>
    <w:p w14:paraId="3E9E2A84" w14:textId="6F2E2218" w:rsidR="00CB0AED" w:rsidRDefault="003337E6" w:rsidP="009C00FE">
      <w:pPr>
        <w:pStyle w:val="Paragraph"/>
      </w:pPr>
      <w:r>
        <w:lastRenderedPageBreak/>
        <w:t>A</w:t>
      </w:r>
      <w:r w:rsidR="004E2791">
        <w:t xml:space="preserve"> </w:t>
      </w:r>
      <w:r>
        <w:t>significant number of incumbent licences</w:t>
      </w:r>
      <w:r w:rsidR="00BB3BD7">
        <w:t xml:space="preserve"> captured in Table 1</w:t>
      </w:r>
      <w:r>
        <w:t xml:space="preserve"> are held by entities that are likely to benefit from a WA WBB allocation</w:t>
      </w:r>
      <w:r w:rsidR="0037490B">
        <w:t xml:space="preserve">. In </w:t>
      </w:r>
      <w:r>
        <w:t>some cases</w:t>
      </w:r>
      <w:r w:rsidR="0037490B">
        <w:t xml:space="preserve">, they </w:t>
      </w:r>
      <w:r>
        <w:t xml:space="preserve">have advocated for incumbents to be removed to support a prospective introduction of WA WBB services. </w:t>
      </w:r>
      <w:r w:rsidR="00BB3BD7">
        <w:t>A calculation of</w:t>
      </w:r>
      <w:r>
        <w:t xml:space="preserve"> the associated cost</w:t>
      </w:r>
      <w:r w:rsidR="00D76BC2">
        <w:t>s</w:t>
      </w:r>
      <w:r>
        <w:t xml:space="preserve"> that are attributed to licences currently held by Optus, Telstra and Vodafone</w:t>
      </w:r>
      <w:r w:rsidR="00BB3BD7">
        <w:t xml:space="preserve"> is contained</w:t>
      </w:r>
      <w:r>
        <w:t xml:space="preserve"> in Table 2.</w:t>
      </w:r>
    </w:p>
    <w:p w14:paraId="1545FD0C" w14:textId="53A29130" w:rsidR="00AE042F" w:rsidRDefault="00AE042F" w:rsidP="00AE042F">
      <w:pPr>
        <w:pStyle w:val="Tableheading"/>
      </w:pPr>
      <w:r>
        <w:t xml:space="preserve">Estimated costs attributed to effected licences held by Optus, Telstra </w:t>
      </w:r>
      <w:r w:rsidR="0037490B">
        <w:br/>
      </w:r>
      <w:r>
        <w:t>and Vodafone</w:t>
      </w:r>
    </w:p>
    <w:tbl>
      <w:tblPr>
        <w:tblW w:w="0" w:type="auto"/>
        <w:tblCellMar>
          <w:left w:w="0" w:type="dxa"/>
          <w:right w:w="0" w:type="dxa"/>
        </w:tblCellMar>
        <w:tblLook w:val="04A0" w:firstRow="1" w:lastRow="0" w:firstColumn="1" w:lastColumn="0" w:noHBand="0" w:noVBand="1"/>
      </w:tblPr>
      <w:tblGrid>
        <w:gridCol w:w="1426"/>
        <w:gridCol w:w="1772"/>
        <w:gridCol w:w="1461"/>
        <w:gridCol w:w="1433"/>
        <w:gridCol w:w="1421"/>
        <w:gridCol w:w="1537"/>
      </w:tblGrid>
      <w:tr w:rsidR="00AE042F" w:rsidRPr="0037490B" w14:paraId="47958E53" w14:textId="77777777" w:rsidTr="003D29E5">
        <w:tc>
          <w:tcPr>
            <w:tcW w:w="1558" w:type="dxa"/>
            <w:tcBorders>
              <w:top w:val="single" w:sz="8" w:space="0" w:color="auto"/>
              <w:left w:val="single" w:sz="8" w:space="0" w:color="auto"/>
              <w:bottom w:val="single" w:sz="8" w:space="0" w:color="auto"/>
              <w:right w:val="single" w:sz="8" w:space="0" w:color="auto"/>
            </w:tcBorders>
            <w:shd w:val="clear" w:color="auto" w:fill="000000" w:themeFill="text1"/>
            <w:tcMar>
              <w:top w:w="0" w:type="dxa"/>
              <w:left w:w="108" w:type="dxa"/>
              <w:bottom w:w="0" w:type="dxa"/>
              <w:right w:w="108" w:type="dxa"/>
            </w:tcMar>
          </w:tcPr>
          <w:p w14:paraId="3BD3C27A" w14:textId="77777777" w:rsidR="00AE042F" w:rsidRPr="00F76F70" w:rsidRDefault="00AE042F">
            <w:pPr>
              <w:rPr>
                <w:rFonts w:ascii="Calibri" w:hAnsi="Calibri"/>
                <w:b/>
                <w:bCs/>
              </w:rPr>
            </w:pPr>
          </w:p>
        </w:tc>
        <w:tc>
          <w:tcPr>
            <w:tcW w:w="1836" w:type="dxa"/>
            <w:tcBorders>
              <w:top w:val="single" w:sz="8" w:space="0" w:color="auto"/>
              <w:left w:val="nil"/>
              <w:bottom w:val="single" w:sz="8" w:space="0" w:color="auto"/>
              <w:right w:val="single" w:sz="8" w:space="0" w:color="auto"/>
            </w:tcBorders>
            <w:shd w:val="clear" w:color="auto" w:fill="000000" w:themeFill="text1"/>
            <w:tcMar>
              <w:top w:w="0" w:type="dxa"/>
              <w:left w:w="108" w:type="dxa"/>
              <w:bottom w:w="0" w:type="dxa"/>
              <w:right w:w="108" w:type="dxa"/>
            </w:tcMar>
            <w:hideMark/>
          </w:tcPr>
          <w:p w14:paraId="45D8A3E0" w14:textId="77777777" w:rsidR="00AE042F" w:rsidRPr="00F76F70" w:rsidRDefault="00AE042F">
            <w:pPr>
              <w:rPr>
                <w:b/>
                <w:bCs/>
              </w:rPr>
            </w:pPr>
            <w:r w:rsidRPr="00F76F70">
              <w:rPr>
                <w:b/>
                <w:bCs/>
              </w:rPr>
              <w:t>Number of links/stations</w:t>
            </w:r>
          </w:p>
        </w:tc>
        <w:tc>
          <w:tcPr>
            <w:tcW w:w="1396" w:type="dxa"/>
            <w:tcBorders>
              <w:top w:val="single" w:sz="8" w:space="0" w:color="auto"/>
              <w:left w:val="nil"/>
              <w:bottom w:val="single" w:sz="8" w:space="0" w:color="auto"/>
              <w:right w:val="single" w:sz="8" w:space="0" w:color="auto"/>
            </w:tcBorders>
            <w:shd w:val="clear" w:color="auto" w:fill="000000" w:themeFill="text1"/>
            <w:tcMar>
              <w:top w:w="0" w:type="dxa"/>
              <w:left w:w="108" w:type="dxa"/>
              <w:bottom w:w="0" w:type="dxa"/>
              <w:right w:w="108" w:type="dxa"/>
            </w:tcMar>
            <w:hideMark/>
          </w:tcPr>
          <w:p w14:paraId="2313B53F" w14:textId="77777777" w:rsidR="00AE042F" w:rsidRPr="00F76F70" w:rsidRDefault="00AE042F">
            <w:pPr>
              <w:rPr>
                <w:b/>
                <w:bCs/>
              </w:rPr>
            </w:pPr>
            <w:r w:rsidRPr="00F76F70">
              <w:rPr>
                <w:b/>
                <w:bCs/>
              </w:rPr>
              <w:t>Replacement cost per link</w:t>
            </w:r>
          </w:p>
        </w:tc>
        <w:tc>
          <w:tcPr>
            <w:tcW w:w="1558" w:type="dxa"/>
            <w:tcBorders>
              <w:top w:val="single" w:sz="8" w:space="0" w:color="auto"/>
              <w:left w:val="nil"/>
              <w:bottom w:val="single" w:sz="8" w:space="0" w:color="auto"/>
              <w:right w:val="single" w:sz="8" w:space="0" w:color="auto"/>
            </w:tcBorders>
            <w:shd w:val="clear" w:color="auto" w:fill="000000" w:themeFill="text1"/>
            <w:tcMar>
              <w:top w:w="0" w:type="dxa"/>
              <w:left w:w="108" w:type="dxa"/>
              <w:bottom w:w="0" w:type="dxa"/>
              <w:right w:w="108" w:type="dxa"/>
            </w:tcMar>
            <w:hideMark/>
          </w:tcPr>
          <w:p w14:paraId="461D08CE" w14:textId="77777777" w:rsidR="00AE042F" w:rsidRPr="00F76F70" w:rsidRDefault="00AE042F">
            <w:pPr>
              <w:rPr>
                <w:b/>
                <w:bCs/>
              </w:rPr>
            </w:pPr>
            <w:r w:rsidRPr="00F76F70">
              <w:rPr>
                <w:b/>
                <w:bCs/>
              </w:rPr>
              <w:t>Retune cost per link</w:t>
            </w:r>
          </w:p>
        </w:tc>
        <w:tc>
          <w:tcPr>
            <w:tcW w:w="1559" w:type="dxa"/>
            <w:tcBorders>
              <w:top w:val="single" w:sz="8" w:space="0" w:color="auto"/>
              <w:left w:val="nil"/>
              <w:bottom w:val="single" w:sz="8" w:space="0" w:color="auto"/>
              <w:right w:val="single" w:sz="8" w:space="0" w:color="auto"/>
            </w:tcBorders>
            <w:shd w:val="clear" w:color="auto" w:fill="000000" w:themeFill="text1"/>
            <w:tcMar>
              <w:top w:w="0" w:type="dxa"/>
              <w:left w:w="108" w:type="dxa"/>
              <w:bottom w:w="0" w:type="dxa"/>
              <w:right w:w="108" w:type="dxa"/>
            </w:tcMar>
            <w:hideMark/>
          </w:tcPr>
          <w:p w14:paraId="62E79549" w14:textId="77777777" w:rsidR="00AE042F" w:rsidRPr="00F76F70" w:rsidRDefault="00AE042F">
            <w:pPr>
              <w:rPr>
                <w:b/>
                <w:bCs/>
              </w:rPr>
            </w:pPr>
            <w:r w:rsidRPr="00F76F70">
              <w:rPr>
                <w:b/>
                <w:bCs/>
              </w:rPr>
              <w:t>% that can retune</w:t>
            </w:r>
          </w:p>
        </w:tc>
        <w:tc>
          <w:tcPr>
            <w:tcW w:w="1559" w:type="dxa"/>
            <w:tcBorders>
              <w:top w:val="single" w:sz="8" w:space="0" w:color="auto"/>
              <w:left w:val="nil"/>
              <w:bottom w:val="single" w:sz="8" w:space="0" w:color="auto"/>
              <w:right w:val="single" w:sz="8" w:space="0" w:color="auto"/>
            </w:tcBorders>
            <w:shd w:val="clear" w:color="auto" w:fill="000000" w:themeFill="text1"/>
            <w:tcMar>
              <w:top w:w="0" w:type="dxa"/>
              <w:left w:w="108" w:type="dxa"/>
              <w:bottom w:w="0" w:type="dxa"/>
              <w:right w:w="108" w:type="dxa"/>
            </w:tcMar>
            <w:hideMark/>
          </w:tcPr>
          <w:p w14:paraId="6956F22D" w14:textId="77777777" w:rsidR="00AE042F" w:rsidRPr="00F76F70" w:rsidRDefault="00AE042F">
            <w:pPr>
              <w:rPr>
                <w:b/>
                <w:bCs/>
              </w:rPr>
            </w:pPr>
            <w:r w:rsidRPr="00F76F70">
              <w:rPr>
                <w:b/>
                <w:bCs/>
              </w:rPr>
              <w:t>Total</w:t>
            </w:r>
          </w:p>
        </w:tc>
      </w:tr>
      <w:tr w:rsidR="00AE042F" w14:paraId="244C18F7" w14:textId="77777777" w:rsidTr="00AE042F">
        <w:tc>
          <w:tcPr>
            <w:tcW w:w="1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81E828" w14:textId="77777777" w:rsidR="00AE042F" w:rsidRDefault="00AE042F">
            <w:r>
              <w:t>Fixed PP</w:t>
            </w:r>
          </w:p>
        </w:tc>
        <w:tc>
          <w:tcPr>
            <w:tcW w:w="1836" w:type="dxa"/>
            <w:tcBorders>
              <w:top w:val="nil"/>
              <w:left w:val="nil"/>
              <w:bottom w:val="single" w:sz="8" w:space="0" w:color="auto"/>
              <w:right w:val="single" w:sz="8" w:space="0" w:color="auto"/>
            </w:tcBorders>
            <w:tcMar>
              <w:top w:w="0" w:type="dxa"/>
              <w:left w:w="108" w:type="dxa"/>
              <w:bottom w:w="0" w:type="dxa"/>
              <w:right w:w="108" w:type="dxa"/>
            </w:tcMar>
            <w:hideMark/>
          </w:tcPr>
          <w:p w14:paraId="45B436D9" w14:textId="77777777" w:rsidR="00AE042F" w:rsidRDefault="00AE042F">
            <w:r>
              <w:t>365</w:t>
            </w:r>
          </w:p>
        </w:tc>
        <w:tc>
          <w:tcPr>
            <w:tcW w:w="1396" w:type="dxa"/>
            <w:tcBorders>
              <w:top w:val="nil"/>
              <w:left w:val="nil"/>
              <w:bottom w:val="single" w:sz="8" w:space="0" w:color="auto"/>
              <w:right w:val="single" w:sz="8" w:space="0" w:color="auto"/>
            </w:tcBorders>
            <w:tcMar>
              <w:top w:w="0" w:type="dxa"/>
              <w:left w:w="108" w:type="dxa"/>
              <w:bottom w:w="0" w:type="dxa"/>
              <w:right w:w="108" w:type="dxa"/>
            </w:tcMar>
            <w:hideMark/>
          </w:tcPr>
          <w:p w14:paraId="2DA90763" w14:textId="77777777" w:rsidR="00AE042F" w:rsidRDefault="00AE042F">
            <w:r>
              <w:t>$105,651</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488D31AA" w14:textId="77777777" w:rsidR="00AE042F" w:rsidRDefault="00AE042F">
            <w:r>
              <w:t>$883</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6BB71248" w14:textId="63AE7A52" w:rsidR="00AE042F" w:rsidRDefault="00AE042F">
            <w:r>
              <w:t>10%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694557F4" w14:textId="77777777" w:rsidR="00AE042F" w:rsidRDefault="00AE042F">
            <w:r>
              <w:t>$34,738,699</w:t>
            </w:r>
          </w:p>
        </w:tc>
      </w:tr>
      <w:tr w:rsidR="00AE042F" w14:paraId="76493580" w14:textId="77777777" w:rsidTr="00F76F70">
        <w:tc>
          <w:tcPr>
            <w:tcW w:w="1558"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16666FBC" w14:textId="77777777" w:rsidR="00AE042F" w:rsidRDefault="00AE042F">
            <w:r>
              <w:t>Earth and Earth receive</w:t>
            </w:r>
          </w:p>
        </w:tc>
        <w:tc>
          <w:tcPr>
            <w:tcW w:w="1836"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72D93505" w14:textId="77777777" w:rsidR="00AE042F" w:rsidRDefault="00AE042F">
            <w:r>
              <w:t>2</w:t>
            </w:r>
          </w:p>
        </w:tc>
        <w:tc>
          <w:tcPr>
            <w:tcW w:w="1396"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11D3E3BA" w14:textId="2D4E765A" w:rsidR="00AE042F" w:rsidRDefault="00AE042F">
            <w:r>
              <w:t>$5</w:t>
            </w:r>
            <w:r w:rsidR="0004023A">
              <w:t>2</w:t>
            </w:r>
            <w:r>
              <w:t>,825,670</w:t>
            </w:r>
          </w:p>
        </w:tc>
        <w:tc>
          <w:tcPr>
            <w:tcW w:w="1558"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08D4010F" w14:textId="1F54CD81" w:rsidR="00AE042F" w:rsidRDefault="00AE042F">
            <w:r>
              <w:t>-</w:t>
            </w:r>
          </w:p>
        </w:tc>
        <w:tc>
          <w:tcPr>
            <w:tcW w:w="1559"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48394F8D" w14:textId="63418594" w:rsidR="00AE042F" w:rsidRDefault="00AE042F">
            <w:r>
              <w:t>-</w:t>
            </w:r>
          </w:p>
        </w:tc>
        <w:tc>
          <w:tcPr>
            <w:tcW w:w="1559"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59ADA96A" w14:textId="64915010" w:rsidR="00AE042F" w:rsidRDefault="00AE042F">
            <w:r>
              <w:t>$10</w:t>
            </w:r>
            <w:r w:rsidR="0004023A">
              <w:t>5</w:t>
            </w:r>
            <w:r>
              <w:t>,651,340</w:t>
            </w:r>
          </w:p>
        </w:tc>
      </w:tr>
      <w:tr w:rsidR="00AE042F" w14:paraId="673690D3" w14:textId="77777777" w:rsidTr="00AE042F">
        <w:tc>
          <w:tcPr>
            <w:tcW w:w="7907"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966236" w14:textId="77777777" w:rsidR="00AE042F" w:rsidRPr="006E73FD" w:rsidRDefault="00AE042F">
            <w:pPr>
              <w:rPr>
                <w:b/>
                <w:bCs/>
              </w:rPr>
            </w:pPr>
            <w:r w:rsidRPr="006E73FD">
              <w:rPr>
                <w:b/>
                <w:bCs/>
              </w:rPr>
              <w:t>Total</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3142B56B" w14:textId="276C9150" w:rsidR="00AE042F" w:rsidRPr="006E73FD" w:rsidRDefault="00AE042F">
            <w:pPr>
              <w:rPr>
                <w:b/>
                <w:bCs/>
              </w:rPr>
            </w:pPr>
            <w:r w:rsidRPr="006E73FD">
              <w:rPr>
                <w:b/>
                <w:bCs/>
              </w:rPr>
              <w:t>$1</w:t>
            </w:r>
            <w:r w:rsidR="0004023A">
              <w:rPr>
                <w:b/>
                <w:bCs/>
              </w:rPr>
              <w:t>40</w:t>
            </w:r>
            <w:r w:rsidRPr="006E73FD">
              <w:rPr>
                <w:b/>
                <w:bCs/>
              </w:rPr>
              <w:t>,390,039</w:t>
            </w:r>
          </w:p>
        </w:tc>
      </w:tr>
    </w:tbl>
    <w:p w14:paraId="748DF469" w14:textId="77777777" w:rsidR="003337E6" w:rsidRDefault="003337E6" w:rsidP="00484C54"/>
    <w:p w14:paraId="4B8DB05F" w14:textId="70817E76" w:rsidR="00AE042F" w:rsidRPr="00484C54" w:rsidRDefault="006E73FD" w:rsidP="006A5C9B">
      <w:pPr>
        <w:pStyle w:val="Paragraph"/>
      </w:pPr>
      <w:r>
        <w:t xml:space="preserve">From </w:t>
      </w:r>
      <w:r w:rsidR="00AE042F">
        <w:t>the totals in Tables 1 and 2, i</w:t>
      </w:r>
      <w:r>
        <w:t>t</w:t>
      </w:r>
      <w:r w:rsidR="00AE042F">
        <w:t xml:space="preserve"> is evident that approximately 3</w:t>
      </w:r>
      <w:r w:rsidR="00D14762">
        <w:t>3</w:t>
      </w:r>
      <w:r w:rsidR="00AE042F">
        <w:t xml:space="preserve">% and </w:t>
      </w:r>
      <w:r w:rsidR="00D14762">
        <w:t>37</w:t>
      </w:r>
      <w:r w:rsidR="00AE042F">
        <w:t>% of the estimated costs in Table 1 (respectively for Options 3 and 4) are attributed to entities that are likely to benefit from a WA WBB allocation in the upper 6</w:t>
      </w:r>
      <w:r w:rsidR="002D0D47">
        <w:t> GHz</w:t>
      </w:r>
      <w:r w:rsidR="00AE042F">
        <w:t xml:space="preserve"> band.</w:t>
      </w:r>
      <w:r w:rsidR="006D30B5">
        <w:t xml:space="preserve"> </w:t>
      </w:r>
    </w:p>
    <w:p w14:paraId="7AD919E7" w14:textId="6DD7ADF6" w:rsidR="00843C0B" w:rsidRDefault="003B2ACA" w:rsidP="00843C0B">
      <w:pPr>
        <w:pStyle w:val="Heading1"/>
      </w:pPr>
      <w:bookmarkStart w:id="30" w:name="_Toc184973668"/>
      <w:r>
        <w:lastRenderedPageBreak/>
        <w:t>The way forward</w:t>
      </w:r>
      <w:bookmarkEnd w:id="30"/>
    </w:p>
    <w:p w14:paraId="43B76AE0" w14:textId="77777777" w:rsidR="00AB6CA3" w:rsidRDefault="00AB6CA3" w:rsidP="003D29E5">
      <w:pPr>
        <w:pStyle w:val="Paragraphbeforelist"/>
      </w:pPr>
      <w:r>
        <w:t xml:space="preserve">We have considered: </w:t>
      </w:r>
    </w:p>
    <w:p w14:paraId="4EE4436D" w14:textId="317AED6F" w:rsidR="00AB6CA3" w:rsidRDefault="00195058" w:rsidP="00AB6CA3">
      <w:pPr>
        <w:pStyle w:val="Bulletlevel1"/>
      </w:pPr>
      <w:r>
        <w:t xml:space="preserve">the </w:t>
      </w:r>
      <w:r w:rsidR="00753325">
        <w:t xml:space="preserve">responses received </w:t>
      </w:r>
      <w:r w:rsidR="007D5405">
        <w:t xml:space="preserve">to </w:t>
      </w:r>
      <w:r w:rsidR="00753325">
        <w:t xml:space="preserve">the </w:t>
      </w:r>
      <w:r w:rsidR="00AB6CA3">
        <w:t>o</w:t>
      </w:r>
      <w:r w:rsidR="00753325">
        <w:t>ptions</w:t>
      </w:r>
      <w:r w:rsidR="00420D4B">
        <w:t xml:space="preserve"> paper</w:t>
      </w:r>
    </w:p>
    <w:p w14:paraId="6BC8D9BB" w14:textId="50047317" w:rsidR="00AB6CA3" w:rsidRDefault="00420D4B" w:rsidP="00AB6CA3">
      <w:pPr>
        <w:pStyle w:val="Bulletlevel1"/>
      </w:pPr>
      <w:r>
        <w:t xml:space="preserve">the </w:t>
      </w:r>
      <w:r w:rsidR="002A3F99">
        <w:t xml:space="preserve">analysis </w:t>
      </w:r>
      <w:r w:rsidR="00753325">
        <w:t>presented in th</w:t>
      </w:r>
      <w:r w:rsidR="007D5405">
        <w:t>is</w:t>
      </w:r>
      <w:r w:rsidR="00753325">
        <w:t xml:space="preserve"> paper</w:t>
      </w:r>
    </w:p>
    <w:p w14:paraId="3E15853F" w14:textId="2BE968FB" w:rsidR="00AB6CA3" w:rsidRDefault="00420D4B" w:rsidP="00F76F70">
      <w:pPr>
        <w:pStyle w:val="Bulletlevel1last"/>
      </w:pPr>
      <w:r>
        <w:t>the</w:t>
      </w:r>
      <w:r w:rsidR="00753325">
        <w:t xml:space="preserve"> </w:t>
      </w:r>
      <w:r w:rsidR="007D5405">
        <w:t xml:space="preserve">lack of progress of international developments towards WA WBB arrangements since the </w:t>
      </w:r>
      <w:r w:rsidR="00AB6CA3">
        <w:t>o</w:t>
      </w:r>
      <w:r w:rsidR="007D5405">
        <w:t xml:space="preserve">ptions </w:t>
      </w:r>
      <w:r w:rsidR="00AB6CA3">
        <w:t>p</w:t>
      </w:r>
      <w:r w:rsidR="007D5405">
        <w:t>aper was published</w:t>
      </w:r>
      <w:r w:rsidR="00AB6CA3">
        <w:t xml:space="preserve">. </w:t>
      </w:r>
    </w:p>
    <w:p w14:paraId="146C46DB" w14:textId="4F028D70" w:rsidR="0037490B" w:rsidRDefault="00AB6CA3" w:rsidP="00AB6CA3">
      <w:pPr>
        <w:pStyle w:val="Paragraph"/>
      </w:pPr>
      <w:r>
        <w:t>W</w:t>
      </w:r>
      <w:r w:rsidR="00420D4B">
        <w:t>e</w:t>
      </w:r>
      <w:r w:rsidR="004A3EEC">
        <w:t xml:space="preserve"> ha</w:t>
      </w:r>
      <w:r w:rsidR="00420D4B">
        <w:t>ve</w:t>
      </w:r>
      <w:r w:rsidR="004A3EEC">
        <w:t xml:space="preserve"> </w:t>
      </w:r>
      <w:r w:rsidR="004F1FDE">
        <w:t xml:space="preserve">decided </w:t>
      </w:r>
      <w:r w:rsidR="002A3F99">
        <w:t xml:space="preserve">that the planning arrangements </w:t>
      </w:r>
      <w:r w:rsidR="00DE5984">
        <w:t xml:space="preserve">described under </w:t>
      </w:r>
      <w:r w:rsidR="002A3F99">
        <w:t xml:space="preserve">Option 4B </w:t>
      </w:r>
      <w:r w:rsidR="007231E5">
        <w:t xml:space="preserve">currently </w:t>
      </w:r>
      <w:r w:rsidR="00DE5984">
        <w:t>represent the optimal use and public</w:t>
      </w:r>
      <w:r w:rsidR="002A3F99">
        <w:t xml:space="preserve"> benefit that can be </w:t>
      </w:r>
      <w:r w:rsidR="00DE5984">
        <w:t>derived from</w:t>
      </w:r>
      <w:r w:rsidR="002A3F99">
        <w:t xml:space="preserve"> the use of the upper 6</w:t>
      </w:r>
      <w:r w:rsidR="002D0D47">
        <w:t> GHz</w:t>
      </w:r>
      <w:r w:rsidR="002A3F99">
        <w:t xml:space="preserve"> band</w:t>
      </w:r>
      <w:r w:rsidR="00DE5984">
        <w:t xml:space="preserve"> </w:t>
      </w:r>
      <w:r w:rsidR="0018130D">
        <w:t>(configuration shown in Figure 3)</w:t>
      </w:r>
      <w:r w:rsidR="002A3F99">
        <w:t xml:space="preserve">. </w:t>
      </w:r>
      <w:r w:rsidR="00DE5984">
        <w:t>While it provides for an expansion in RLAN services to enable more and/or larger Wi-Fi channels, we consider that the best additional use of 6585</w:t>
      </w:r>
      <w:r>
        <w:t>–</w:t>
      </w:r>
      <w:r w:rsidR="00DE5984">
        <w:t xml:space="preserve">7100 MHz to be WA WBB, provided that major relevant international markets ultimately adopt this use in the band. </w:t>
      </w:r>
    </w:p>
    <w:p w14:paraId="28674F99" w14:textId="0A059D32" w:rsidR="00D84C2E" w:rsidRDefault="00DE5984" w:rsidP="00A56EAD">
      <w:pPr>
        <w:pStyle w:val="Paragraphbeforelist"/>
      </w:pPr>
      <w:r>
        <w:t>Putting t</w:t>
      </w:r>
      <w:r w:rsidR="002A3F99">
        <w:t xml:space="preserve">his decision </w:t>
      </w:r>
      <w:r>
        <w:t xml:space="preserve">into effect will </w:t>
      </w:r>
      <w:r w:rsidR="002A3F99">
        <w:t>entail the following</w:t>
      </w:r>
      <w:r>
        <w:t xml:space="preserve"> actions for the ACMA</w:t>
      </w:r>
      <w:r w:rsidR="00D84C2E">
        <w:t>:</w:t>
      </w:r>
    </w:p>
    <w:p w14:paraId="7CE7FADB" w14:textId="0C6CCD5F" w:rsidR="00D01DB8" w:rsidRDefault="00AB6CA3" w:rsidP="00A56EAD">
      <w:pPr>
        <w:pStyle w:val="Bulletlevel1"/>
      </w:pPr>
      <w:r>
        <w:t>A</w:t>
      </w:r>
      <w:r w:rsidR="00845924">
        <w:t>dd 6425–6585 MHz to the LIPD class licence</w:t>
      </w:r>
      <w:r w:rsidR="00C22C41">
        <w:t xml:space="preserve"> to support RLAN use</w:t>
      </w:r>
      <w:r w:rsidR="002A3F99">
        <w:t xml:space="preserve">. This work is intended to be implemented as part of our </w:t>
      </w:r>
      <w:r w:rsidR="00C97583">
        <w:t xml:space="preserve">task </w:t>
      </w:r>
      <w:r w:rsidR="002A3F99">
        <w:t>to remake the instrument prior to i</w:t>
      </w:r>
      <w:r w:rsidR="00741050">
        <w:t>t</w:t>
      </w:r>
      <w:r w:rsidR="002A3F99">
        <w:t>s sunsetting in October 2025</w:t>
      </w:r>
      <w:r w:rsidR="006C02EC">
        <w:t>. We are aiming to consult on updates to the LIPD class licence in early 2025</w:t>
      </w:r>
      <w:r w:rsidR="00C97583">
        <w:t>.</w:t>
      </w:r>
    </w:p>
    <w:p w14:paraId="0D364AFF" w14:textId="162C9D7C" w:rsidR="006D44AC" w:rsidRDefault="00C97583" w:rsidP="00A56EAD">
      <w:pPr>
        <w:pStyle w:val="Bulletlevel1"/>
      </w:pPr>
      <w:r>
        <w:t>P</w:t>
      </w:r>
      <w:r w:rsidR="00876582">
        <w:t>lan for</w:t>
      </w:r>
      <w:r w:rsidR="00845924">
        <w:t xml:space="preserve"> </w:t>
      </w:r>
      <w:r w:rsidR="00D01DB8">
        <w:t>6585</w:t>
      </w:r>
      <w:r w:rsidR="00AE7C63">
        <w:rPr>
          <w:rStyle w:val="FootnoteReference"/>
        </w:rPr>
        <w:footnoteReference w:id="10"/>
      </w:r>
      <w:r w:rsidR="00845924">
        <w:t xml:space="preserve">–7100 MHz in </w:t>
      </w:r>
      <w:r w:rsidR="00E47D92">
        <w:t>defined</w:t>
      </w:r>
      <w:r w:rsidR="000F3196">
        <w:t xml:space="preserve"> </w:t>
      </w:r>
      <w:r w:rsidR="00F926B9">
        <w:t>population areas</w:t>
      </w:r>
      <w:r w:rsidR="00845924">
        <w:t xml:space="preserve"> for potential WA WBB</w:t>
      </w:r>
      <w:r w:rsidR="000F3196">
        <w:t xml:space="preserve"> use</w:t>
      </w:r>
      <w:r w:rsidR="00DE5984">
        <w:t>, but not</w:t>
      </w:r>
      <w:r w:rsidR="00384782">
        <w:t xml:space="preserve"> commence implementation of these arrangements</w:t>
      </w:r>
      <w:r w:rsidR="00DE5984">
        <w:t xml:space="preserve"> until certainty around progress towards international equipment markets can be provided</w:t>
      </w:r>
      <w:r w:rsidR="00E47D92">
        <w:t>. This planning will include determination of defined areas in consultation with stakeholders</w:t>
      </w:r>
      <w:r>
        <w:t>.</w:t>
      </w:r>
    </w:p>
    <w:p w14:paraId="6C0194AF" w14:textId="75B2B858" w:rsidR="00E110C3" w:rsidRDefault="00C97583" w:rsidP="00A56EAD">
      <w:pPr>
        <w:pStyle w:val="Bulletlevel1last"/>
      </w:pPr>
      <w:r>
        <w:t>O</w:t>
      </w:r>
      <w:r w:rsidR="00E47D92">
        <w:t xml:space="preserve">nce defined areas have been determined, </w:t>
      </w:r>
      <w:r w:rsidR="00845924">
        <w:t>mak</w:t>
      </w:r>
      <w:r w:rsidR="006D44AC">
        <w:t>e</w:t>
      </w:r>
      <w:r w:rsidR="00845924">
        <w:t xml:space="preserve"> provision for apparatus licensed access in 6</w:t>
      </w:r>
      <w:r w:rsidR="00AE7C63">
        <w:t>585</w:t>
      </w:r>
      <w:r w:rsidR="00845924">
        <w:t xml:space="preserve">–7100 MHz outside </w:t>
      </w:r>
      <w:r w:rsidR="00E47D92">
        <w:t>those</w:t>
      </w:r>
      <w:r w:rsidR="00845924">
        <w:t xml:space="preserve"> areas</w:t>
      </w:r>
      <w:r w:rsidR="00DE5984">
        <w:t xml:space="preserve"> to enable the deployment of local area WBB services (either IMT or RLAN-based technologies)</w:t>
      </w:r>
      <w:r w:rsidR="00845924">
        <w:t>.</w:t>
      </w:r>
    </w:p>
    <w:p w14:paraId="7A2F1650" w14:textId="71C1E93C" w:rsidR="00876582" w:rsidRDefault="001F693B" w:rsidP="00B31BD6">
      <w:pPr>
        <w:pStyle w:val="Figureheading"/>
      </w:pPr>
      <w:bookmarkStart w:id="31" w:name="_Hlk184810811"/>
      <w:r w:rsidRPr="00FD7B5F">
        <w:t>RLAN and potential WA WBB in the upper 6</w:t>
      </w:r>
      <w:r w:rsidR="002D0D47">
        <w:t> GHz</w:t>
      </w:r>
      <w:r w:rsidRPr="00FD7B5F">
        <w:t xml:space="preserve"> band</w:t>
      </w:r>
      <w:r w:rsidR="00065588">
        <w:t>, guard band size will be determined as part of a future process</w:t>
      </w:r>
    </w:p>
    <w:bookmarkEnd w:id="31"/>
    <w:p w14:paraId="223372CF" w14:textId="148E1A78" w:rsidR="00FD7B5F" w:rsidRDefault="00065588" w:rsidP="005313EE">
      <w:pPr>
        <w:pStyle w:val="Paragraph"/>
      </w:pPr>
      <w:r>
        <w:rPr>
          <w:noProof/>
        </w:rPr>
        <w:drawing>
          <wp:inline distT="0" distB="0" distL="0" distR="0" wp14:anchorId="41D69EEF" wp14:editId="183A153F">
            <wp:extent cx="5759450" cy="1132068"/>
            <wp:effectExtent l="0" t="0" r="0" b="0"/>
            <wp:docPr id="980634477" name="Picture 1" descr="Figure 3: RLAN and potential WA WBB in the upper 6 GHz band, guard band size will be determined as part of a futur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34477" name="Picture 1" descr="Figure 3: RLAN and potential WA WBB in the upper 6 GHz band, guard band size will be determined as part of a future process"/>
                    <pic:cNvPicPr/>
                  </pic:nvPicPr>
                  <pic:blipFill>
                    <a:blip r:embed="rId29"/>
                    <a:stretch>
                      <a:fillRect/>
                    </a:stretch>
                  </pic:blipFill>
                  <pic:spPr>
                    <a:xfrm>
                      <a:off x="0" y="0"/>
                      <a:ext cx="5759450" cy="1132068"/>
                    </a:xfrm>
                    <a:prstGeom prst="rect">
                      <a:avLst/>
                    </a:prstGeom>
                  </pic:spPr>
                </pic:pic>
              </a:graphicData>
            </a:graphic>
          </wp:inline>
        </w:drawing>
      </w:r>
    </w:p>
    <w:p w14:paraId="5D546ED3" w14:textId="6D692489" w:rsidR="00C535D1" w:rsidRDefault="009D7846" w:rsidP="005313EE">
      <w:pPr>
        <w:pStyle w:val="Paragraph"/>
      </w:pPr>
      <w:r>
        <w:t xml:space="preserve">We </w:t>
      </w:r>
      <w:r w:rsidR="005E3AC3">
        <w:t>believe</w:t>
      </w:r>
      <w:r>
        <w:t xml:space="preserve"> this way forward </w:t>
      </w:r>
      <w:r w:rsidR="00543964">
        <w:t xml:space="preserve">provides </w:t>
      </w:r>
      <w:r w:rsidR="00CB4EED">
        <w:t xml:space="preserve">for the </w:t>
      </w:r>
      <w:r w:rsidR="00741050">
        <w:t>medium</w:t>
      </w:r>
      <w:r w:rsidR="00CC06B9">
        <w:t>-term</w:t>
      </w:r>
      <w:r w:rsidR="00F2229D">
        <w:t xml:space="preserve"> </w:t>
      </w:r>
      <w:r w:rsidR="00CB4EED">
        <w:t>requirements of RLAN and</w:t>
      </w:r>
      <w:r w:rsidR="001073F4">
        <w:t xml:space="preserve"> positions Australia to </w:t>
      </w:r>
      <w:r w:rsidR="000A2720">
        <w:t>take advantage of international developments as they mature.</w:t>
      </w:r>
      <w:r w:rsidR="00876582">
        <w:t xml:space="preserve"> </w:t>
      </w:r>
      <w:r w:rsidR="00C535D1">
        <w:t>The decision to support RLA</w:t>
      </w:r>
      <w:r w:rsidR="002B6431">
        <w:t>N</w:t>
      </w:r>
      <w:r w:rsidR="00C535D1">
        <w:t xml:space="preserve"> use in part of the upper 6</w:t>
      </w:r>
      <w:r w:rsidR="002D0D47">
        <w:t> GHz</w:t>
      </w:r>
      <w:r w:rsidR="00C535D1">
        <w:t xml:space="preserve"> band </w:t>
      </w:r>
      <w:r w:rsidR="00C45AC9">
        <w:t xml:space="preserve">acknowledges that there is no </w:t>
      </w:r>
      <w:r w:rsidR="00DC4058">
        <w:t xml:space="preserve">alternative spectrum available or contemplated internationally in the </w:t>
      </w:r>
      <w:r w:rsidR="007D5405">
        <w:t>short-to-</w:t>
      </w:r>
      <w:r w:rsidR="00580251">
        <w:t xml:space="preserve">medium term. </w:t>
      </w:r>
      <w:r w:rsidR="00876582">
        <w:t xml:space="preserve">Preserving existing arrangements above 7100 MHz means that there will be no impact on </w:t>
      </w:r>
      <w:r w:rsidR="00105B96">
        <w:t xml:space="preserve">current </w:t>
      </w:r>
      <w:r w:rsidR="00876582">
        <w:t xml:space="preserve">TOB services. </w:t>
      </w:r>
    </w:p>
    <w:p w14:paraId="285FB274" w14:textId="43AA58BD" w:rsidR="006A20E0" w:rsidRPr="00E162C4" w:rsidRDefault="00105B96" w:rsidP="00105B96">
      <w:pPr>
        <w:pStyle w:val="Paragraph"/>
      </w:pPr>
      <w:r>
        <w:lastRenderedPageBreak/>
        <w:t xml:space="preserve">Regarding timeframes for the implementation of WA WBB </w:t>
      </w:r>
      <w:r w:rsidR="008433EA">
        <w:t>arrangements in defi</w:t>
      </w:r>
      <w:r w:rsidR="00D76BC2">
        <w:t>n</w:t>
      </w:r>
      <w:r w:rsidR="008433EA">
        <w:t>ed population areas</w:t>
      </w:r>
      <w:r>
        <w:t>, a</w:t>
      </w:r>
      <w:r w:rsidR="007D5405">
        <w:t>n initial</w:t>
      </w:r>
      <w:r w:rsidR="008433EA">
        <w:t xml:space="preserve"> </w:t>
      </w:r>
      <w:r>
        <w:t xml:space="preserve">key waypoint might be when the European regulatory body CEPT </w:t>
      </w:r>
      <w:r w:rsidR="008433EA">
        <w:t>provides in interim report to the European Commission</w:t>
      </w:r>
      <w:r w:rsidR="006A20E0">
        <w:t xml:space="preserve"> on sharing studies in the band</w:t>
      </w:r>
      <w:r w:rsidR="00B650D7">
        <w:t>. B</w:t>
      </w:r>
      <w:r w:rsidR="006A20E0">
        <w:t xml:space="preserve">ased on the timing in the draft Mandate discussed </w:t>
      </w:r>
      <w:r w:rsidR="007D5405">
        <w:t xml:space="preserve">in the </w:t>
      </w:r>
      <w:hyperlink w:anchor="_Planning_considerations" w:history="1">
        <w:r w:rsidR="007D5405" w:rsidRPr="00B650D7">
          <w:rPr>
            <w:rStyle w:val="Hyperlink"/>
          </w:rPr>
          <w:t>Planning considerations chapter</w:t>
        </w:r>
      </w:hyperlink>
      <w:r w:rsidR="006A20E0">
        <w:t xml:space="preserve">, this would be </w:t>
      </w:r>
      <w:r>
        <w:t xml:space="preserve">expected </w:t>
      </w:r>
      <w:r w:rsidR="007D5405">
        <w:t xml:space="preserve">in </w:t>
      </w:r>
      <w:r w:rsidR="006A20E0">
        <w:t>March</w:t>
      </w:r>
      <w:r>
        <w:t xml:space="preserve"> 2025 at the earliest. While this wouldn’t constitute national planning decisions in Europe, it might at least provide a firm indication of future use at a service level</w:t>
      </w:r>
      <w:r w:rsidR="00741050">
        <w:t xml:space="preserve">. We also </w:t>
      </w:r>
      <w:r w:rsidR="006A20E0">
        <w:t xml:space="preserve">expect that the picture will become incrementally clearer as </w:t>
      </w:r>
      <w:r w:rsidR="00420D4B">
        <w:t>CEPT</w:t>
      </w:r>
      <w:r w:rsidR="006A20E0">
        <w:t xml:space="preserve"> </w:t>
      </w:r>
      <w:r w:rsidR="00741050">
        <w:t xml:space="preserve">continues to </w:t>
      </w:r>
      <w:r w:rsidR="006A20E0">
        <w:t>work through its planning deliverables over the 2025</w:t>
      </w:r>
      <w:r w:rsidR="00B650D7">
        <w:t>–</w:t>
      </w:r>
      <w:r w:rsidR="006A20E0">
        <w:t>27 period</w:t>
      </w:r>
      <w:r>
        <w:t>.</w:t>
      </w:r>
      <w:r w:rsidR="006A20E0">
        <w:t xml:space="preserve"> </w:t>
      </w:r>
    </w:p>
    <w:p w14:paraId="281FC213" w14:textId="7B8CEFD2" w:rsidR="00710734" w:rsidRDefault="00C139E0" w:rsidP="005313EE">
      <w:pPr>
        <w:pStyle w:val="Paragraph"/>
      </w:pPr>
      <w:r>
        <w:t xml:space="preserve">Introducing </w:t>
      </w:r>
      <w:r w:rsidR="008D04F1">
        <w:t xml:space="preserve">WA WBB </w:t>
      </w:r>
      <w:r>
        <w:t>arrangements</w:t>
      </w:r>
      <w:r w:rsidR="008D04F1">
        <w:t xml:space="preserve"> in </w:t>
      </w:r>
      <w:r>
        <w:t>defined population</w:t>
      </w:r>
      <w:r w:rsidR="008D04F1">
        <w:t xml:space="preserve"> areas only </w:t>
      </w:r>
      <w:r w:rsidR="00105B96">
        <w:t xml:space="preserve">will </w:t>
      </w:r>
      <w:r w:rsidR="008D04F1">
        <w:t xml:space="preserve">limit the impact on other existing and future services operating outside of </w:t>
      </w:r>
      <w:r>
        <w:t>these defined</w:t>
      </w:r>
      <w:r w:rsidR="008D04F1">
        <w:t xml:space="preserve"> areas. </w:t>
      </w:r>
      <w:r w:rsidR="00710734">
        <w:t xml:space="preserve">There has been no discussion with stakeholders about what geographical areas should be considered for </w:t>
      </w:r>
      <w:r w:rsidR="00B60554">
        <w:br/>
      </w:r>
      <w:r w:rsidR="00710734">
        <w:t>WA WBB</w:t>
      </w:r>
      <w:r w:rsidR="00B60554">
        <w:t>,</w:t>
      </w:r>
      <w:r w:rsidR="00710734">
        <w:t xml:space="preserve"> and this </w:t>
      </w:r>
      <w:r w:rsidR="00105B96">
        <w:t xml:space="preserve">will </w:t>
      </w:r>
      <w:r w:rsidR="00710734">
        <w:t xml:space="preserve">need to </w:t>
      </w:r>
      <w:r w:rsidR="00105B96">
        <w:t>be considered in consultation with relevant stakeholders</w:t>
      </w:r>
      <w:r w:rsidR="00710734">
        <w:t xml:space="preserve"> before </w:t>
      </w:r>
      <w:r>
        <w:t>we commence implementation of WA WBB arrangements</w:t>
      </w:r>
      <w:r w:rsidR="00710734">
        <w:t>.</w:t>
      </w:r>
      <w:r w:rsidR="00105B96">
        <w:t xml:space="preserve"> </w:t>
      </w:r>
      <w:r w:rsidR="00B60554">
        <w:t>However</w:t>
      </w:r>
      <w:r w:rsidR="00105B96">
        <w:t>, we</w:t>
      </w:r>
      <w:r w:rsidR="00710734">
        <w:t xml:space="preserve"> expect that a</w:t>
      </w:r>
      <w:r>
        <w:t>reas</w:t>
      </w:r>
      <w:r w:rsidR="00710734">
        <w:t xml:space="preserve"> adopted </w:t>
      </w:r>
      <w:r w:rsidR="00105B96">
        <w:t>for</w:t>
      </w:r>
      <w:r>
        <w:t xml:space="preserve"> spectrum licensing in</w:t>
      </w:r>
      <w:r w:rsidR="00105B96">
        <w:t xml:space="preserve"> </w:t>
      </w:r>
      <w:r w:rsidR="00710734">
        <w:t>the 3</w:t>
      </w:r>
      <w:r>
        <w:t>750</w:t>
      </w:r>
      <w:r w:rsidR="00B60554">
        <w:t>–</w:t>
      </w:r>
      <w:r>
        <w:t>3800 MHz range</w:t>
      </w:r>
      <w:r w:rsidR="00105B96" w:rsidRPr="00105B96">
        <w:t xml:space="preserve"> </w:t>
      </w:r>
      <w:r w:rsidR="00105B96">
        <w:t>will be a good guide</w:t>
      </w:r>
      <w:r w:rsidR="00710734">
        <w:t xml:space="preserve">. </w:t>
      </w:r>
    </w:p>
    <w:p w14:paraId="0D2C12B6" w14:textId="3E6A7035" w:rsidR="00A00F2A" w:rsidRDefault="008D04F1" w:rsidP="005313EE">
      <w:pPr>
        <w:pStyle w:val="Paragraph"/>
      </w:pPr>
      <w:r>
        <w:t xml:space="preserve">As WA WBB would be </w:t>
      </w:r>
      <w:r w:rsidR="00105B96">
        <w:t>constrained to</w:t>
      </w:r>
      <w:r>
        <w:t xml:space="preserve"> </w:t>
      </w:r>
      <w:r w:rsidR="00C139E0">
        <w:t>defined population areas</w:t>
      </w:r>
      <w:r>
        <w:t xml:space="preserve"> only, there </w:t>
      </w:r>
      <w:r w:rsidR="00105B96">
        <w:t xml:space="preserve">will </w:t>
      </w:r>
      <w:r>
        <w:t>be o</w:t>
      </w:r>
      <w:r w:rsidR="00760742">
        <w:t>pportunities for apparatus</w:t>
      </w:r>
      <w:r w:rsidR="00B60554">
        <w:t>-</w:t>
      </w:r>
      <w:r w:rsidR="00760742">
        <w:t xml:space="preserve">licensed </w:t>
      </w:r>
      <w:r w:rsidR="0070532E">
        <w:t xml:space="preserve">WBB </w:t>
      </w:r>
      <w:r w:rsidR="007D5405">
        <w:t xml:space="preserve">and/or standard power RLAN </w:t>
      </w:r>
      <w:r w:rsidR="00760742">
        <w:t xml:space="preserve">services </w:t>
      </w:r>
      <w:r w:rsidR="002B356D">
        <w:t xml:space="preserve">outside of </w:t>
      </w:r>
      <w:r w:rsidR="0070532E">
        <w:t xml:space="preserve">these </w:t>
      </w:r>
      <w:r w:rsidR="002B356D">
        <w:t>defined areas</w:t>
      </w:r>
      <w:r w:rsidR="00105B96">
        <w:t xml:space="preserve"> in the 6585</w:t>
      </w:r>
      <w:r w:rsidR="00B60554">
        <w:t>–</w:t>
      </w:r>
      <w:r w:rsidR="00105B96">
        <w:t>7100 MHz band</w:t>
      </w:r>
      <w:r w:rsidR="002B356D">
        <w:t>.</w:t>
      </w:r>
      <w:r w:rsidR="00D07ECA">
        <w:t xml:space="preserve"> We will continue to explore these arrangements and will consult with industry as part of a separate process</w:t>
      </w:r>
      <w:r w:rsidR="007D5405">
        <w:t xml:space="preserve"> </w:t>
      </w:r>
      <w:r w:rsidR="00B60554">
        <w:t>later</w:t>
      </w:r>
      <w:r w:rsidR="00D07ECA">
        <w:t>.</w:t>
      </w:r>
    </w:p>
    <w:p w14:paraId="43BD2935" w14:textId="5809FD70" w:rsidR="006C02EC" w:rsidRPr="00B31BD6" w:rsidRDefault="006C02EC" w:rsidP="00B31BD6">
      <w:pPr>
        <w:pStyle w:val="Heading2"/>
      </w:pPr>
      <w:bookmarkStart w:id="32" w:name="_Toc184973669"/>
      <w:r w:rsidRPr="00B31BD6">
        <w:t>Evaluation of outcomes</w:t>
      </w:r>
      <w:bookmarkEnd w:id="32"/>
    </w:p>
    <w:p w14:paraId="3958FB09" w14:textId="0733E67A" w:rsidR="00035A30" w:rsidRDefault="006C02EC" w:rsidP="005313EE">
      <w:pPr>
        <w:pStyle w:val="Paragraph"/>
      </w:pPr>
      <w:r>
        <w:t>Effective regulatory arrangements, including licence conditions and technical frameworks</w:t>
      </w:r>
      <w:r w:rsidR="009A17FE">
        <w:t>,</w:t>
      </w:r>
      <w:r>
        <w:t xml:space="preserve"> are essential to ensuring efficient and effective use of the spectrum. While we have </w:t>
      </w:r>
      <w:r w:rsidR="003577AE">
        <w:t>decided on what the future arrangements for the upper 6</w:t>
      </w:r>
      <w:r w:rsidR="002D0D47">
        <w:t> GHz</w:t>
      </w:r>
      <w:r w:rsidR="003577AE">
        <w:t xml:space="preserve"> band will look like, work will continue to shape how these arrangements will be implemented. As detailed above, this will occur through future consultation processes</w:t>
      </w:r>
      <w:r w:rsidR="00035A30">
        <w:t xml:space="preserve">. We will continue to evaluate this future work against the </w:t>
      </w:r>
      <w:r w:rsidR="00D90EE2">
        <w:t xml:space="preserve">established </w:t>
      </w:r>
      <w:r w:rsidR="00035A30">
        <w:t>desirable planning outcomes.</w:t>
      </w:r>
    </w:p>
    <w:p w14:paraId="58C3D77D" w14:textId="4FD645C7" w:rsidR="002B0B50" w:rsidRDefault="002B0B50" w:rsidP="002B0B50">
      <w:pPr>
        <w:pStyle w:val="Paragraph"/>
      </w:pPr>
      <w:r>
        <w:t xml:space="preserve">In the longer term, we have an ongoing process to assess the effectiveness of the Australian spectrum management framework, through the annual five-year spectrum outlook (FYSO). </w:t>
      </w:r>
      <w:r w:rsidR="007D5405">
        <w:t>Following</w:t>
      </w:r>
      <w:r>
        <w:t xml:space="preserve"> the </w:t>
      </w:r>
      <w:r w:rsidR="007D5405">
        <w:t xml:space="preserve">implementation of these </w:t>
      </w:r>
      <w:r>
        <w:t xml:space="preserve">planning decisions (subject to future consultation processes) we will monitor use </w:t>
      </w:r>
      <w:r w:rsidR="002407DF">
        <w:t>of</w:t>
      </w:r>
      <w:r>
        <w:t xml:space="preserve"> the band and respond to changing uses or demand as part of our continual planning process outlined in the yearly FYSO updates. </w:t>
      </w:r>
    </w:p>
    <w:p w14:paraId="4E6E2920" w14:textId="4B41EAA8" w:rsidR="002B0B50" w:rsidRDefault="002B0B50" w:rsidP="005313EE">
      <w:pPr>
        <w:pStyle w:val="Paragraph"/>
      </w:pPr>
      <w:r>
        <w:t xml:space="preserve">For spectrum that is subject to apparatus </w:t>
      </w:r>
      <w:r w:rsidR="00D6055F">
        <w:t>or</w:t>
      </w:r>
      <w:r>
        <w:t xml:space="preserve"> spectrum licensing arrangements, the number of licences issued and devices registered</w:t>
      </w:r>
      <w:r w:rsidR="00D90EE2">
        <w:t xml:space="preserve"> is indicative of how the spectrum is being used. The scale of use is one factor we </w:t>
      </w:r>
      <w:r>
        <w:t xml:space="preserve">can </w:t>
      </w:r>
      <w:r w:rsidR="00D90EE2">
        <w:t>use i</w:t>
      </w:r>
      <w:r w:rsidR="00D6055F">
        <w:t>n</w:t>
      </w:r>
      <w:r w:rsidR="00D90EE2">
        <w:t xml:space="preserve"> accessing the </w:t>
      </w:r>
      <w:r w:rsidR="00D76BC2">
        <w:t>effectiveness</w:t>
      </w:r>
      <w:r w:rsidR="00D90EE2">
        <w:t xml:space="preserve"> of the licensing arrangements. </w:t>
      </w:r>
      <w:r>
        <w:t xml:space="preserve">We </w:t>
      </w:r>
      <w:r w:rsidR="00D6055F">
        <w:t>will</w:t>
      </w:r>
      <w:r>
        <w:t xml:space="preserve"> also monitor the effective</w:t>
      </w:r>
      <w:r w:rsidR="00D6055F">
        <w:t>ness</w:t>
      </w:r>
      <w:r>
        <w:t xml:space="preserve"> of</w:t>
      </w:r>
      <w:r w:rsidR="00D6055F">
        <w:t xml:space="preserve"> the</w:t>
      </w:r>
      <w:r>
        <w:t xml:space="preserve"> technical conditions for these licences, </w:t>
      </w:r>
      <w:r w:rsidR="005D036D">
        <w:t xml:space="preserve">and </w:t>
      </w:r>
      <w:r w:rsidR="00D90EE2">
        <w:t xml:space="preserve">may </w:t>
      </w:r>
      <w:r w:rsidR="005D036D">
        <w:t xml:space="preserve">consider </w:t>
      </w:r>
      <w:r w:rsidR="00D90EE2">
        <w:t xml:space="preserve">if </w:t>
      </w:r>
      <w:r w:rsidR="005D036D">
        <w:t xml:space="preserve">changes to these arrangements </w:t>
      </w:r>
      <w:r w:rsidR="00D90EE2">
        <w:t xml:space="preserve">are needed </w:t>
      </w:r>
      <w:r w:rsidR="005D036D">
        <w:t>to keep pace with changes to technology</w:t>
      </w:r>
      <w:r w:rsidR="00D90EE2">
        <w:t xml:space="preserve"> and use cases</w:t>
      </w:r>
      <w:r w:rsidR="005D036D">
        <w:t>.</w:t>
      </w:r>
    </w:p>
    <w:p w14:paraId="25FB3F7D" w14:textId="7C5C29B0" w:rsidR="00FF3C69" w:rsidRPr="00A17B1B" w:rsidRDefault="005D036D" w:rsidP="008C4D85">
      <w:pPr>
        <w:pStyle w:val="Paragraph"/>
      </w:pPr>
      <w:r>
        <w:t xml:space="preserve">For </w:t>
      </w:r>
      <w:r w:rsidR="002407DF">
        <w:t xml:space="preserve">operation under </w:t>
      </w:r>
      <w:r>
        <w:t xml:space="preserve">class licences, where actual usage is unknown, we can evaluate success by looking at the device market. If devices that align with the arrangements in a class licence (and therefore are authorised to operate in Australia) are readily available, this is an indication that the class licence is operating successfully. We have an ongoing program of work that regularly considers changes to the LIPD class licence to ensure it remains </w:t>
      </w:r>
      <w:r w:rsidR="00B60554">
        <w:br/>
      </w:r>
      <w:r>
        <w:t>fit</w:t>
      </w:r>
      <w:r w:rsidR="00B60554">
        <w:t>-</w:t>
      </w:r>
      <w:r>
        <w:t>for</w:t>
      </w:r>
      <w:r w:rsidR="00B60554">
        <w:t>-</w:t>
      </w:r>
      <w:r>
        <w:t xml:space="preserve">purpose. </w:t>
      </w:r>
      <w:bookmarkEnd w:id="4"/>
      <w:bookmarkEnd w:id="5"/>
      <w:bookmarkEnd w:id="6"/>
    </w:p>
    <w:sectPr w:rsidR="00FF3C69" w:rsidRPr="00A17B1B" w:rsidSect="005A62E5">
      <w:headerReference w:type="even" r:id="rId30"/>
      <w:headerReference w:type="default" r:id="rId31"/>
      <w:footerReference w:type="even" r:id="rId32"/>
      <w:footerReference w:type="default" r:id="rId33"/>
      <w:pgSz w:w="11906" w:h="16838" w:code="9"/>
      <w:pgMar w:top="1418" w:right="1418" w:bottom="1134" w:left="1418" w:header="709" w:footer="11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F68521" w14:textId="77777777" w:rsidR="005019DF" w:rsidRDefault="005019DF">
      <w:r>
        <w:separator/>
      </w:r>
    </w:p>
  </w:endnote>
  <w:endnote w:type="continuationSeparator" w:id="0">
    <w:p w14:paraId="537E806A" w14:textId="77777777" w:rsidR="005019DF" w:rsidRDefault="005019DF">
      <w:r>
        <w:continuationSeparator/>
      </w:r>
    </w:p>
  </w:endnote>
  <w:endnote w:type="continuationNotice" w:id="1">
    <w:p w14:paraId="2E44717A" w14:textId="77777777" w:rsidR="00B0012A" w:rsidRDefault="00B001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C0C87" w14:textId="77777777" w:rsidR="00985AE1" w:rsidRDefault="00985AE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48FA9" w14:textId="703F1E3E" w:rsidR="00C053A1" w:rsidRPr="005A62E5" w:rsidRDefault="005A62E5" w:rsidP="005A62E5">
    <w:pPr>
      <w:pStyle w:val="Header"/>
      <w:tabs>
        <w:tab w:val="clear" w:pos="4153"/>
        <w:tab w:val="clear" w:pos="8306"/>
        <w:tab w:val="left" w:pos="5445"/>
        <w:tab w:val="right" w:pos="9072"/>
      </w:tabs>
      <w:rPr>
        <w:noProof/>
        <w:sz w:val="20"/>
      </w:rPr>
    </w:pPr>
    <w:r>
      <w:rPr>
        <w:color w:val="505050"/>
      </w:rPr>
      <w:t>Australian Communications and Media Authority</w:t>
    </w:r>
    <w:r>
      <w:rPr>
        <w:color w:val="505050"/>
      </w:rPr>
      <w:tab/>
    </w:r>
    <w:r>
      <w:rPr>
        <w:color w:val="505050"/>
      </w:rPr>
      <w:tab/>
    </w:r>
    <w:sdt>
      <w:sdtPr>
        <w:id w:val="72649357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985AE1">
          <w:rPr>
            <w:noProof/>
          </w:rPr>
          <w:t>17</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94E31" w14:textId="77777777" w:rsidR="005E250B" w:rsidRDefault="005E250B" w:rsidP="005E250B">
    <w:pPr>
      <w:pStyle w:val="Footer"/>
      <w:jc w:val="right"/>
    </w:pPr>
    <w:r w:rsidRPr="005E250B">
      <w:rPr>
        <w:noProof/>
        <w:vertAlign w:val="subscript"/>
      </w:rPr>
      <w:drawing>
        <wp:inline distT="0" distB="0" distL="0" distR="0" wp14:anchorId="61386877" wp14:editId="4C0C97F6">
          <wp:extent cx="1066800" cy="277368"/>
          <wp:effectExtent l="0" t="0" r="0" b="0"/>
          <wp:docPr id="15" name="Picture 15"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1"/>
                  </pic:cNvPr>
                  <pic:cNvPicPr/>
                </pic:nvPicPr>
                <pic:blipFill>
                  <a:blip r:embed="rId2"/>
                  <a:stretch>
                    <a:fillRect/>
                  </a:stretch>
                </pic:blipFill>
                <pic:spPr>
                  <a:xfrm>
                    <a:off x="0" y="0"/>
                    <a:ext cx="1133985" cy="29483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922BA" w14:textId="77777777" w:rsidR="00985AE1" w:rsidRDefault="00985A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EDBE8" w14:textId="77777777" w:rsidR="00C053A1" w:rsidRDefault="00C053A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C0AE7" w14:textId="77777777" w:rsidR="00C053A1" w:rsidRDefault="00C053A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EB70B" w14:textId="77777777" w:rsidR="00971914" w:rsidRPr="00622A3B" w:rsidRDefault="00971914"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0C6AB4">
      <w:rPr>
        <w:noProof/>
        <w:color w:val="505050"/>
      </w:rPr>
      <w:t>iv</w:t>
    </w:r>
    <w:r w:rsidRPr="002E4DDC">
      <w:rPr>
        <w:color w:val="505050"/>
      </w:rPr>
      <w:fldChar w:fldCharType="end"/>
    </w:r>
  </w:p>
  <w:p w14:paraId="6AD0FFDA" w14:textId="77777777" w:rsidR="00C053A1" w:rsidRPr="00A5474E" w:rsidRDefault="00C053A1" w:rsidP="00A547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133A6" w14:textId="77777777" w:rsidR="00971914" w:rsidRPr="00622A3B" w:rsidRDefault="00971914"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0C6AB4">
      <w:rPr>
        <w:noProof/>
        <w:color w:val="505050"/>
      </w:rPr>
      <w:t>v</w:t>
    </w:r>
    <w:r w:rsidRPr="002E4DDC">
      <w:rPr>
        <w:color w:val="505050"/>
      </w:rPr>
      <w:fldChar w:fldCharType="end"/>
    </w:r>
  </w:p>
  <w:p w14:paraId="53972F4F" w14:textId="77777777" w:rsidR="00C053A1" w:rsidRPr="00A5474E" w:rsidRDefault="00C053A1" w:rsidP="00A547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391F2" w14:textId="3AF27D6F" w:rsidR="00C053A1" w:rsidRPr="005A62E5" w:rsidRDefault="005A62E5" w:rsidP="005A62E5">
    <w:pPr>
      <w:pStyle w:val="Header"/>
      <w:tabs>
        <w:tab w:val="clear" w:pos="4153"/>
        <w:tab w:val="clear" w:pos="8306"/>
        <w:tab w:val="right" w:pos="9072"/>
      </w:tabs>
      <w:rPr>
        <w:noProof/>
        <w:sz w:val="20"/>
      </w:rPr>
    </w:pPr>
    <w:r>
      <w:rPr>
        <w:color w:val="505050"/>
      </w:rPr>
      <w:t>Australian Communications and Media Authority</w:t>
    </w:r>
    <w:r>
      <w:rPr>
        <w:color w:val="505050"/>
      </w:rPr>
      <w:tab/>
    </w:r>
    <w:r w:rsidRPr="005A62E5">
      <w:rPr>
        <w:color w:val="505050"/>
      </w:rPr>
      <w:fldChar w:fldCharType="begin"/>
    </w:r>
    <w:r w:rsidRPr="005A62E5">
      <w:rPr>
        <w:color w:val="505050"/>
      </w:rPr>
      <w:instrText xml:space="preserve"> PAGE   \* MERGEFORMAT </w:instrText>
    </w:r>
    <w:r w:rsidRPr="005A62E5">
      <w:rPr>
        <w:color w:val="505050"/>
      </w:rPr>
      <w:fldChar w:fldCharType="separate"/>
    </w:r>
    <w:r w:rsidR="00985AE1">
      <w:rPr>
        <w:noProof/>
        <w:color w:val="505050"/>
      </w:rPr>
      <w:t>iii</w:t>
    </w:r>
    <w:r w:rsidRPr="005A62E5">
      <w:rPr>
        <w:noProof/>
        <w:color w:val="50505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F4FD4" w14:textId="5D00AC2E" w:rsidR="00C053A1" w:rsidRPr="005A62E5" w:rsidRDefault="005A62E5" w:rsidP="005A62E5">
    <w:pPr>
      <w:pStyle w:val="Header"/>
      <w:tabs>
        <w:tab w:val="clear" w:pos="4153"/>
        <w:tab w:val="clear" w:pos="8306"/>
        <w:tab w:val="left" w:pos="5445"/>
        <w:tab w:val="right" w:pos="9072"/>
      </w:tabs>
      <w:rPr>
        <w:noProof/>
        <w:sz w:val="20"/>
      </w:rPr>
    </w:pPr>
    <w:r>
      <w:rPr>
        <w:color w:val="505050"/>
      </w:rPr>
      <w:t>Australian Communications and Media Authority</w:t>
    </w:r>
    <w:r>
      <w:rPr>
        <w:color w:val="505050"/>
      </w:rPr>
      <w:tab/>
    </w:r>
    <w:r>
      <w:rPr>
        <w:color w:val="505050"/>
      </w:rPr>
      <w:tab/>
    </w:r>
    <w:sdt>
      <w:sdtPr>
        <w:id w:val="-30516885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985AE1">
          <w:rPr>
            <w:noProof/>
          </w:rPr>
          <w:t>18</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D66178" w14:textId="77777777" w:rsidR="005019DF" w:rsidRDefault="005019DF" w:rsidP="00DB3A64">
      <w:pPr>
        <w:spacing w:after="0"/>
      </w:pPr>
      <w:r>
        <w:separator/>
      </w:r>
    </w:p>
  </w:footnote>
  <w:footnote w:type="continuationSeparator" w:id="0">
    <w:p w14:paraId="6E1F418B" w14:textId="77777777" w:rsidR="005019DF" w:rsidRDefault="005019DF">
      <w:r>
        <w:continuationSeparator/>
      </w:r>
    </w:p>
  </w:footnote>
  <w:footnote w:type="continuationNotice" w:id="1">
    <w:p w14:paraId="03D858B5" w14:textId="77777777" w:rsidR="00B0012A" w:rsidRDefault="00B0012A">
      <w:pPr>
        <w:spacing w:after="0" w:line="240" w:lineRule="auto"/>
      </w:pPr>
    </w:p>
  </w:footnote>
  <w:footnote w:id="2">
    <w:p w14:paraId="57376794" w14:textId="6BCF1FC2" w:rsidR="006E7093" w:rsidRDefault="006E7093" w:rsidP="006E7093">
      <w:pPr>
        <w:pStyle w:val="FootnoteText"/>
      </w:pPr>
      <w:r>
        <w:rPr>
          <w:rStyle w:val="FootnoteReference"/>
        </w:rPr>
        <w:footnoteRef/>
      </w:r>
      <w:hyperlink r:id="rId1" w:history="1">
        <w:r w:rsidR="002961DF" w:rsidRPr="002961DF">
          <w:rPr>
            <w:rStyle w:val="Hyperlink"/>
          </w:rPr>
          <w:t>Options paper: Future use of the upper 6</w:t>
        </w:r>
        <w:r w:rsidR="002D0D47">
          <w:rPr>
            <w:rStyle w:val="Hyperlink"/>
          </w:rPr>
          <w:t> GHz</w:t>
        </w:r>
        <w:r w:rsidR="002961DF" w:rsidRPr="002961DF">
          <w:rPr>
            <w:rStyle w:val="Hyperlink"/>
          </w:rPr>
          <w:t xml:space="preserve"> band</w:t>
        </w:r>
      </w:hyperlink>
    </w:p>
  </w:footnote>
  <w:footnote w:id="3">
    <w:p w14:paraId="2189FE11" w14:textId="77777777" w:rsidR="00427194" w:rsidRDefault="00427194" w:rsidP="00427194">
      <w:pPr>
        <w:pStyle w:val="FootnoteText"/>
      </w:pPr>
      <w:r>
        <w:rPr>
          <w:rStyle w:val="FootnoteReference"/>
        </w:rPr>
        <w:footnoteRef/>
      </w:r>
      <w:r>
        <w:t xml:space="preserve"> This frequency is likely to be higher to provide for frequency separation between RLAN and WA WBB use. This will be established as part of a future consultation process and informed by compatibility studies.</w:t>
      </w:r>
    </w:p>
  </w:footnote>
  <w:footnote w:id="4">
    <w:p w14:paraId="2B585269" w14:textId="55FBB786" w:rsidR="00522E43" w:rsidRDefault="00522E43">
      <w:pPr>
        <w:pStyle w:val="FootnoteText"/>
      </w:pPr>
      <w:r>
        <w:rPr>
          <w:rStyle w:val="FootnoteReference"/>
        </w:rPr>
        <w:footnoteRef/>
      </w:r>
      <w:r>
        <w:t xml:space="preserve"> Consultation to finalise the defined areas will be subject to a separate process</w:t>
      </w:r>
      <w:r w:rsidR="0079718A">
        <w:t>.</w:t>
      </w:r>
    </w:p>
  </w:footnote>
  <w:footnote w:id="5">
    <w:p w14:paraId="18A6A724" w14:textId="1E2EB01B" w:rsidR="00FB0573" w:rsidRDefault="00FB0573">
      <w:pPr>
        <w:pStyle w:val="FootnoteText"/>
      </w:pPr>
      <w:r>
        <w:rPr>
          <w:rStyle w:val="FootnoteReference"/>
        </w:rPr>
        <w:footnoteRef/>
      </w:r>
      <w:r>
        <w:t xml:space="preserve"> Further discussion on the ongoing work in Europe is provided in the </w:t>
      </w:r>
      <w:hyperlink w:anchor="_International_context_and" w:history="1">
        <w:r w:rsidRPr="004C46AA">
          <w:rPr>
            <w:rStyle w:val="Hyperlink"/>
          </w:rPr>
          <w:t>International context and equipment markets section</w:t>
        </w:r>
      </w:hyperlink>
      <w:r>
        <w:t xml:space="preserve"> of this paper.</w:t>
      </w:r>
    </w:p>
  </w:footnote>
  <w:footnote w:id="6">
    <w:p w14:paraId="1A5A4419" w14:textId="0402584E" w:rsidR="00604229" w:rsidRDefault="00604229">
      <w:pPr>
        <w:pStyle w:val="FootnoteText"/>
      </w:pPr>
      <w:r>
        <w:rPr>
          <w:rStyle w:val="FootnoteReference"/>
        </w:rPr>
        <w:footnoteRef/>
      </w:r>
      <w:hyperlink r:id="rId2" w:history="1">
        <w:r w:rsidR="002961DF" w:rsidRPr="002961DF">
          <w:rPr>
            <w:rStyle w:val="Hyperlink"/>
          </w:rPr>
          <w:t>Options paper: Future use of the upper 6</w:t>
        </w:r>
        <w:r w:rsidR="002D0D47">
          <w:rPr>
            <w:rStyle w:val="Hyperlink"/>
          </w:rPr>
          <w:t> GHz</w:t>
        </w:r>
        <w:r w:rsidR="002961DF" w:rsidRPr="002961DF">
          <w:rPr>
            <w:rStyle w:val="Hyperlink"/>
          </w:rPr>
          <w:t xml:space="preserve"> band</w:t>
        </w:r>
      </w:hyperlink>
    </w:p>
  </w:footnote>
  <w:footnote w:id="7">
    <w:p w14:paraId="0A2D42E4" w14:textId="69026181" w:rsidR="00F302E0" w:rsidRDefault="00F302E0">
      <w:pPr>
        <w:pStyle w:val="FootnoteText"/>
      </w:pPr>
      <w:r>
        <w:rPr>
          <w:rStyle w:val="FootnoteReference"/>
        </w:rPr>
        <w:footnoteRef/>
      </w:r>
      <w:r>
        <w:t xml:space="preserve"> Including Brazil, although we understand there has been further consideration of potentially repurposing the upper 6</w:t>
      </w:r>
      <w:r w:rsidR="002D0D47">
        <w:t> GHz</w:t>
      </w:r>
      <w:r>
        <w:t xml:space="preserve"> band for WBB.</w:t>
      </w:r>
    </w:p>
  </w:footnote>
  <w:footnote w:id="8">
    <w:p w14:paraId="00D17F44" w14:textId="1B638268" w:rsidR="005029A6" w:rsidRDefault="005029A6">
      <w:pPr>
        <w:pStyle w:val="FootnoteText"/>
      </w:pPr>
      <w:r>
        <w:rPr>
          <w:rStyle w:val="FootnoteReference"/>
        </w:rPr>
        <w:footnoteRef/>
      </w:r>
      <w:r>
        <w:t xml:space="preserve"> See our 2021 </w:t>
      </w:r>
      <w:hyperlink r:id="rId3" w:history="1">
        <w:r w:rsidRPr="005029A6">
          <w:rPr>
            <w:rStyle w:val="Hyperlink"/>
          </w:rPr>
          <w:t>Review of the 2</w:t>
        </w:r>
        <w:r w:rsidR="002D0D47">
          <w:rPr>
            <w:rStyle w:val="Hyperlink"/>
          </w:rPr>
          <w:t> GHz</w:t>
        </w:r>
        <w:r w:rsidRPr="005029A6">
          <w:rPr>
            <w:rStyle w:val="Hyperlink"/>
          </w:rPr>
          <w:t xml:space="preserve"> Television Outside Broadcast Frequency Band Plan</w:t>
        </w:r>
      </w:hyperlink>
      <w:r>
        <w:t>.</w:t>
      </w:r>
    </w:p>
  </w:footnote>
  <w:footnote w:id="9">
    <w:p w14:paraId="5C2941DD" w14:textId="6C287C3E" w:rsidR="00365D39" w:rsidRDefault="00365D39">
      <w:pPr>
        <w:pStyle w:val="FootnoteText"/>
      </w:pPr>
      <w:r>
        <w:rPr>
          <w:rStyle w:val="FootnoteReference"/>
        </w:rPr>
        <w:footnoteRef/>
      </w:r>
      <w:r>
        <w:t xml:space="preserve"> See the paper: </w:t>
      </w:r>
      <w:hyperlink r:id="rId4" w:history="1">
        <w:r w:rsidRPr="00365D39">
          <w:rPr>
            <w:rStyle w:val="Hyperlink"/>
          </w:rPr>
          <w:t>Replanning of the 3700-4200 MHz band - Options paper</w:t>
        </w:r>
      </w:hyperlink>
      <w:r>
        <w:t>.</w:t>
      </w:r>
    </w:p>
  </w:footnote>
  <w:footnote w:id="10">
    <w:p w14:paraId="0EF25524" w14:textId="5C423FEA" w:rsidR="00AE7C63" w:rsidRDefault="00AE7C63">
      <w:pPr>
        <w:pStyle w:val="FootnoteText"/>
      </w:pPr>
      <w:r>
        <w:rPr>
          <w:rStyle w:val="FootnoteReference"/>
        </w:rPr>
        <w:footnoteRef/>
      </w:r>
      <w:r>
        <w:t xml:space="preserve"> This frequency</w:t>
      </w:r>
      <w:r w:rsidR="00BA2DAB">
        <w:t xml:space="preserve"> is likely to be higher to provide for separation between RLAN and WA WBB </w:t>
      </w:r>
      <w:r w:rsidR="008D184C">
        <w:t xml:space="preserve">use, </w:t>
      </w:r>
      <w:r w:rsidR="005E3AC3">
        <w:t xml:space="preserve">and </w:t>
      </w:r>
      <w:r w:rsidR="008D184C">
        <w:t xml:space="preserve">provide protection </w:t>
      </w:r>
      <w:r w:rsidR="005E3AC3">
        <w:br/>
      </w:r>
      <w:r w:rsidR="008D184C">
        <w:t>for WA WBB.</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2C286" w14:textId="77777777" w:rsidR="00985AE1" w:rsidRDefault="00985A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F1ACC" w14:textId="77777777" w:rsidR="00C053A1" w:rsidRPr="005A62E5" w:rsidRDefault="005A62E5" w:rsidP="005A62E5">
    <w:pPr>
      <w:pStyle w:val="Header"/>
    </w:pPr>
    <w:r>
      <w:rPr>
        <w:noProof/>
      </w:rPr>
      <w:drawing>
        <wp:inline distT="0" distB="0" distL="0" distR="0" wp14:anchorId="35F63AB7" wp14:editId="2FEF0C9F">
          <wp:extent cx="3229598" cy="381000"/>
          <wp:effectExtent l="0" t="0" r="9525" b="0"/>
          <wp:docPr id="5" name="Picture 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1"/>
                  <a:stretch>
                    <a:fillRect/>
                  </a:stretch>
                </pic:blipFill>
                <pic:spPr>
                  <a:xfrm>
                    <a:off x="0" y="0"/>
                    <a:ext cx="3300801" cy="3894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AA936" w14:textId="77777777" w:rsidR="00C053A1" w:rsidRPr="00A5474E" w:rsidRDefault="00C053A1" w:rsidP="00594E9C">
    <w:pPr>
      <w:pStyle w:val="TOCHeading"/>
    </w:pPr>
    <w:r w:rsidRPr="0029593B">
      <w:t>Contents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88AAC" w14:textId="77777777" w:rsidR="00C053A1" w:rsidRDefault="00C053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D66C3" w14:textId="77777777" w:rsidR="00C053A1" w:rsidRDefault="00C053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678" w:type="dxa"/>
      <w:tblLayout w:type="fixed"/>
      <w:tblCellMar>
        <w:left w:w="0" w:type="dxa"/>
        <w:right w:w="0" w:type="dxa"/>
      </w:tblCellMar>
      <w:tblLook w:val="01E0" w:firstRow="1" w:lastRow="1" w:firstColumn="1" w:lastColumn="1" w:noHBand="0" w:noVBand="0"/>
    </w:tblPr>
    <w:tblGrid>
      <w:gridCol w:w="7678"/>
    </w:tblGrid>
    <w:tr w:rsidR="00971914" w14:paraId="6C34D186" w14:textId="77777777" w:rsidTr="003B0421">
      <w:trPr>
        <w:trHeight w:hRule="exact" w:val="988"/>
      </w:trPr>
      <w:tc>
        <w:tcPr>
          <w:tcW w:w="7678" w:type="dxa"/>
          <w:shd w:val="clear" w:color="auto" w:fill="auto"/>
        </w:tcPr>
        <w:p w14:paraId="5E65387C" w14:textId="77777777" w:rsidR="00971914" w:rsidRDefault="00971914" w:rsidP="00971914">
          <w:pPr>
            <w:pStyle w:val="Header"/>
          </w:pPr>
        </w:p>
      </w:tc>
    </w:tr>
    <w:tr w:rsidR="00971914" w14:paraId="3F860894" w14:textId="77777777" w:rsidTr="003B0421">
      <w:tc>
        <w:tcPr>
          <w:tcW w:w="7678" w:type="dxa"/>
          <w:shd w:val="clear" w:color="auto" w:fill="auto"/>
        </w:tcPr>
        <w:p w14:paraId="4156F1C6" w14:textId="77777777" w:rsidR="00971914" w:rsidRDefault="00971914" w:rsidP="00971914">
          <w:pPr>
            <w:pStyle w:val="GridTable31"/>
          </w:pPr>
          <w:r>
            <w:t xml:space="preserve">Contents </w:t>
          </w:r>
          <w:r w:rsidRPr="00915B1C">
            <w:rPr>
              <w:b w:val="0"/>
              <w:spacing w:val="0"/>
              <w:sz w:val="28"/>
              <w:szCs w:val="28"/>
            </w:rPr>
            <w:t>(Continued)</w:t>
          </w:r>
        </w:p>
      </w:tc>
    </w:tr>
    <w:tr w:rsidR="00971914" w14:paraId="7687796B" w14:textId="77777777" w:rsidTr="003B0421">
      <w:trPr>
        <w:trHeight w:val="1220"/>
      </w:trPr>
      <w:tc>
        <w:tcPr>
          <w:tcW w:w="7678" w:type="dxa"/>
          <w:shd w:val="clear" w:color="auto" w:fill="auto"/>
        </w:tcPr>
        <w:p w14:paraId="1403F2D4" w14:textId="77777777" w:rsidR="00971914" w:rsidRDefault="00971914" w:rsidP="00971914"/>
      </w:tc>
    </w:tr>
  </w:tbl>
  <w:p w14:paraId="4649E5DF" w14:textId="77777777" w:rsidR="00971914" w:rsidRDefault="00971914" w:rsidP="0097191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678" w:type="dxa"/>
      <w:tblLayout w:type="fixed"/>
      <w:tblCellMar>
        <w:left w:w="0" w:type="dxa"/>
        <w:right w:w="0" w:type="dxa"/>
      </w:tblCellMar>
      <w:tblLook w:val="01E0" w:firstRow="1" w:lastRow="1" w:firstColumn="1" w:lastColumn="1" w:noHBand="0" w:noVBand="0"/>
    </w:tblPr>
    <w:tblGrid>
      <w:gridCol w:w="7678"/>
    </w:tblGrid>
    <w:tr w:rsidR="00971914" w14:paraId="287DD87B" w14:textId="77777777" w:rsidTr="003B0421">
      <w:trPr>
        <w:trHeight w:hRule="exact" w:val="988"/>
      </w:trPr>
      <w:tc>
        <w:tcPr>
          <w:tcW w:w="7678" w:type="dxa"/>
          <w:shd w:val="clear" w:color="auto" w:fill="auto"/>
        </w:tcPr>
        <w:p w14:paraId="72D6761B" w14:textId="77777777" w:rsidR="00971914" w:rsidRDefault="00971914" w:rsidP="00971914">
          <w:pPr>
            <w:pStyle w:val="Header"/>
          </w:pPr>
        </w:p>
      </w:tc>
    </w:tr>
    <w:tr w:rsidR="00971914" w14:paraId="715895AF" w14:textId="77777777" w:rsidTr="003B0421">
      <w:tc>
        <w:tcPr>
          <w:tcW w:w="7678" w:type="dxa"/>
          <w:shd w:val="clear" w:color="auto" w:fill="auto"/>
        </w:tcPr>
        <w:p w14:paraId="7EE6A518" w14:textId="77777777" w:rsidR="00971914" w:rsidRDefault="00971914" w:rsidP="00971914">
          <w:pPr>
            <w:pStyle w:val="GridTable31"/>
          </w:pPr>
          <w:r>
            <w:t xml:space="preserve">Contents </w:t>
          </w:r>
          <w:r w:rsidRPr="00915B1C">
            <w:rPr>
              <w:b w:val="0"/>
              <w:spacing w:val="0"/>
              <w:sz w:val="28"/>
              <w:szCs w:val="28"/>
            </w:rPr>
            <w:t>(Continued)</w:t>
          </w:r>
        </w:p>
      </w:tc>
    </w:tr>
    <w:tr w:rsidR="00971914" w14:paraId="566F0414" w14:textId="77777777" w:rsidTr="003B0421">
      <w:trPr>
        <w:trHeight w:val="1220"/>
      </w:trPr>
      <w:tc>
        <w:tcPr>
          <w:tcW w:w="7678" w:type="dxa"/>
          <w:shd w:val="clear" w:color="auto" w:fill="auto"/>
        </w:tcPr>
        <w:p w14:paraId="6E734019" w14:textId="77777777" w:rsidR="00971914" w:rsidRDefault="00971914" w:rsidP="00971914"/>
      </w:tc>
    </w:tr>
  </w:tbl>
  <w:p w14:paraId="7BFC5CFC" w14:textId="77777777" w:rsidR="00C053A1" w:rsidRPr="00A5474E" w:rsidRDefault="00C053A1" w:rsidP="00A5474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E273C" w14:textId="77777777" w:rsidR="00C053A1" w:rsidRDefault="00C053A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483BF" w14:textId="77777777" w:rsidR="00C053A1" w:rsidRDefault="00C053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75F22F60"/>
    <w:lvl w:ilvl="0">
      <w:start w:val="1"/>
      <w:numFmt w:val="lowerRoman"/>
      <w:pStyle w:val="ListNumber2"/>
      <w:lvlText w:val="%1."/>
      <w:lvlJc w:val="right"/>
      <w:pPr>
        <w:ind w:left="717" w:hanging="360"/>
      </w:pPr>
      <w:rPr>
        <w:rFonts w:hint="default"/>
      </w:rPr>
    </w:lvl>
  </w:abstractNum>
  <w:abstractNum w:abstractNumId="1" w15:restartNumberingAfterBreak="0">
    <w:nsid w:val="FFFFFF83"/>
    <w:multiLevelType w:val="singleLevel"/>
    <w:tmpl w:val="909E78BC"/>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2" w15:restartNumberingAfterBreak="0">
    <w:nsid w:val="FFFFFF88"/>
    <w:multiLevelType w:val="singleLevel"/>
    <w:tmpl w:val="93C0CEB6"/>
    <w:lvl w:ilvl="0">
      <w:start w:val="1"/>
      <w:numFmt w:val="decimal"/>
      <w:pStyle w:val="ListNumber"/>
      <w:lvlText w:val="%1."/>
      <w:lvlJc w:val="left"/>
      <w:pPr>
        <w:ind w:left="360" w:hanging="360"/>
      </w:pPr>
      <w:rPr>
        <w:rFonts w:hint="default"/>
        <w:b w:val="0"/>
        <w:bCs/>
        <w:caps/>
        <w:sz w:val="22"/>
        <w:szCs w:val="28"/>
      </w:rPr>
    </w:lvl>
  </w:abstractNum>
  <w:abstractNum w:abstractNumId="3" w15:restartNumberingAfterBreak="0">
    <w:nsid w:val="FFFFFF89"/>
    <w:multiLevelType w:val="singleLevel"/>
    <w:tmpl w:val="E552FEBA"/>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4" w15:restartNumberingAfterBreak="0">
    <w:nsid w:val="025F31C6"/>
    <w:multiLevelType w:val="multilevel"/>
    <w:tmpl w:val="76726F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A363A4"/>
    <w:multiLevelType w:val="hybridMultilevel"/>
    <w:tmpl w:val="ADBA3DA0"/>
    <w:lvl w:ilvl="0" w:tplc="2850DEAC">
      <w:start w:val="1"/>
      <w:numFmt w:val="bullet"/>
      <w:lvlText w:val="&gt;"/>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773DE2"/>
    <w:multiLevelType w:val="hybridMultilevel"/>
    <w:tmpl w:val="A2AE74D6"/>
    <w:lvl w:ilvl="0" w:tplc="2850DEAC">
      <w:start w:val="1"/>
      <w:numFmt w:val="bullet"/>
      <w:lvlText w:val="&gt;"/>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7C268C"/>
    <w:multiLevelType w:val="hybridMultilevel"/>
    <w:tmpl w:val="E0A6CA9A"/>
    <w:lvl w:ilvl="0" w:tplc="44EEC084">
      <w:start w:val="1"/>
      <w:numFmt w:val="bullet"/>
      <w:lvlText w:val="&gt;"/>
      <w:lvlJc w:val="left"/>
      <w:pPr>
        <w:ind w:left="720" w:hanging="360"/>
      </w:pPr>
      <w:rPr>
        <w:rFonts w:ascii="HelveticaNeueLT Std" w:hAnsi="HelveticaNeueLT St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1F0931"/>
    <w:multiLevelType w:val="multilevel"/>
    <w:tmpl w:val="B81CB206"/>
    <w:lvl w:ilvl="0">
      <w:start w:val="1"/>
      <w:numFmt w:val="decimal"/>
      <w:pStyle w:val="Numberedparagraph"/>
      <w:lvlText w:val="%1."/>
      <w:lvlJc w:val="left"/>
      <w:pPr>
        <w:tabs>
          <w:tab w:val="num" w:pos="-31680"/>
        </w:tabs>
        <w:ind w:left="357" w:hanging="357"/>
      </w:pPr>
      <w:rPr>
        <w:rFonts w:hint="default"/>
        <w:sz w:val="20"/>
        <w:szCs w:val="20"/>
      </w:rPr>
    </w:lvl>
    <w:lvl w:ilvl="1">
      <w:start w:val="1"/>
      <w:numFmt w:val="lowerLetter"/>
      <w:pStyle w:val="EMCletteredbulletpoint"/>
      <w:lvlText w:val="%2."/>
      <w:lvlJc w:val="left"/>
      <w:pPr>
        <w:tabs>
          <w:tab w:val="num" w:pos="1728"/>
        </w:tabs>
        <w:ind w:left="720" w:hanging="363"/>
      </w:pPr>
      <w:rPr>
        <w:rFonts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9" w15:restartNumberingAfterBreak="0">
    <w:nsid w:val="11AD521D"/>
    <w:multiLevelType w:val="hybridMultilevel"/>
    <w:tmpl w:val="B108FD84"/>
    <w:lvl w:ilvl="0" w:tplc="DD00C67E">
      <w:start w:val="1"/>
      <w:numFmt w:val="bullet"/>
      <w:pStyle w:val="Bulletlevel2"/>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AC70D6B"/>
    <w:multiLevelType w:val="hybridMultilevel"/>
    <w:tmpl w:val="F7504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4056F6"/>
    <w:multiLevelType w:val="multilevel"/>
    <w:tmpl w:val="B8529C5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CA3030"/>
    <w:multiLevelType w:val="hybridMultilevel"/>
    <w:tmpl w:val="E000FEF2"/>
    <w:lvl w:ilvl="0" w:tplc="0C09000F">
      <w:start w:val="1"/>
      <w:numFmt w:val="decimal"/>
      <w:lvlText w:val="%1."/>
      <w:lvlJc w:val="left"/>
      <w:pPr>
        <w:ind w:left="720" w:hanging="360"/>
      </w:pPr>
      <w:rPr>
        <w:rFonts w:hint="default"/>
      </w:rPr>
    </w:lvl>
    <w:lvl w:ilvl="1" w:tplc="0FEADD4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8111E5"/>
    <w:multiLevelType w:val="hybridMultilevel"/>
    <w:tmpl w:val="5A0ABE46"/>
    <w:lvl w:ilvl="0" w:tplc="2850DEAC">
      <w:start w:val="1"/>
      <w:numFmt w:val="bullet"/>
      <w:lvlText w:val="&gt;"/>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760017"/>
    <w:multiLevelType w:val="multilevel"/>
    <w:tmpl w:val="3938A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6" w15:restartNumberingAfterBreak="0">
    <w:nsid w:val="3435097D"/>
    <w:multiLevelType w:val="hybridMultilevel"/>
    <w:tmpl w:val="7326FCDC"/>
    <w:lvl w:ilvl="0" w:tplc="8DFEE398">
      <w:start w:val="1"/>
      <w:numFmt w:val="bullet"/>
      <w:pStyle w:val="Bulletlevel2las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40856148"/>
    <w:multiLevelType w:val="hybridMultilevel"/>
    <w:tmpl w:val="AA1EE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A62349"/>
    <w:multiLevelType w:val="hybridMultilevel"/>
    <w:tmpl w:val="A8346E58"/>
    <w:lvl w:ilvl="0" w:tplc="2850DEAC">
      <w:start w:val="1"/>
      <w:numFmt w:val="bullet"/>
      <w:lvlText w:val="&gt;"/>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E60B49"/>
    <w:multiLevelType w:val="hybridMultilevel"/>
    <w:tmpl w:val="40824BD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CA645E1"/>
    <w:multiLevelType w:val="multilevel"/>
    <w:tmpl w:val="F24007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B1548C"/>
    <w:multiLevelType w:val="hybridMultilevel"/>
    <w:tmpl w:val="768C6400"/>
    <w:lvl w:ilvl="0" w:tplc="D4CE6D32">
      <w:start w:val="1"/>
      <w:numFmt w:val="decimal"/>
      <w:lvlText w:val="%1."/>
      <w:lvlJc w:val="left"/>
      <w:pPr>
        <w:ind w:left="720" w:hanging="360"/>
      </w:pPr>
    </w:lvl>
    <w:lvl w:ilvl="1" w:tplc="73A2A502">
      <w:start w:val="1"/>
      <w:numFmt w:val="decimal"/>
      <w:lvlText w:val="%2."/>
      <w:lvlJc w:val="left"/>
      <w:pPr>
        <w:ind w:left="720" w:hanging="360"/>
      </w:pPr>
    </w:lvl>
    <w:lvl w:ilvl="2" w:tplc="EC003E68">
      <w:start w:val="1"/>
      <w:numFmt w:val="decimal"/>
      <w:lvlText w:val="%3."/>
      <w:lvlJc w:val="left"/>
      <w:pPr>
        <w:ind w:left="720" w:hanging="360"/>
      </w:pPr>
    </w:lvl>
    <w:lvl w:ilvl="3" w:tplc="95E041A0">
      <w:start w:val="1"/>
      <w:numFmt w:val="decimal"/>
      <w:lvlText w:val="%4."/>
      <w:lvlJc w:val="left"/>
      <w:pPr>
        <w:ind w:left="720" w:hanging="360"/>
      </w:pPr>
    </w:lvl>
    <w:lvl w:ilvl="4" w:tplc="E1F2A56A">
      <w:start w:val="1"/>
      <w:numFmt w:val="decimal"/>
      <w:lvlText w:val="%5."/>
      <w:lvlJc w:val="left"/>
      <w:pPr>
        <w:ind w:left="720" w:hanging="360"/>
      </w:pPr>
    </w:lvl>
    <w:lvl w:ilvl="5" w:tplc="7FBA9BB2">
      <w:start w:val="1"/>
      <w:numFmt w:val="decimal"/>
      <w:lvlText w:val="%6."/>
      <w:lvlJc w:val="left"/>
      <w:pPr>
        <w:ind w:left="720" w:hanging="360"/>
      </w:pPr>
    </w:lvl>
    <w:lvl w:ilvl="6" w:tplc="A998B2FE">
      <w:start w:val="1"/>
      <w:numFmt w:val="decimal"/>
      <w:lvlText w:val="%7."/>
      <w:lvlJc w:val="left"/>
      <w:pPr>
        <w:ind w:left="720" w:hanging="360"/>
      </w:pPr>
    </w:lvl>
    <w:lvl w:ilvl="7" w:tplc="28860096">
      <w:start w:val="1"/>
      <w:numFmt w:val="decimal"/>
      <w:lvlText w:val="%8."/>
      <w:lvlJc w:val="left"/>
      <w:pPr>
        <w:ind w:left="720" w:hanging="360"/>
      </w:pPr>
    </w:lvl>
    <w:lvl w:ilvl="8" w:tplc="F21CB26E">
      <w:start w:val="1"/>
      <w:numFmt w:val="decimal"/>
      <w:lvlText w:val="%9."/>
      <w:lvlJc w:val="left"/>
      <w:pPr>
        <w:ind w:left="720" w:hanging="360"/>
      </w:pPr>
    </w:lvl>
  </w:abstractNum>
  <w:abstractNum w:abstractNumId="22" w15:restartNumberingAfterBreak="0">
    <w:nsid w:val="55AA21F0"/>
    <w:multiLevelType w:val="hybridMultilevel"/>
    <w:tmpl w:val="9B5CB936"/>
    <w:lvl w:ilvl="0" w:tplc="CCA08FFA">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607042"/>
    <w:multiLevelType w:val="hybridMultilevel"/>
    <w:tmpl w:val="AFEA2ED6"/>
    <w:lvl w:ilvl="0" w:tplc="52749EDE">
      <w:start w:val="1"/>
      <w:numFmt w:val="decimal"/>
      <w:lvlText w:val="%1."/>
      <w:lvlJc w:val="left"/>
      <w:pPr>
        <w:ind w:left="1440" w:hanging="360"/>
      </w:pPr>
    </w:lvl>
    <w:lvl w:ilvl="1" w:tplc="218EAEF4">
      <w:start w:val="1"/>
      <w:numFmt w:val="decimal"/>
      <w:lvlText w:val="%2."/>
      <w:lvlJc w:val="left"/>
      <w:pPr>
        <w:ind w:left="1440" w:hanging="360"/>
      </w:pPr>
    </w:lvl>
    <w:lvl w:ilvl="2" w:tplc="5756E772">
      <w:start w:val="1"/>
      <w:numFmt w:val="decimal"/>
      <w:lvlText w:val="%3."/>
      <w:lvlJc w:val="left"/>
      <w:pPr>
        <w:ind w:left="1440" w:hanging="360"/>
      </w:pPr>
    </w:lvl>
    <w:lvl w:ilvl="3" w:tplc="A57C12EC">
      <w:start w:val="1"/>
      <w:numFmt w:val="decimal"/>
      <w:lvlText w:val="%4."/>
      <w:lvlJc w:val="left"/>
      <w:pPr>
        <w:ind w:left="1440" w:hanging="360"/>
      </w:pPr>
    </w:lvl>
    <w:lvl w:ilvl="4" w:tplc="6A6C21A4">
      <w:start w:val="1"/>
      <w:numFmt w:val="decimal"/>
      <w:lvlText w:val="%5."/>
      <w:lvlJc w:val="left"/>
      <w:pPr>
        <w:ind w:left="1440" w:hanging="360"/>
      </w:pPr>
    </w:lvl>
    <w:lvl w:ilvl="5" w:tplc="EC94B22C">
      <w:start w:val="1"/>
      <w:numFmt w:val="decimal"/>
      <w:lvlText w:val="%6."/>
      <w:lvlJc w:val="left"/>
      <w:pPr>
        <w:ind w:left="1440" w:hanging="360"/>
      </w:pPr>
    </w:lvl>
    <w:lvl w:ilvl="6" w:tplc="E2F8ECD6">
      <w:start w:val="1"/>
      <w:numFmt w:val="decimal"/>
      <w:lvlText w:val="%7."/>
      <w:lvlJc w:val="left"/>
      <w:pPr>
        <w:ind w:left="1440" w:hanging="360"/>
      </w:pPr>
    </w:lvl>
    <w:lvl w:ilvl="7" w:tplc="5F4AF0AA">
      <w:start w:val="1"/>
      <w:numFmt w:val="decimal"/>
      <w:lvlText w:val="%8."/>
      <w:lvlJc w:val="left"/>
      <w:pPr>
        <w:ind w:left="1440" w:hanging="360"/>
      </w:pPr>
    </w:lvl>
    <w:lvl w:ilvl="8" w:tplc="3476E572">
      <w:start w:val="1"/>
      <w:numFmt w:val="decimal"/>
      <w:lvlText w:val="%9."/>
      <w:lvlJc w:val="left"/>
      <w:pPr>
        <w:ind w:left="1440" w:hanging="360"/>
      </w:pPr>
    </w:lvl>
  </w:abstractNum>
  <w:abstractNum w:abstractNumId="24" w15:restartNumberingAfterBreak="0">
    <w:nsid w:val="5F0D405F"/>
    <w:multiLevelType w:val="multilevel"/>
    <w:tmpl w:val="8D846F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D24E60"/>
    <w:multiLevelType w:val="hybridMultilevel"/>
    <w:tmpl w:val="158A974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5071478"/>
    <w:multiLevelType w:val="hybridMultilevel"/>
    <w:tmpl w:val="16D2B96E"/>
    <w:lvl w:ilvl="0" w:tplc="3A9CF91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FA040B"/>
    <w:multiLevelType w:val="hybridMultilevel"/>
    <w:tmpl w:val="24506F6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B967D6"/>
    <w:multiLevelType w:val="hybridMultilevel"/>
    <w:tmpl w:val="A8100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354C0A"/>
    <w:multiLevelType w:val="multilevel"/>
    <w:tmpl w:val="C23609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62E1A81"/>
    <w:multiLevelType w:val="hybridMultilevel"/>
    <w:tmpl w:val="D8885FB6"/>
    <w:lvl w:ilvl="0" w:tplc="1026004E">
      <w:start w:val="1"/>
      <w:numFmt w:val="bullet"/>
      <w:pStyle w:val="Bulletlevel1la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857339"/>
    <w:multiLevelType w:val="multilevel"/>
    <w:tmpl w:val="622C9F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8BC098E"/>
    <w:multiLevelType w:val="hybridMultilevel"/>
    <w:tmpl w:val="2E386898"/>
    <w:lvl w:ilvl="0" w:tplc="BD340FDA">
      <w:start w:val="1"/>
      <w:numFmt w:val="bullet"/>
      <w:pStyle w:val="Bulletlevel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15"/>
  </w:num>
  <w:num w:numId="6">
    <w:abstractNumId w:val="27"/>
  </w:num>
  <w:num w:numId="7">
    <w:abstractNumId w:val="22"/>
  </w:num>
  <w:num w:numId="8">
    <w:abstractNumId w:val="25"/>
  </w:num>
  <w:num w:numId="9">
    <w:abstractNumId w:val="30"/>
  </w:num>
  <w:num w:numId="10">
    <w:abstractNumId w:val="7"/>
  </w:num>
  <w:num w:numId="11">
    <w:abstractNumId w:val="2"/>
    <w:lvlOverride w:ilvl="0">
      <w:startOverride w:val="1"/>
    </w:lvlOverride>
  </w:num>
  <w:num w:numId="12">
    <w:abstractNumId w:val="2"/>
    <w:lvlOverride w:ilvl="0">
      <w:startOverride w:val="1"/>
    </w:lvlOverride>
  </w:num>
  <w:num w:numId="13">
    <w:abstractNumId w:val="34"/>
  </w:num>
  <w:num w:numId="14">
    <w:abstractNumId w:val="32"/>
  </w:num>
  <w:num w:numId="15">
    <w:abstractNumId w:val="9"/>
  </w:num>
  <w:num w:numId="16">
    <w:abstractNumId w:val="16"/>
  </w:num>
  <w:num w:numId="17">
    <w:abstractNumId w:val="2"/>
    <w:lvlOverride w:ilvl="0">
      <w:startOverride w:val="1"/>
    </w:lvlOverride>
  </w:num>
  <w:num w:numId="18">
    <w:abstractNumId w:val="2"/>
    <w:lvlOverride w:ilvl="0">
      <w:startOverride w:val="1"/>
    </w:lvlOverride>
  </w:num>
  <w:num w:numId="19">
    <w:abstractNumId w:val="2"/>
    <w:lvlOverride w:ilvl="0">
      <w:startOverride w:val="1"/>
    </w:lvlOverride>
  </w:num>
  <w:num w:numId="20">
    <w:abstractNumId w:val="2"/>
    <w:lvlOverride w:ilvl="0">
      <w:startOverride w:val="1"/>
    </w:lvlOverride>
  </w:num>
  <w:num w:numId="21">
    <w:abstractNumId w:val="2"/>
    <w:lvlOverride w:ilvl="0">
      <w:startOverride w:val="1"/>
    </w:lvlOverride>
  </w:num>
  <w:num w:numId="22">
    <w:abstractNumId w:val="2"/>
    <w:lvlOverride w:ilvl="0">
      <w:startOverride w:val="1"/>
    </w:lvlOverride>
  </w:num>
  <w:num w:numId="23">
    <w:abstractNumId w:val="28"/>
  </w:num>
  <w:num w:numId="24">
    <w:abstractNumId w:val="8"/>
  </w:num>
  <w:num w:numId="25">
    <w:abstractNumId w:val="13"/>
  </w:num>
  <w:num w:numId="26">
    <w:abstractNumId w:val="14"/>
  </w:num>
  <w:num w:numId="27">
    <w:abstractNumId w:val="31"/>
  </w:num>
  <w:num w:numId="28">
    <w:abstractNumId w:val="33"/>
  </w:num>
  <w:num w:numId="29">
    <w:abstractNumId w:val="20"/>
  </w:num>
  <w:num w:numId="30">
    <w:abstractNumId w:val="4"/>
  </w:num>
  <w:num w:numId="31">
    <w:abstractNumId w:val="24"/>
  </w:num>
  <w:num w:numId="32">
    <w:abstractNumId w:val="11"/>
  </w:num>
  <w:num w:numId="33">
    <w:abstractNumId w:val="23"/>
  </w:num>
  <w:num w:numId="34">
    <w:abstractNumId w:val="21"/>
  </w:num>
  <w:num w:numId="35">
    <w:abstractNumId w:val="10"/>
  </w:num>
  <w:num w:numId="36">
    <w:abstractNumId w:val="29"/>
  </w:num>
  <w:num w:numId="37">
    <w:abstractNumId w:val="17"/>
  </w:num>
  <w:num w:numId="38">
    <w:abstractNumId w:val="19"/>
  </w:num>
  <w:num w:numId="39">
    <w:abstractNumId w:val="5"/>
  </w:num>
  <w:num w:numId="40">
    <w:abstractNumId w:val="26"/>
  </w:num>
  <w:num w:numId="41">
    <w:abstractNumId w:val="12"/>
  </w:num>
  <w:num w:numId="42">
    <w:abstractNumId w:val="6"/>
  </w:num>
  <w:num w:numId="43">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284"/>
  <w:evenAndOddHeaders/>
  <w:drawingGridHorizontalSpacing w:val="100"/>
  <w:displayHorizontalDrawingGridEvery w:val="2"/>
  <w:characterSpacingControl w:val="doNotCompress"/>
  <w:hdrShapeDefaults>
    <o:shapedefaults v:ext="edit" spidmax="2050">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BD2"/>
    <w:rsid w:val="0000539F"/>
    <w:rsid w:val="00010667"/>
    <w:rsid w:val="000129D5"/>
    <w:rsid w:val="00012F5D"/>
    <w:rsid w:val="00015AE7"/>
    <w:rsid w:val="00016E21"/>
    <w:rsid w:val="0001719C"/>
    <w:rsid w:val="00021257"/>
    <w:rsid w:val="0002224E"/>
    <w:rsid w:val="000245E5"/>
    <w:rsid w:val="0002545D"/>
    <w:rsid w:val="00025AA4"/>
    <w:rsid w:val="00026F91"/>
    <w:rsid w:val="00033EA0"/>
    <w:rsid w:val="00035A30"/>
    <w:rsid w:val="0004023A"/>
    <w:rsid w:val="0004578D"/>
    <w:rsid w:val="0004764C"/>
    <w:rsid w:val="0005011A"/>
    <w:rsid w:val="0005045A"/>
    <w:rsid w:val="00051C1E"/>
    <w:rsid w:val="000539F9"/>
    <w:rsid w:val="00053C8C"/>
    <w:rsid w:val="00054C27"/>
    <w:rsid w:val="00055EC3"/>
    <w:rsid w:val="000563CE"/>
    <w:rsid w:val="0005700C"/>
    <w:rsid w:val="000579D5"/>
    <w:rsid w:val="00064E12"/>
    <w:rsid w:val="00065588"/>
    <w:rsid w:val="000659B6"/>
    <w:rsid w:val="0006686F"/>
    <w:rsid w:val="0006722A"/>
    <w:rsid w:val="00072EEA"/>
    <w:rsid w:val="000732CF"/>
    <w:rsid w:val="00073E00"/>
    <w:rsid w:val="00075B96"/>
    <w:rsid w:val="00080762"/>
    <w:rsid w:val="0008196A"/>
    <w:rsid w:val="000820F5"/>
    <w:rsid w:val="00082182"/>
    <w:rsid w:val="00086E26"/>
    <w:rsid w:val="000915ED"/>
    <w:rsid w:val="0009209D"/>
    <w:rsid w:val="0009463C"/>
    <w:rsid w:val="00096089"/>
    <w:rsid w:val="000969BD"/>
    <w:rsid w:val="000969BF"/>
    <w:rsid w:val="000971BD"/>
    <w:rsid w:val="000A083E"/>
    <w:rsid w:val="000A0ABE"/>
    <w:rsid w:val="000A0C22"/>
    <w:rsid w:val="000A1400"/>
    <w:rsid w:val="000A2720"/>
    <w:rsid w:val="000A2F59"/>
    <w:rsid w:val="000A37AD"/>
    <w:rsid w:val="000A3C43"/>
    <w:rsid w:val="000A4A51"/>
    <w:rsid w:val="000A5D2B"/>
    <w:rsid w:val="000A748A"/>
    <w:rsid w:val="000B4664"/>
    <w:rsid w:val="000B5BBE"/>
    <w:rsid w:val="000B5DE3"/>
    <w:rsid w:val="000C0A57"/>
    <w:rsid w:val="000C230C"/>
    <w:rsid w:val="000C2620"/>
    <w:rsid w:val="000C5816"/>
    <w:rsid w:val="000C6AB4"/>
    <w:rsid w:val="000D0A07"/>
    <w:rsid w:val="000D0A09"/>
    <w:rsid w:val="000D446B"/>
    <w:rsid w:val="000D5223"/>
    <w:rsid w:val="000D55DA"/>
    <w:rsid w:val="000D6507"/>
    <w:rsid w:val="000D71D9"/>
    <w:rsid w:val="000D76E0"/>
    <w:rsid w:val="000D7E8B"/>
    <w:rsid w:val="000E0668"/>
    <w:rsid w:val="000E4449"/>
    <w:rsid w:val="000E4911"/>
    <w:rsid w:val="000E55B9"/>
    <w:rsid w:val="000E6097"/>
    <w:rsid w:val="000F3196"/>
    <w:rsid w:val="000F332E"/>
    <w:rsid w:val="000F4BEE"/>
    <w:rsid w:val="000F5572"/>
    <w:rsid w:val="000F6961"/>
    <w:rsid w:val="000F730C"/>
    <w:rsid w:val="000F756B"/>
    <w:rsid w:val="0010267F"/>
    <w:rsid w:val="00102809"/>
    <w:rsid w:val="001028EB"/>
    <w:rsid w:val="00102C97"/>
    <w:rsid w:val="00103829"/>
    <w:rsid w:val="00105B96"/>
    <w:rsid w:val="001073F4"/>
    <w:rsid w:val="00111FCE"/>
    <w:rsid w:val="001124B0"/>
    <w:rsid w:val="00113F84"/>
    <w:rsid w:val="001146A5"/>
    <w:rsid w:val="00116905"/>
    <w:rsid w:val="001229A5"/>
    <w:rsid w:val="00122C4C"/>
    <w:rsid w:val="0012489B"/>
    <w:rsid w:val="00130017"/>
    <w:rsid w:val="00130F91"/>
    <w:rsid w:val="001349ED"/>
    <w:rsid w:val="00137424"/>
    <w:rsid w:val="001379F1"/>
    <w:rsid w:val="00140318"/>
    <w:rsid w:val="0014058E"/>
    <w:rsid w:val="00141A0C"/>
    <w:rsid w:val="00141AD9"/>
    <w:rsid w:val="00146CE6"/>
    <w:rsid w:val="00152903"/>
    <w:rsid w:val="00152D8C"/>
    <w:rsid w:val="00153FD5"/>
    <w:rsid w:val="0015614F"/>
    <w:rsid w:val="001577C2"/>
    <w:rsid w:val="00161ABC"/>
    <w:rsid w:val="00162883"/>
    <w:rsid w:val="001633C4"/>
    <w:rsid w:val="00167001"/>
    <w:rsid w:val="001704D5"/>
    <w:rsid w:val="00171591"/>
    <w:rsid w:val="00172FAC"/>
    <w:rsid w:val="00173981"/>
    <w:rsid w:val="0017719D"/>
    <w:rsid w:val="00177CAC"/>
    <w:rsid w:val="00181180"/>
    <w:rsid w:val="0018130D"/>
    <w:rsid w:val="001815F7"/>
    <w:rsid w:val="00181F3B"/>
    <w:rsid w:val="00182D42"/>
    <w:rsid w:val="00183FD7"/>
    <w:rsid w:val="00184CFF"/>
    <w:rsid w:val="00185CAB"/>
    <w:rsid w:val="001875B7"/>
    <w:rsid w:val="00187CB3"/>
    <w:rsid w:val="0019050A"/>
    <w:rsid w:val="001910D4"/>
    <w:rsid w:val="00195058"/>
    <w:rsid w:val="00195346"/>
    <w:rsid w:val="00195397"/>
    <w:rsid w:val="001976E3"/>
    <w:rsid w:val="001A0876"/>
    <w:rsid w:val="001A14A8"/>
    <w:rsid w:val="001A1FD0"/>
    <w:rsid w:val="001A44EC"/>
    <w:rsid w:val="001A542E"/>
    <w:rsid w:val="001B0820"/>
    <w:rsid w:val="001B28D9"/>
    <w:rsid w:val="001B459D"/>
    <w:rsid w:val="001B58AA"/>
    <w:rsid w:val="001B7E48"/>
    <w:rsid w:val="001C01C0"/>
    <w:rsid w:val="001C0DCB"/>
    <w:rsid w:val="001C17CE"/>
    <w:rsid w:val="001C36CA"/>
    <w:rsid w:val="001C44D1"/>
    <w:rsid w:val="001C50CE"/>
    <w:rsid w:val="001C5C6A"/>
    <w:rsid w:val="001C6AEE"/>
    <w:rsid w:val="001C7630"/>
    <w:rsid w:val="001C792A"/>
    <w:rsid w:val="001D4DD0"/>
    <w:rsid w:val="001D5EA9"/>
    <w:rsid w:val="001D6D15"/>
    <w:rsid w:val="001E0A10"/>
    <w:rsid w:val="001E1738"/>
    <w:rsid w:val="001E2FB5"/>
    <w:rsid w:val="001F078C"/>
    <w:rsid w:val="001F693B"/>
    <w:rsid w:val="001F7558"/>
    <w:rsid w:val="001F75F4"/>
    <w:rsid w:val="00201F57"/>
    <w:rsid w:val="00204AA7"/>
    <w:rsid w:val="00205B57"/>
    <w:rsid w:val="0020690E"/>
    <w:rsid w:val="002130B2"/>
    <w:rsid w:val="002157E0"/>
    <w:rsid w:val="00216A57"/>
    <w:rsid w:val="00217448"/>
    <w:rsid w:val="0022334F"/>
    <w:rsid w:val="00226819"/>
    <w:rsid w:val="00231BEB"/>
    <w:rsid w:val="00233101"/>
    <w:rsid w:val="00233817"/>
    <w:rsid w:val="002346F7"/>
    <w:rsid w:val="002367FF"/>
    <w:rsid w:val="00236BB4"/>
    <w:rsid w:val="00237546"/>
    <w:rsid w:val="002407DF"/>
    <w:rsid w:val="00240CE9"/>
    <w:rsid w:val="00241E3E"/>
    <w:rsid w:val="002434BA"/>
    <w:rsid w:val="00246089"/>
    <w:rsid w:val="00246093"/>
    <w:rsid w:val="00246702"/>
    <w:rsid w:val="00247C59"/>
    <w:rsid w:val="00247F2E"/>
    <w:rsid w:val="00250ADC"/>
    <w:rsid w:val="00250B07"/>
    <w:rsid w:val="0025106C"/>
    <w:rsid w:val="00251E99"/>
    <w:rsid w:val="00252CEB"/>
    <w:rsid w:val="00255055"/>
    <w:rsid w:val="00257553"/>
    <w:rsid w:val="00260FB2"/>
    <w:rsid w:val="00262128"/>
    <w:rsid w:val="00262613"/>
    <w:rsid w:val="002642C9"/>
    <w:rsid w:val="00266F31"/>
    <w:rsid w:val="002670D2"/>
    <w:rsid w:val="002677E8"/>
    <w:rsid w:val="0027165D"/>
    <w:rsid w:val="00273CEB"/>
    <w:rsid w:val="002759AE"/>
    <w:rsid w:val="00276DDB"/>
    <w:rsid w:val="002803F2"/>
    <w:rsid w:val="002805A3"/>
    <w:rsid w:val="00281C89"/>
    <w:rsid w:val="0028233E"/>
    <w:rsid w:val="0028234D"/>
    <w:rsid w:val="0028282F"/>
    <w:rsid w:val="00284A74"/>
    <w:rsid w:val="0029593B"/>
    <w:rsid w:val="002961DF"/>
    <w:rsid w:val="00297FC5"/>
    <w:rsid w:val="002A0417"/>
    <w:rsid w:val="002A1000"/>
    <w:rsid w:val="002A16D8"/>
    <w:rsid w:val="002A1BC8"/>
    <w:rsid w:val="002A3EF2"/>
    <w:rsid w:val="002A3F99"/>
    <w:rsid w:val="002A7A52"/>
    <w:rsid w:val="002B0B50"/>
    <w:rsid w:val="002B0DED"/>
    <w:rsid w:val="002B19A2"/>
    <w:rsid w:val="002B356D"/>
    <w:rsid w:val="002B381A"/>
    <w:rsid w:val="002B4FCC"/>
    <w:rsid w:val="002B6431"/>
    <w:rsid w:val="002B7408"/>
    <w:rsid w:val="002B7CFD"/>
    <w:rsid w:val="002C210F"/>
    <w:rsid w:val="002C41B4"/>
    <w:rsid w:val="002D06F2"/>
    <w:rsid w:val="002D0D47"/>
    <w:rsid w:val="002D156F"/>
    <w:rsid w:val="002D3600"/>
    <w:rsid w:val="002D7490"/>
    <w:rsid w:val="002E1040"/>
    <w:rsid w:val="002E2963"/>
    <w:rsid w:val="002E4DDC"/>
    <w:rsid w:val="002E7444"/>
    <w:rsid w:val="002F070B"/>
    <w:rsid w:val="002F3A67"/>
    <w:rsid w:val="002F4157"/>
    <w:rsid w:val="002F45C8"/>
    <w:rsid w:val="002F5CF2"/>
    <w:rsid w:val="00302480"/>
    <w:rsid w:val="00302758"/>
    <w:rsid w:val="003038F4"/>
    <w:rsid w:val="00305581"/>
    <w:rsid w:val="00306491"/>
    <w:rsid w:val="003125DD"/>
    <w:rsid w:val="003165E6"/>
    <w:rsid w:val="003205C6"/>
    <w:rsid w:val="003215B5"/>
    <w:rsid w:val="003221CF"/>
    <w:rsid w:val="003233ED"/>
    <w:rsid w:val="00324D9F"/>
    <w:rsid w:val="00327948"/>
    <w:rsid w:val="0033000F"/>
    <w:rsid w:val="00331F96"/>
    <w:rsid w:val="00332011"/>
    <w:rsid w:val="00332518"/>
    <w:rsid w:val="00332925"/>
    <w:rsid w:val="003332ED"/>
    <w:rsid w:val="003337E6"/>
    <w:rsid w:val="003368DC"/>
    <w:rsid w:val="00337A23"/>
    <w:rsid w:val="00341F6E"/>
    <w:rsid w:val="00344356"/>
    <w:rsid w:val="00345927"/>
    <w:rsid w:val="00347D96"/>
    <w:rsid w:val="00350584"/>
    <w:rsid w:val="003514D6"/>
    <w:rsid w:val="00351857"/>
    <w:rsid w:val="00351E9B"/>
    <w:rsid w:val="00351EBA"/>
    <w:rsid w:val="00353B04"/>
    <w:rsid w:val="003543DD"/>
    <w:rsid w:val="003545E8"/>
    <w:rsid w:val="0035466C"/>
    <w:rsid w:val="003561FE"/>
    <w:rsid w:val="003577AE"/>
    <w:rsid w:val="003610E1"/>
    <w:rsid w:val="00364745"/>
    <w:rsid w:val="00364C41"/>
    <w:rsid w:val="00365D39"/>
    <w:rsid w:val="00366AE2"/>
    <w:rsid w:val="003671BE"/>
    <w:rsid w:val="003672DC"/>
    <w:rsid w:val="0037203E"/>
    <w:rsid w:val="00372485"/>
    <w:rsid w:val="00373200"/>
    <w:rsid w:val="0037490B"/>
    <w:rsid w:val="00375060"/>
    <w:rsid w:val="00375EF5"/>
    <w:rsid w:val="003767A5"/>
    <w:rsid w:val="00380830"/>
    <w:rsid w:val="00381D15"/>
    <w:rsid w:val="00383396"/>
    <w:rsid w:val="00383AA2"/>
    <w:rsid w:val="00384782"/>
    <w:rsid w:val="00384BA7"/>
    <w:rsid w:val="00385254"/>
    <w:rsid w:val="00393954"/>
    <w:rsid w:val="00396DDF"/>
    <w:rsid w:val="0039784D"/>
    <w:rsid w:val="003A04DB"/>
    <w:rsid w:val="003A503A"/>
    <w:rsid w:val="003A5F5B"/>
    <w:rsid w:val="003A64F1"/>
    <w:rsid w:val="003A789A"/>
    <w:rsid w:val="003B1053"/>
    <w:rsid w:val="003B12EC"/>
    <w:rsid w:val="003B1340"/>
    <w:rsid w:val="003B184F"/>
    <w:rsid w:val="003B196C"/>
    <w:rsid w:val="003B1DFB"/>
    <w:rsid w:val="003B2ACA"/>
    <w:rsid w:val="003B5680"/>
    <w:rsid w:val="003C02FB"/>
    <w:rsid w:val="003C0A94"/>
    <w:rsid w:val="003C3779"/>
    <w:rsid w:val="003C4631"/>
    <w:rsid w:val="003C5771"/>
    <w:rsid w:val="003C77E0"/>
    <w:rsid w:val="003D15D3"/>
    <w:rsid w:val="003D17D7"/>
    <w:rsid w:val="003D2678"/>
    <w:rsid w:val="003D29E5"/>
    <w:rsid w:val="003D71A3"/>
    <w:rsid w:val="003D745E"/>
    <w:rsid w:val="003E068E"/>
    <w:rsid w:val="003E26D9"/>
    <w:rsid w:val="003E2B8A"/>
    <w:rsid w:val="003E5CCD"/>
    <w:rsid w:val="003F10EE"/>
    <w:rsid w:val="003F16F6"/>
    <w:rsid w:val="003F1B47"/>
    <w:rsid w:val="003F43DB"/>
    <w:rsid w:val="003F4DC7"/>
    <w:rsid w:val="003F5235"/>
    <w:rsid w:val="004027E4"/>
    <w:rsid w:val="0041071D"/>
    <w:rsid w:val="00414AFC"/>
    <w:rsid w:val="00414CC7"/>
    <w:rsid w:val="004151A7"/>
    <w:rsid w:val="00415310"/>
    <w:rsid w:val="00415668"/>
    <w:rsid w:val="00415EC3"/>
    <w:rsid w:val="00420D4B"/>
    <w:rsid w:val="00421709"/>
    <w:rsid w:val="00422E97"/>
    <w:rsid w:val="00423763"/>
    <w:rsid w:val="00425386"/>
    <w:rsid w:val="00427194"/>
    <w:rsid w:val="0042762F"/>
    <w:rsid w:val="00427DC7"/>
    <w:rsid w:val="00431613"/>
    <w:rsid w:val="00431792"/>
    <w:rsid w:val="0043297A"/>
    <w:rsid w:val="00432EB2"/>
    <w:rsid w:val="0043714F"/>
    <w:rsid w:val="00437417"/>
    <w:rsid w:val="00442B66"/>
    <w:rsid w:val="004438B5"/>
    <w:rsid w:val="00443B16"/>
    <w:rsid w:val="004458A2"/>
    <w:rsid w:val="00447037"/>
    <w:rsid w:val="00447974"/>
    <w:rsid w:val="004511C5"/>
    <w:rsid w:val="00451210"/>
    <w:rsid w:val="0045124D"/>
    <w:rsid w:val="00451692"/>
    <w:rsid w:val="00454596"/>
    <w:rsid w:val="0045605D"/>
    <w:rsid w:val="0046135B"/>
    <w:rsid w:val="00461D47"/>
    <w:rsid w:val="004658CE"/>
    <w:rsid w:val="0046725E"/>
    <w:rsid w:val="004718CC"/>
    <w:rsid w:val="004725B8"/>
    <w:rsid w:val="00475B51"/>
    <w:rsid w:val="00475C2C"/>
    <w:rsid w:val="004768EE"/>
    <w:rsid w:val="004803C9"/>
    <w:rsid w:val="00481695"/>
    <w:rsid w:val="00484C54"/>
    <w:rsid w:val="00486749"/>
    <w:rsid w:val="0049084A"/>
    <w:rsid w:val="00490F92"/>
    <w:rsid w:val="00491EE9"/>
    <w:rsid w:val="00494EC0"/>
    <w:rsid w:val="00495568"/>
    <w:rsid w:val="00495A96"/>
    <w:rsid w:val="00495BB3"/>
    <w:rsid w:val="004962DC"/>
    <w:rsid w:val="004A3EEC"/>
    <w:rsid w:val="004A56BB"/>
    <w:rsid w:val="004A5E8D"/>
    <w:rsid w:val="004A66B3"/>
    <w:rsid w:val="004A6C92"/>
    <w:rsid w:val="004A70D6"/>
    <w:rsid w:val="004B1751"/>
    <w:rsid w:val="004B2960"/>
    <w:rsid w:val="004B63B9"/>
    <w:rsid w:val="004B76AD"/>
    <w:rsid w:val="004C0253"/>
    <w:rsid w:val="004C4300"/>
    <w:rsid w:val="004C46AA"/>
    <w:rsid w:val="004C69C3"/>
    <w:rsid w:val="004D156F"/>
    <w:rsid w:val="004D56FF"/>
    <w:rsid w:val="004E0F5F"/>
    <w:rsid w:val="004E10A6"/>
    <w:rsid w:val="004E2791"/>
    <w:rsid w:val="004E39D3"/>
    <w:rsid w:val="004E4A47"/>
    <w:rsid w:val="004E508A"/>
    <w:rsid w:val="004E5979"/>
    <w:rsid w:val="004E616D"/>
    <w:rsid w:val="004E6705"/>
    <w:rsid w:val="004E7F2E"/>
    <w:rsid w:val="004F1BDE"/>
    <w:rsid w:val="004F1FDE"/>
    <w:rsid w:val="004F2CEE"/>
    <w:rsid w:val="004F556E"/>
    <w:rsid w:val="004F591C"/>
    <w:rsid w:val="004F68E8"/>
    <w:rsid w:val="004F6ED4"/>
    <w:rsid w:val="004F7999"/>
    <w:rsid w:val="004F7F44"/>
    <w:rsid w:val="005019DF"/>
    <w:rsid w:val="00501AC9"/>
    <w:rsid w:val="005029A6"/>
    <w:rsid w:val="005037B4"/>
    <w:rsid w:val="00503D2E"/>
    <w:rsid w:val="005079BF"/>
    <w:rsid w:val="0051269A"/>
    <w:rsid w:val="0051302D"/>
    <w:rsid w:val="005133AF"/>
    <w:rsid w:val="005144FA"/>
    <w:rsid w:val="00515D2C"/>
    <w:rsid w:val="005219E7"/>
    <w:rsid w:val="00521ED4"/>
    <w:rsid w:val="00522E43"/>
    <w:rsid w:val="00525B37"/>
    <w:rsid w:val="00525B53"/>
    <w:rsid w:val="00525DBC"/>
    <w:rsid w:val="005274D1"/>
    <w:rsid w:val="00527B38"/>
    <w:rsid w:val="005310CD"/>
    <w:rsid w:val="005313EE"/>
    <w:rsid w:val="00531B9A"/>
    <w:rsid w:val="00531D15"/>
    <w:rsid w:val="00537604"/>
    <w:rsid w:val="0054007D"/>
    <w:rsid w:val="00542377"/>
    <w:rsid w:val="00543682"/>
    <w:rsid w:val="00543964"/>
    <w:rsid w:val="00544376"/>
    <w:rsid w:val="00545D7D"/>
    <w:rsid w:val="005476EB"/>
    <w:rsid w:val="00551782"/>
    <w:rsid w:val="00551987"/>
    <w:rsid w:val="0055562D"/>
    <w:rsid w:val="0055646F"/>
    <w:rsid w:val="00563BF6"/>
    <w:rsid w:val="00563EF1"/>
    <w:rsid w:val="00566AB4"/>
    <w:rsid w:val="005745C0"/>
    <w:rsid w:val="00575AC5"/>
    <w:rsid w:val="0057605D"/>
    <w:rsid w:val="00580251"/>
    <w:rsid w:val="00581347"/>
    <w:rsid w:val="0058197D"/>
    <w:rsid w:val="00581AC9"/>
    <w:rsid w:val="005842E6"/>
    <w:rsid w:val="005849F8"/>
    <w:rsid w:val="00590DA7"/>
    <w:rsid w:val="0059226A"/>
    <w:rsid w:val="005938DF"/>
    <w:rsid w:val="00594E9C"/>
    <w:rsid w:val="005A099B"/>
    <w:rsid w:val="005A2D9C"/>
    <w:rsid w:val="005A55FE"/>
    <w:rsid w:val="005A62E5"/>
    <w:rsid w:val="005A6A11"/>
    <w:rsid w:val="005B285C"/>
    <w:rsid w:val="005B2A47"/>
    <w:rsid w:val="005B6A8B"/>
    <w:rsid w:val="005C1619"/>
    <w:rsid w:val="005D036D"/>
    <w:rsid w:val="005D0ED4"/>
    <w:rsid w:val="005D2502"/>
    <w:rsid w:val="005D29DB"/>
    <w:rsid w:val="005D3AD6"/>
    <w:rsid w:val="005D3F5E"/>
    <w:rsid w:val="005D40BB"/>
    <w:rsid w:val="005D47F3"/>
    <w:rsid w:val="005D49BF"/>
    <w:rsid w:val="005D4AA5"/>
    <w:rsid w:val="005D6F4E"/>
    <w:rsid w:val="005D713A"/>
    <w:rsid w:val="005D7C73"/>
    <w:rsid w:val="005E017A"/>
    <w:rsid w:val="005E250B"/>
    <w:rsid w:val="005E3AC3"/>
    <w:rsid w:val="005E3ACD"/>
    <w:rsid w:val="005E3EF6"/>
    <w:rsid w:val="005E7226"/>
    <w:rsid w:val="005E7A57"/>
    <w:rsid w:val="005F10D4"/>
    <w:rsid w:val="005F24B0"/>
    <w:rsid w:val="005F2599"/>
    <w:rsid w:val="005F69DE"/>
    <w:rsid w:val="0060187C"/>
    <w:rsid w:val="00601B57"/>
    <w:rsid w:val="00601F16"/>
    <w:rsid w:val="00602C39"/>
    <w:rsid w:val="00603F8E"/>
    <w:rsid w:val="00604229"/>
    <w:rsid w:val="00604315"/>
    <w:rsid w:val="00604E26"/>
    <w:rsid w:val="0060523F"/>
    <w:rsid w:val="006052CF"/>
    <w:rsid w:val="00607B8D"/>
    <w:rsid w:val="00611F5C"/>
    <w:rsid w:val="00616E09"/>
    <w:rsid w:val="00622A3B"/>
    <w:rsid w:val="00622B0A"/>
    <w:rsid w:val="00622EEA"/>
    <w:rsid w:val="0062396C"/>
    <w:rsid w:val="00623D3A"/>
    <w:rsid w:val="00623FF9"/>
    <w:rsid w:val="00625993"/>
    <w:rsid w:val="00627D4E"/>
    <w:rsid w:val="006303A5"/>
    <w:rsid w:val="006328C3"/>
    <w:rsid w:val="00632B89"/>
    <w:rsid w:val="0063346D"/>
    <w:rsid w:val="00634478"/>
    <w:rsid w:val="00636722"/>
    <w:rsid w:val="006375E8"/>
    <w:rsid w:val="00637DCC"/>
    <w:rsid w:val="00644373"/>
    <w:rsid w:val="00645915"/>
    <w:rsid w:val="0064762B"/>
    <w:rsid w:val="00650591"/>
    <w:rsid w:val="00650C35"/>
    <w:rsid w:val="006519C3"/>
    <w:rsid w:val="00651E15"/>
    <w:rsid w:val="00652B30"/>
    <w:rsid w:val="006540E6"/>
    <w:rsid w:val="00656345"/>
    <w:rsid w:val="00656DC6"/>
    <w:rsid w:val="00657C33"/>
    <w:rsid w:val="006603B2"/>
    <w:rsid w:val="00660EC6"/>
    <w:rsid w:val="00661884"/>
    <w:rsid w:val="00662708"/>
    <w:rsid w:val="00664110"/>
    <w:rsid w:val="006644CB"/>
    <w:rsid w:val="00664D17"/>
    <w:rsid w:val="00666520"/>
    <w:rsid w:val="00666AEF"/>
    <w:rsid w:val="00667C5B"/>
    <w:rsid w:val="00670B35"/>
    <w:rsid w:val="00672254"/>
    <w:rsid w:val="00673D8D"/>
    <w:rsid w:val="00682394"/>
    <w:rsid w:val="006827D6"/>
    <w:rsid w:val="00684704"/>
    <w:rsid w:val="00685192"/>
    <w:rsid w:val="006861FF"/>
    <w:rsid w:val="00687E64"/>
    <w:rsid w:val="00691EB8"/>
    <w:rsid w:val="00692CDE"/>
    <w:rsid w:val="00693073"/>
    <w:rsid w:val="00695C38"/>
    <w:rsid w:val="00696A02"/>
    <w:rsid w:val="006977FF"/>
    <w:rsid w:val="006A01FA"/>
    <w:rsid w:val="006A0E9E"/>
    <w:rsid w:val="006A1375"/>
    <w:rsid w:val="006A20E0"/>
    <w:rsid w:val="006A25C7"/>
    <w:rsid w:val="006A4AAD"/>
    <w:rsid w:val="006A4AF6"/>
    <w:rsid w:val="006A5C9B"/>
    <w:rsid w:val="006A6DA2"/>
    <w:rsid w:val="006A7AB2"/>
    <w:rsid w:val="006B35C6"/>
    <w:rsid w:val="006B36A9"/>
    <w:rsid w:val="006B52DE"/>
    <w:rsid w:val="006B5717"/>
    <w:rsid w:val="006B582F"/>
    <w:rsid w:val="006B5EB2"/>
    <w:rsid w:val="006B6E39"/>
    <w:rsid w:val="006C02EC"/>
    <w:rsid w:val="006C0CEB"/>
    <w:rsid w:val="006C1631"/>
    <w:rsid w:val="006C3B1E"/>
    <w:rsid w:val="006C47FD"/>
    <w:rsid w:val="006C4BEA"/>
    <w:rsid w:val="006C55EF"/>
    <w:rsid w:val="006C5C19"/>
    <w:rsid w:val="006C70A0"/>
    <w:rsid w:val="006C768D"/>
    <w:rsid w:val="006D1F05"/>
    <w:rsid w:val="006D27CB"/>
    <w:rsid w:val="006D2F08"/>
    <w:rsid w:val="006D30B5"/>
    <w:rsid w:val="006D44AC"/>
    <w:rsid w:val="006D576C"/>
    <w:rsid w:val="006D5865"/>
    <w:rsid w:val="006D7280"/>
    <w:rsid w:val="006E08C3"/>
    <w:rsid w:val="006E0C71"/>
    <w:rsid w:val="006E4B1B"/>
    <w:rsid w:val="006E5445"/>
    <w:rsid w:val="006E7093"/>
    <w:rsid w:val="006E73FD"/>
    <w:rsid w:val="006E7D93"/>
    <w:rsid w:val="006E7EDE"/>
    <w:rsid w:val="006F51E2"/>
    <w:rsid w:val="006F5314"/>
    <w:rsid w:val="006F5639"/>
    <w:rsid w:val="00700073"/>
    <w:rsid w:val="007013B4"/>
    <w:rsid w:val="007029A3"/>
    <w:rsid w:val="00702EA1"/>
    <w:rsid w:val="0070532E"/>
    <w:rsid w:val="00706E4E"/>
    <w:rsid w:val="0070749E"/>
    <w:rsid w:val="0070791C"/>
    <w:rsid w:val="00710185"/>
    <w:rsid w:val="00710734"/>
    <w:rsid w:val="00711ACA"/>
    <w:rsid w:val="00711DAB"/>
    <w:rsid w:val="0071383C"/>
    <w:rsid w:val="007141A7"/>
    <w:rsid w:val="007152CD"/>
    <w:rsid w:val="00715722"/>
    <w:rsid w:val="00721032"/>
    <w:rsid w:val="00721B55"/>
    <w:rsid w:val="007231E5"/>
    <w:rsid w:val="00723318"/>
    <w:rsid w:val="007245C6"/>
    <w:rsid w:val="00726080"/>
    <w:rsid w:val="00726CE4"/>
    <w:rsid w:val="00734143"/>
    <w:rsid w:val="00737E47"/>
    <w:rsid w:val="00740EAC"/>
    <w:rsid w:val="00741050"/>
    <w:rsid w:val="00742F0A"/>
    <w:rsid w:val="0074480E"/>
    <w:rsid w:val="007448A8"/>
    <w:rsid w:val="00744956"/>
    <w:rsid w:val="00745A5C"/>
    <w:rsid w:val="0074605F"/>
    <w:rsid w:val="00747E94"/>
    <w:rsid w:val="00751CD3"/>
    <w:rsid w:val="00753325"/>
    <w:rsid w:val="00753E85"/>
    <w:rsid w:val="00754418"/>
    <w:rsid w:val="007544A9"/>
    <w:rsid w:val="00754C83"/>
    <w:rsid w:val="00757B78"/>
    <w:rsid w:val="00760742"/>
    <w:rsid w:val="00761E5C"/>
    <w:rsid w:val="00764F02"/>
    <w:rsid w:val="00765DF8"/>
    <w:rsid w:val="00766749"/>
    <w:rsid w:val="00767C1B"/>
    <w:rsid w:val="00770DCB"/>
    <w:rsid w:val="007714A9"/>
    <w:rsid w:val="00774F88"/>
    <w:rsid w:val="00774FDB"/>
    <w:rsid w:val="00776488"/>
    <w:rsid w:val="0077736B"/>
    <w:rsid w:val="007775FC"/>
    <w:rsid w:val="00777BA2"/>
    <w:rsid w:val="00781408"/>
    <w:rsid w:val="007818C5"/>
    <w:rsid w:val="007827F9"/>
    <w:rsid w:val="00784826"/>
    <w:rsid w:val="00784F7F"/>
    <w:rsid w:val="007878BD"/>
    <w:rsid w:val="0079055F"/>
    <w:rsid w:val="00796733"/>
    <w:rsid w:val="00796F25"/>
    <w:rsid w:val="0079718A"/>
    <w:rsid w:val="007A0644"/>
    <w:rsid w:val="007A2E98"/>
    <w:rsid w:val="007A3BA3"/>
    <w:rsid w:val="007A6CC0"/>
    <w:rsid w:val="007A7FEC"/>
    <w:rsid w:val="007B1499"/>
    <w:rsid w:val="007B1BBF"/>
    <w:rsid w:val="007B1E63"/>
    <w:rsid w:val="007B2960"/>
    <w:rsid w:val="007B355D"/>
    <w:rsid w:val="007B41BA"/>
    <w:rsid w:val="007B5371"/>
    <w:rsid w:val="007B544E"/>
    <w:rsid w:val="007B5E9D"/>
    <w:rsid w:val="007B7193"/>
    <w:rsid w:val="007B7980"/>
    <w:rsid w:val="007C0DEF"/>
    <w:rsid w:val="007C5D5A"/>
    <w:rsid w:val="007C607F"/>
    <w:rsid w:val="007C6820"/>
    <w:rsid w:val="007C6E44"/>
    <w:rsid w:val="007C79DD"/>
    <w:rsid w:val="007C7D87"/>
    <w:rsid w:val="007D1A97"/>
    <w:rsid w:val="007D2CD6"/>
    <w:rsid w:val="007D3063"/>
    <w:rsid w:val="007D30CC"/>
    <w:rsid w:val="007D3CEB"/>
    <w:rsid w:val="007D41F4"/>
    <w:rsid w:val="007D5405"/>
    <w:rsid w:val="007D6692"/>
    <w:rsid w:val="007E3375"/>
    <w:rsid w:val="007E7683"/>
    <w:rsid w:val="007F2BD6"/>
    <w:rsid w:val="007F49FA"/>
    <w:rsid w:val="007F54C4"/>
    <w:rsid w:val="007F6D54"/>
    <w:rsid w:val="007F6E9A"/>
    <w:rsid w:val="007F7C4B"/>
    <w:rsid w:val="00800CCD"/>
    <w:rsid w:val="008044D4"/>
    <w:rsid w:val="00810AB4"/>
    <w:rsid w:val="00810E7E"/>
    <w:rsid w:val="00812DA7"/>
    <w:rsid w:val="00814373"/>
    <w:rsid w:val="0081658F"/>
    <w:rsid w:val="00816715"/>
    <w:rsid w:val="00817B56"/>
    <w:rsid w:val="00821A88"/>
    <w:rsid w:val="008221A2"/>
    <w:rsid w:val="00823B9D"/>
    <w:rsid w:val="0082495D"/>
    <w:rsid w:val="00825837"/>
    <w:rsid w:val="00830676"/>
    <w:rsid w:val="00831AC3"/>
    <w:rsid w:val="00831BF8"/>
    <w:rsid w:val="00833933"/>
    <w:rsid w:val="00836FCE"/>
    <w:rsid w:val="008373C5"/>
    <w:rsid w:val="008408FF"/>
    <w:rsid w:val="008433EA"/>
    <w:rsid w:val="00843C0B"/>
    <w:rsid w:val="00845924"/>
    <w:rsid w:val="00845F66"/>
    <w:rsid w:val="008461CD"/>
    <w:rsid w:val="00847028"/>
    <w:rsid w:val="008502C0"/>
    <w:rsid w:val="0085076C"/>
    <w:rsid w:val="00851CD9"/>
    <w:rsid w:val="00851F3F"/>
    <w:rsid w:val="00852A57"/>
    <w:rsid w:val="0085618F"/>
    <w:rsid w:val="00856EDC"/>
    <w:rsid w:val="00857959"/>
    <w:rsid w:val="008623B5"/>
    <w:rsid w:val="00870ABA"/>
    <w:rsid w:val="00870DCA"/>
    <w:rsid w:val="008710E1"/>
    <w:rsid w:val="008716E5"/>
    <w:rsid w:val="00876582"/>
    <w:rsid w:val="00877B7E"/>
    <w:rsid w:val="00881985"/>
    <w:rsid w:val="00881BAA"/>
    <w:rsid w:val="00881CA9"/>
    <w:rsid w:val="0088229F"/>
    <w:rsid w:val="0088339A"/>
    <w:rsid w:val="00883628"/>
    <w:rsid w:val="00885544"/>
    <w:rsid w:val="0088634E"/>
    <w:rsid w:val="00887E27"/>
    <w:rsid w:val="008924C7"/>
    <w:rsid w:val="00892902"/>
    <w:rsid w:val="00893AB8"/>
    <w:rsid w:val="00894A43"/>
    <w:rsid w:val="00897EFA"/>
    <w:rsid w:val="008A04C8"/>
    <w:rsid w:val="008A2FBE"/>
    <w:rsid w:val="008A6913"/>
    <w:rsid w:val="008A6C1D"/>
    <w:rsid w:val="008B24DA"/>
    <w:rsid w:val="008B2D80"/>
    <w:rsid w:val="008B70F3"/>
    <w:rsid w:val="008B71C4"/>
    <w:rsid w:val="008B76DF"/>
    <w:rsid w:val="008C10F4"/>
    <w:rsid w:val="008C1740"/>
    <w:rsid w:val="008C4981"/>
    <w:rsid w:val="008C4D85"/>
    <w:rsid w:val="008C65F7"/>
    <w:rsid w:val="008C73F4"/>
    <w:rsid w:val="008D04F1"/>
    <w:rsid w:val="008D184C"/>
    <w:rsid w:val="008E2E00"/>
    <w:rsid w:val="008E4767"/>
    <w:rsid w:val="008E6812"/>
    <w:rsid w:val="008E7A8C"/>
    <w:rsid w:val="008F146D"/>
    <w:rsid w:val="008F6450"/>
    <w:rsid w:val="0090203B"/>
    <w:rsid w:val="00902432"/>
    <w:rsid w:val="00903285"/>
    <w:rsid w:val="00906F40"/>
    <w:rsid w:val="0090731E"/>
    <w:rsid w:val="0091130A"/>
    <w:rsid w:val="00911403"/>
    <w:rsid w:val="00915B1C"/>
    <w:rsid w:val="009174F3"/>
    <w:rsid w:val="0091797D"/>
    <w:rsid w:val="009203F1"/>
    <w:rsid w:val="00920456"/>
    <w:rsid w:val="0092297A"/>
    <w:rsid w:val="00923CBA"/>
    <w:rsid w:val="009242EB"/>
    <w:rsid w:val="00926703"/>
    <w:rsid w:val="00927691"/>
    <w:rsid w:val="00927A5F"/>
    <w:rsid w:val="00930510"/>
    <w:rsid w:val="00934331"/>
    <w:rsid w:val="00935B63"/>
    <w:rsid w:val="00936388"/>
    <w:rsid w:val="0094078F"/>
    <w:rsid w:val="00940FA3"/>
    <w:rsid w:val="00941FB0"/>
    <w:rsid w:val="009426D4"/>
    <w:rsid w:val="00947F25"/>
    <w:rsid w:val="00950159"/>
    <w:rsid w:val="0095022F"/>
    <w:rsid w:val="00951502"/>
    <w:rsid w:val="0095275C"/>
    <w:rsid w:val="009537FC"/>
    <w:rsid w:val="0095490B"/>
    <w:rsid w:val="00956985"/>
    <w:rsid w:val="00960A33"/>
    <w:rsid w:val="00961BF8"/>
    <w:rsid w:val="00961C9B"/>
    <w:rsid w:val="00964A04"/>
    <w:rsid w:val="00971729"/>
    <w:rsid w:val="00971914"/>
    <w:rsid w:val="00973845"/>
    <w:rsid w:val="009738FD"/>
    <w:rsid w:val="00974363"/>
    <w:rsid w:val="00977E49"/>
    <w:rsid w:val="00981898"/>
    <w:rsid w:val="009833A4"/>
    <w:rsid w:val="0098497F"/>
    <w:rsid w:val="00985AE1"/>
    <w:rsid w:val="009908CF"/>
    <w:rsid w:val="0099114E"/>
    <w:rsid w:val="00991FA7"/>
    <w:rsid w:val="0099577C"/>
    <w:rsid w:val="009A17FE"/>
    <w:rsid w:val="009A1F41"/>
    <w:rsid w:val="009A2ADD"/>
    <w:rsid w:val="009A54DE"/>
    <w:rsid w:val="009A5CEE"/>
    <w:rsid w:val="009A5F06"/>
    <w:rsid w:val="009A64AA"/>
    <w:rsid w:val="009B0F78"/>
    <w:rsid w:val="009B24A5"/>
    <w:rsid w:val="009B2601"/>
    <w:rsid w:val="009B4E9E"/>
    <w:rsid w:val="009C00FE"/>
    <w:rsid w:val="009C1690"/>
    <w:rsid w:val="009C219A"/>
    <w:rsid w:val="009C48D6"/>
    <w:rsid w:val="009C6881"/>
    <w:rsid w:val="009C6E97"/>
    <w:rsid w:val="009C7759"/>
    <w:rsid w:val="009D043D"/>
    <w:rsid w:val="009D07C8"/>
    <w:rsid w:val="009D1D05"/>
    <w:rsid w:val="009D2529"/>
    <w:rsid w:val="009D330C"/>
    <w:rsid w:val="009D4C42"/>
    <w:rsid w:val="009D6C71"/>
    <w:rsid w:val="009D7846"/>
    <w:rsid w:val="009E0631"/>
    <w:rsid w:val="009E16D0"/>
    <w:rsid w:val="009E2051"/>
    <w:rsid w:val="009E2604"/>
    <w:rsid w:val="009E3671"/>
    <w:rsid w:val="009E38FD"/>
    <w:rsid w:val="009E56FC"/>
    <w:rsid w:val="009E5B5B"/>
    <w:rsid w:val="009E6321"/>
    <w:rsid w:val="009F13D6"/>
    <w:rsid w:val="009F1E83"/>
    <w:rsid w:val="009F4C6B"/>
    <w:rsid w:val="009F72B3"/>
    <w:rsid w:val="009F78A8"/>
    <w:rsid w:val="00A00F2A"/>
    <w:rsid w:val="00A02AD6"/>
    <w:rsid w:val="00A07096"/>
    <w:rsid w:val="00A07318"/>
    <w:rsid w:val="00A07AE6"/>
    <w:rsid w:val="00A11370"/>
    <w:rsid w:val="00A145F4"/>
    <w:rsid w:val="00A155BA"/>
    <w:rsid w:val="00A17B1B"/>
    <w:rsid w:val="00A224CE"/>
    <w:rsid w:val="00A22522"/>
    <w:rsid w:val="00A23959"/>
    <w:rsid w:val="00A2440D"/>
    <w:rsid w:val="00A24882"/>
    <w:rsid w:val="00A24AFD"/>
    <w:rsid w:val="00A24F5C"/>
    <w:rsid w:val="00A27396"/>
    <w:rsid w:val="00A308F7"/>
    <w:rsid w:val="00A3157A"/>
    <w:rsid w:val="00A32F96"/>
    <w:rsid w:val="00A40871"/>
    <w:rsid w:val="00A412AB"/>
    <w:rsid w:val="00A4193E"/>
    <w:rsid w:val="00A440E0"/>
    <w:rsid w:val="00A442EF"/>
    <w:rsid w:val="00A47D17"/>
    <w:rsid w:val="00A50249"/>
    <w:rsid w:val="00A51762"/>
    <w:rsid w:val="00A51D1A"/>
    <w:rsid w:val="00A5418D"/>
    <w:rsid w:val="00A5474E"/>
    <w:rsid w:val="00A56EAD"/>
    <w:rsid w:val="00A635ED"/>
    <w:rsid w:val="00A64234"/>
    <w:rsid w:val="00A64F52"/>
    <w:rsid w:val="00A66173"/>
    <w:rsid w:val="00A70ADF"/>
    <w:rsid w:val="00A712E8"/>
    <w:rsid w:val="00A71466"/>
    <w:rsid w:val="00A725A6"/>
    <w:rsid w:val="00A7266E"/>
    <w:rsid w:val="00A729F3"/>
    <w:rsid w:val="00A74B5E"/>
    <w:rsid w:val="00A75488"/>
    <w:rsid w:val="00A81BD4"/>
    <w:rsid w:val="00A81BED"/>
    <w:rsid w:val="00A81EC4"/>
    <w:rsid w:val="00A824E8"/>
    <w:rsid w:val="00A9368A"/>
    <w:rsid w:val="00A93BAC"/>
    <w:rsid w:val="00A94D00"/>
    <w:rsid w:val="00A967FD"/>
    <w:rsid w:val="00AA1D38"/>
    <w:rsid w:val="00AA1F0B"/>
    <w:rsid w:val="00AA2289"/>
    <w:rsid w:val="00AA2DE5"/>
    <w:rsid w:val="00AA5A2D"/>
    <w:rsid w:val="00AB0EA9"/>
    <w:rsid w:val="00AB156C"/>
    <w:rsid w:val="00AB5579"/>
    <w:rsid w:val="00AB5A0D"/>
    <w:rsid w:val="00AB6814"/>
    <w:rsid w:val="00AB6CA3"/>
    <w:rsid w:val="00AC04BA"/>
    <w:rsid w:val="00AC0E39"/>
    <w:rsid w:val="00AC1814"/>
    <w:rsid w:val="00AC6567"/>
    <w:rsid w:val="00AD2A99"/>
    <w:rsid w:val="00AD3082"/>
    <w:rsid w:val="00AD32B4"/>
    <w:rsid w:val="00AD3780"/>
    <w:rsid w:val="00AD49C6"/>
    <w:rsid w:val="00AD4AD0"/>
    <w:rsid w:val="00AD5436"/>
    <w:rsid w:val="00AD60CD"/>
    <w:rsid w:val="00AD62E4"/>
    <w:rsid w:val="00AD6C8C"/>
    <w:rsid w:val="00AE042F"/>
    <w:rsid w:val="00AE091D"/>
    <w:rsid w:val="00AE1AED"/>
    <w:rsid w:val="00AE3B60"/>
    <w:rsid w:val="00AE53A1"/>
    <w:rsid w:val="00AE5D25"/>
    <w:rsid w:val="00AE7C63"/>
    <w:rsid w:val="00AF1777"/>
    <w:rsid w:val="00AF2484"/>
    <w:rsid w:val="00AF63E7"/>
    <w:rsid w:val="00AF6442"/>
    <w:rsid w:val="00AF6E17"/>
    <w:rsid w:val="00B0012A"/>
    <w:rsid w:val="00B0165D"/>
    <w:rsid w:val="00B01B60"/>
    <w:rsid w:val="00B02419"/>
    <w:rsid w:val="00B031F3"/>
    <w:rsid w:val="00B052A4"/>
    <w:rsid w:val="00B066C3"/>
    <w:rsid w:val="00B07048"/>
    <w:rsid w:val="00B125DE"/>
    <w:rsid w:val="00B13FDD"/>
    <w:rsid w:val="00B22EB2"/>
    <w:rsid w:val="00B25F93"/>
    <w:rsid w:val="00B27442"/>
    <w:rsid w:val="00B27C4B"/>
    <w:rsid w:val="00B3113C"/>
    <w:rsid w:val="00B31167"/>
    <w:rsid w:val="00B31BD6"/>
    <w:rsid w:val="00B31ED2"/>
    <w:rsid w:val="00B329D8"/>
    <w:rsid w:val="00B32BB9"/>
    <w:rsid w:val="00B32CC7"/>
    <w:rsid w:val="00B33AE1"/>
    <w:rsid w:val="00B34F21"/>
    <w:rsid w:val="00B37BFA"/>
    <w:rsid w:val="00B37C38"/>
    <w:rsid w:val="00B4288C"/>
    <w:rsid w:val="00B43262"/>
    <w:rsid w:val="00B43AF7"/>
    <w:rsid w:val="00B44100"/>
    <w:rsid w:val="00B4597B"/>
    <w:rsid w:val="00B46CBA"/>
    <w:rsid w:val="00B46F94"/>
    <w:rsid w:val="00B532A4"/>
    <w:rsid w:val="00B6003C"/>
    <w:rsid w:val="00B60554"/>
    <w:rsid w:val="00B61F03"/>
    <w:rsid w:val="00B626E4"/>
    <w:rsid w:val="00B650D7"/>
    <w:rsid w:val="00B71AE8"/>
    <w:rsid w:val="00B72F4A"/>
    <w:rsid w:val="00B83C27"/>
    <w:rsid w:val="00B84BC3"/>
    <w:rsid w:val="00B84BDD"/>
    <w:rsid w:val="00B85783"/>
    <w:rsid w:val="00B86B5D"/>
    <w:rsid w:val="00B870AA"/>
    <w:rsid w:val="00B91986"/>
    <w:rsid w:val="00B924AA"/>
    <w:rsid w:val="00B92812"/>
    <w:rsid w:val="00B92BDF"/>
    <w:rsid w:val="00B94775"/>
    <w:rsid w:val="00B949E6"/>
    <w:rsid w:val="00B96E4A"/>
    <w:rsid w:val="00BA1EB9"/>
    <w:rsid w:val="00BA22DF"/>
    <w:rsid w:val="00BA2DAB"/>
    <w:rsid w:val="00BB2A1E"/>
    <w:rsid w:val="00BB3BD7"/>
    <w:rsid w:val="00BB45A1"/>
    <w:rsid w:val="00BB7423"/>
    <w:rsid w:val="00BB7686"/>
    <w:rsid w:val="00BC0A28"/>
    <w:rsid w:val="00BC116B"/>
    <w:rsid w:val="00BC23F9"/>
    <w:rsid w:val="00BC3421"/>
    <w:rsid w:val="00BC5F77"/>
    <w:rsid w:val="00BC60F0"/>
    <w:rsid w:val="00BC732C"/>
    <w:rsid w:val="00BD0DE5"/>
    <w:rsid w:val="00BD3398"/>
    <w:rsid w:val="00BD4421"/>
    <w:rsid w:val="00BD46CA"/>
    <w:rsid w:val="00BD652E"/>
    <w:rsid w:val="00BD7249"/>
    <w:rsid w:val="00BD7E5C"/>
    <w:rsid w:val="00BE0B81"/>
    <w:rsid w:val="00BE2580"/>
    <w:rsid w:val="00BE266D"/>
    <w:rsid w:val="00BE35CB"/>
    <w:rsid w:val="00BE3938"/>
    <w:rsid w:val="00BE4C11"/>
    <w:rsid w:val="00BE6805"/>
    <w:rsid w:val="00BE71C0"/>
    <w:rsid w:val="00BE7243"/>
    <w:rsid w:val="00BF3CEB"/>
    <w:rsid w:val="00BF4911"/>
    <w:rsid w:val="00BF5484"/>
    <w:rsid w:val="00BF610C"/>
    <w:rsid w:val="00C0060B"/>
    <w:rsid w:val="00C0186D"/>
    <w:rsid w:val="00C01A6C"/>
    <w:rsid w:val="00C0277D"/>
    <w:rsid w:val="00C053A1"/>
    <w:rsid w:val="00C1252A"/>
    <w:rsid w:val="00C139E0"/>
    <w:rsid w:val="00C14BD2"/>
    <w:rsid w:val="00C15F2B"/>
    <w:rsid w:val="00C16198"/>
    <w:rsid w:val="00C2083D"/>
    <w:rsid w:val="00C22C41"/>
    <w:rsid w:val="00C2377A"/>
    <w:rsid w:val="00C23853"/>
    <w:rsid w:val="00C24A53"/>
    <w:rsid w:val="00C2548B"/>
    <w:rsid w:val="00C25A08"/>
    <w:rsid w:val="00C26177"/>
    <w:rsid w:val="00C31040"/>
    <w:rsid w:val="00C34A05"/>
    <w:rsid w:val="00C35CCE"/>
    <w:rsid w:val="00C364A3"/>
    <w:rsid w:val="00C36F51"/>
    <w:rsid w:val="00C37EA7"/>
    <w:rsid w:val="00C4032F"/>
    <w:rsid w:val="00C432C0"/>
    <w:rsid w:val="00C437F0"/>
    <w:rsid w:val="00C44047"/>
    <w:rsid w:val="00C45155"/>
    <w:rsid w:val="00C452DD"/>
    <w:rsid w:val="00C45AC9"/>
    <w:rsid w:val="00C51BF1"/>
    <w:rsid w:val="00C51D69"/>
    <w:rsid w:val="00C535D1"/>
    <w:rsid w:val="00C5498F"/>
    <w:rsid w:val="00C55235"/>
    <w:rsid w:val="00C55D36"/>
    <w:rsid w:val="00C619CE"/>
    <w:rsid w:val="00C61CCF"/>
    <w:rsid w:val="00C64CD0"/>
    <w:rsid w:val="00C6684F"/>
    <w:rsid w:val="00C66F2B"/>
    <w:rsid w:val="00C67696"/>
    <w:rsid w:val="00C67D9B"/>
    <w:rsid w:val="00C70E70"/>
    <w:rsid w:val="00C75F8D"/>
    <w:rsid w:val="00C77380"/>
    <w:rsid w:val="00C77DA8"/>
    <w:rsid w:val="00C822B2"/>
    <w:rsid w:val="00C82940"/>
    <w:rsid w:val="00C854CE"/>
    <w:rsid w:val="00C87B35"/>
    <w:rsid w:val="00C87E8A"/>
    <w:rsid w:val="00C918BD"/>
    <w:rsid w:val="00C92973"/>
    <w:rsid w:val="00C97583"/>
    <w:rsid w:val="00C97736"/>
    <w:rsid w:val="00CA03C2"/>
    <w:rsid w:val="00CA345A"/>
    <w:rsid w:val="00CA6313"/>
    <w:rsid w:val="00CB0AED"/>
    <w:rsid w:val="00CB1E82"/>
    <w:rsid w:val="00CB3F24"/>
    <w:rsid w:val="00CB4BA8"/>
    <w:rsid w:val="00CB4EED"/>
    <w:rsid w:val="00CB52D7"/>
    <w:rsid w:val="00CB7B48"/>
    <w:rsid w:val="00CC06B9"/>
    <w:rsid w:val="00CC1C0C"/>
    <w:rsid w:val="00CC3EF6"/>
    <w:rsid w:val="00CC6456"/>
    <w:rsid w:val="00CC6732"/>
    <w:rsid w:val="00CD030B"/>
    <w:rsid w:val="00CD1603"/>
    <w:rsid w:val="00CD2E6C"/>
    <w:rsid w:val="00CD50CC"/>
    <w:rsid w:val="00CE0BB5"/>
    <w:rsid w:val="00CE10AB"/>
    <w:rsid w:val="00CE2B59"/>
    <w:rsid w:val="00CE3C96"/>
    <w:rsid w:val="00CE51A8"/>
    <w:rsid w:val="00CF105A"/>
    <w:rsid w:val="00CF20AE"/>
    <w:rsid w:val="00CF369B"/>
    <w:rsid w:val="00CF69DB"/>
    <w:rsid w:val="00D00E28"/>
    <w:rsid w:val="00D01DB8"/>
    <w:rsid w:val="00D0269E"/>
    <w:rsid w:val="00D05092"/>
    <w:rsid w:val="00D05D6C"/>
    <w:rsid w:val="00D0618D"/>
    <w:rsid w:val="00D07ECA"/>
    <w:rsid w:val="00D133B8"/>
    <w:rsid w:val="00D14284"/>
    <w:rsid w:val="00D14762"/>
    <w:rsid w:val="00D15810"/>
    <w:rsid w:val="00D161A3"/>
    <w:rsid w:val="00D16D4E"/>
    <w:rsid w:val="00D16FE3"/>
    <w:rsid w:val="00D2147F"/>
    <w:rsid w:val="00D22C08"/>
    <w:rsid w:val="00D246DF"/>
    <w:rsid w:val="00D27F41"/>
    <w:rsid w:val="00D301C4"/>
    <w:rsid w:val="00D334DD"/>
    <w:rsid w:val="00D35DFE"/>
    <w:rsid w:val="00D36441"/>
    <w:rsid w:val="00D4064E"/>
    <w:rsid w:val="00D414E9"/>
    <w:rsid w:val="00D42EF0"/>
    <w:rsid w:val="00D4323D"/>
    <w:rsid w:val="00D43E62"/>
    <w:rsid w:val="00D44E9B"/>
    <w:rsid w:val="00D45FD2"/>
    <w:rsid w:val="00D47AEB"/>
    <w:rsid w:val="00D50DB9"/>
    <w:rsid w:val="00D51302"/>
    <w:rsid w:val="00D52C43"/>
    <w:rsid w:val="00D5349F"/>
    <w:rsid w:val="00D538A0"/>
    <w:rsid w:val="00D561FA"/>
    <w:rsid w:val="00D56D4F"/>
    <w:rsid w:val="00D57BF0"/>
    <w:rsid w:val="00D60400"/>
    <w:rsid w:val="00D6055F"/>
    <w:rsid w:val="00D60571"/>
    <w:rsid w:val="00D60B82"/>
    <w:rsid w:val="00D65069"/>
    <w:rsid w:val="00D6507F"/>
    <w:rsid w:val="00D718C9"/>
    <w:rsid w:val="00D72475"/>
    <w:rsid w:val="00D730BC"/>
    <w:rsid w:val="00D73912"/>
    <w:rsid w:val="00D76BC2"/>
    <w:rsid w:val="00D81E5B"/>
    <w:rsid w:val="00D838C4"/>
    <w:rsid w:val="00D8461F"/>
    <w:rsid w:val="00D84C2E"/>
    <w:rsid w:val="00D85226"/>
    <w:rsid w:val="00D86A2F"/>
    <w:rsid w:val="00D87B94"/>
    <w:rsid w:val="00D90D3D"/>
    <w:rsid w:val="00D90EE2"/>
    <w:rsid w:val="00D92D49"/>
    <w:rsid w:val="00D92EC1"/>
    <w:rsid w:val="00D93290"/>
    <w:rsid w:val="00D96DEA"/>
    <w:rsid w:val="00DA0760"/>
    <w:rsid w:val="00DA279C"/>
    <w:rsid w:val="00DA4E41"/>
    <w:rsid w:val="00DA695D"/>
    <w:rsid w:val="00DB117A"/>
    <w:rsid w:val="00DB3A64"/>
    <w:rsid w:val="00DB5173"/>
    <w:rsid w:val="00DB5A11"/>
    <w:rsid w:val="00DB6271"/>
    <w:rsid w:val="00DB697B"/>
    <w:rsid w:val="00DB6D0C"/>
    <w:rsid w:val="00DB7873"/>
    <w:rsid w:val="00DC187B"/>
    <w:rsid w:val="00DC4058"/>
    <w:rsid w:val="00DC4E45"/>
    <w:rsid w:val="00DC66B8"/>
    <w:rsid w:val="00DC7DEF"/>
    <w:rsid w:val="00DD0B05"/>
    <w:rsid w:val="00DD1A43"/>
    <w:rsid w:val="00DD23C4"/>
    <w:rsid w:val="00DD3263"/>
    <w:rsid w:val="00DD66FA"/>
    <w:rsid w:val="00DD73C2"/>
    <w:rsid w:val="00DE319B"/>
    <w:rsid w:val="00DE3445"/>
    <w:rsid w:val="00DE56D5"/>
    <w:rsid w:val="00DE5984"/>
    <w:rsid w:val="00DE6855"/>
    <w:rsid w:val="00DF0799"/>
    <w:rsid w:val="00DF2212"/>
    <w:rsid w:val="00DF2237"/>
    <w:rsid w:val="00DF34FE"/>
    <w:rsid w:val="00DF56AA"/>
    <w:rsid w:val="00DF56AF"/>
    <w:rsid w:val="00DF78E7"/>
    <w:rsid w:val="00E019C7"/>
    <w:rsid w:val="00E110C3"/>
    <w:rsid w:val="00E110E0"/>
    <w:rsid w:val="00E11E68"/>
    <w:rsid w:val="00E15371"/>
    <w:rsid w:val="00E21872"/>
    <w:rsid w:val="00E23372"/>
    <w:rsid w:val="00E23824"/>
    <w:rsid w:val="00E24104"/>
    <w:rsid w:val="00E26A68"/>
    <w:rsid w:val="00E300EB"/>
    <w:rsid w:val="00E302D0"/>
    <w:rsid w:val="00E35707"/>
    <w:rsid w:val="00E36AA1"/>
    <w:rsid w:val="00E41ECB"/>
    <w:rsid w:val="00E42676"/>
    <w:rsid w:val="00E47D92"/>
    <w:rsid w:val="00E543AF"/>
    <w:rsid w:val="00E54FDB"/>
    <w:rsid w:val="00E5617D"/>
    <w:rsid w:val="00E563D7"/>
    <w:rsid w:val="00E56948"/>
    <w:rsid w:val="00E62762"/>
    <w:rsid w:val="00E62909"/>
    <w:rsid w:val="00E663F4"/>
    <w:rsid w:val="00E66601"/>
    <w:rsid w:val="00E666F2"/>
    <w:rsid w:val="00E66DD4"/>
    <w:rsid w:val="00E66E2F"/>
    <w:rsid w:val="00E70D59"/>
    <w:rsid w:val="00E72AB6"/>
    <w:rsid w:val="00E7417A"/>
    <w:rsid w:val="00E748CC"/>
    <w:rsid w:val="00E75415"/>
    <w:rsid w:val="00E775B1"/>
    <w:rsid w:val="00E80E1E"/>
    <w:rsid w:val="00E8152A"/>
    <w:rsid w:val="00E821A8"/>
    <w:rsid w:val="00E837AD"/>
    <w:rsid w:val="00E842A8"/>
    <w:rsid w:val="00E86161"/>
    <w:rsid w:val="00E8666B"/>
    <w:rsid w:val="00E87A4D"/>
    <w:rsid w:val="00E87BF6"/>
    <w:rsid w:val="00E93629"/>
    <w:rsid w:val="00E93B5C"/>
    <w:rsid w:val="00E94551"/>
    <w:rsid w:val="00E94CEC"/>
    <w:rsid w:val="00E96C47"/>
    <w:rsid w:val="00EA0435"/>
    <w:rsid w:val="00EA04EF"/>
    <w:rsid w:val="00EA42B1"/>
    <w:rsid w:val="00EA6F19"/>
    <w:rsid w:val="00EB0E0B"/>
    <w:rsid w:val="00EB7090"/>
    <w:rsid w:val="00EC18F6"/>
    <w:rsid w:val="00EC19C6"/>
    <w:rsid w:val="00EC1BBE"/>
    <w:rsid w:val="00EC2B68"/>
    <w:rsid w:val="00EC3AEF"/>
    <w:rsid w:val="00EC5CD7"/>
    <w:rsid w:val="00ED1769"/>
    <w:rsid w:val="00ED3478"/>
    <w:rsid w:val="00ED58C9"/>
    <w:rsid w:val="00EE5FB3"/>
    <w:rsid w:val="00EE7F79"/>
    <w:rsid w:val="00EF0F6F"/>
    <w:rsid w:val="00EF70E5"/>
    <w:rsid w:val="00EF715A"/>
    <w:rsid w:val="00F018A7"/>
    <w:rsid w:val="00F01BC3"/>
    <w:rsid w:val="00F04366"/>
    <w:rsid w:val="00F058BE"/>
    <w:rsid w:val="00F06E14"/>
    <w:rsid w:val="00F1488F"/>
    <w:rsid w:val="00F179D4"/>
    <w:rsid w:val="00F2229D"/>
    <w:rsid w:val="00F26009"/>
    <w:rsid w:val="00F3008C"/>
    <w:rsid w:val="00F302E0"/>
    <w:rsid w:val="00F33C56"/>
    <w:rsid w:val="00F347C7"/>
    <w:rsid w:val="00F34848"/>
    <w:rsid w:val="00F37E6F"/>
    <w:rsid w:val="00F41083"/>
    <w:rsid w:val="00F42D46"/>
    <w:rsid w:val="00F4496C"/>
    <w:rsid w:val="00F44F3A"/>
    <w:rsid w:val="00F45DD5"/>
    <w:rsid w:val="00F51F10"/>
    <w:rsid w:val="00F529A5"/>
    <w:rsid w:val="00F54B59"/>
    <w:rsid w:val="00F55351"/>
    <w:rsid w:val="00F56F99"/>
    <w:rsid w:val="00F60F00"/>
    <w:rsid w:val="00F614C0"/>
    <w:rsid w:val="00F61B63"/>
    <w:rsid w:val="00F61C77"/>
    <w:rsid w:val="00F64A45"/>
    <w:rsid w:val="00F723BE"/>
    <w:rsid w:val="00F7266C"/>
    <w:rsid w:val="00F7389C"/>
    <w:rsid w:val="00F75DBA"/>
    <w:rsid w:val="00F76BD2"/>
    <w:rsid w:val="00F76F70"/>
    <w:rsid w:val="00F834C0"/>
    <w:rsid w:val="00F83848"/>
    <w:rsid w:val="00F926B9"/>
    <w:rsid w:val="00F9458E"/>
    <w:rsid w:val="00F975E9"/>
    <w:rsid w:val="00FA1B7D"/>
    <w:rsid w:val="00FA5E6B"/>
    <w:rsid w:val="00FB0573"/>
    <w:rsid w:val="00FB3A91"/>
    <w:rsid w:val="00FC0331"/>
    <w:rsid w:val="00FC07B9"/>
    <w:rsid w:val="00FC4E21"/>
    <w:rsid w:val="00FC5F6D"/>
    <w:rsid w:val="00FD0107"/>
    <w:rsid w:val="00FD2C2F"/>
    <w:rsid w:val="00FD3B31"/>
    <w:rsid w:val="00FD54C9"/>
    <w:rsid w:val="00FD6A2A"/>
    <w:rsid w:val="00FD7B5F"/>
    <w:rsid w:val="00FE1823"/>
    <w:rsid w:val="00FE26BC"/>
    <w:rsid w:val="00FE487A"/>
    <w:rsid w:val="00FF0569"/>
    <w:rsid w:val="00FF0635"/>
    <w:rsid w:val="00FF206E"/>
    <w:rsid w:val="00FF3C69"/>
    <w:rsid w:val="00FF6E0A"/>
    <w:rsid w:val="00FF79D7"/>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red,#4d4d4f"/>
    </o:shapedefaults>
    <o:shapelayout v:ext="edit">
      <o:idmap v:ext="edit" data="2"/>
    </o:shapelayout>
  </w:shapeDefaults>
  <w:decimalSymbol w:val="."/>
  <w:listSeparator w:val=","/>
  <w14:docId w14:val="337B1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1">
    <w:lsdException w:name="heading 1" w:qFormat="1"/>
    <w:lsdException w:name="heading 2" w:uiPriority="1" w:qFormat="1"/>
    <w:lsdException w:name="heading 3"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3"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qFormat="1"/>
    <w:lsdException w:name="Strong" w:semiHidden="1"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4B2960"/>
    <w:pPr>
      <w:spacing w:after="240" w:line="240" w:lineRule="atLeast"/>
    </w:pPr>
    <w:rPr>
      <w:rFonts w:ascii="Arial" w:hAnsi="Arial"/>
      <w:sz w:val="20"/>
    </w:rPr>
  </w:style>
  <w:style w:type="paragraph" w:styleId="Heading1">
    <w:name w:val="heading 1"/>
    <w:basedOn w:val="Normal"/>
    <w:next w:val="Normal"/>
    <w:link w:val="Heading1Char"/>
    <w:uiPriority w:val="1"/>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Paragraph"/>
    <w:link w:val="Heading2Char"/>
    <w:uiPriority w:val="1"/>
    <w:qFormat/>
    <w:rsid w:val="00711ACA"/>
    <w:pPr>
      <w:keepNext/>
      <w:spacing w:before="320" w:after="60" w:line="280" w:lineRule="atLeast"/>
      <w:outlineLvl w:val="1"/>
    </w:pPr>
    <w:rPr>
      <w:rFonts w:cs="Arial"/>
      <w:b/>
      <w:bCs/>
      <w:iCs/>
      <w:sz w:val="28"/>
      <w:szCs w:val="28"/>
    </w:rPr>
  </w:style>
  <w:style w:type="paragraph" w:styleId="Heading3">
    <w:name w:val="heading 3"/>
    <w:basedOn w:val="Normal"/>
    <w:next w:val="Normal"/>
    <w:link w:val="Heading3Char"/>
    <w:uiPriority w:val="2"/>
    <w:qFormat/>
    <w:rsid w:val="00711ACA"/>
    <w:pPr>
      <w:keepNext/>
      <w:spacing w:before="60" w:after="60" w:line="280" w:lineRule="atLeast"/>
      <w:outlineLvl w:val="2"/>
    </w:pPr>
    <w:rPr>
      <w:rFonts w:cs="Arial"/>
      <w:b/>
      <w:bCs/>
      <w:sz w:val="22"/>
      <w:szCs w:val="26"/>
    </w:rPr>
  </w:style>
  <w:style w:type="paragraph" w:styleId="Heading4">
    <w:name w:val="heading 4"/>
    <w:basedOn w:val="BodySubHeader"/>
    <w:next w:val="Normal"/>
    <w:uiPriority w:val="2"/>
    <w:qFormat/>
    <w:rsid w:val="00711ACA"/>
    <w:pPr>
      <w:spacing w:line="280" w:lineRule="atLeast"/>
      <w:outlineLvl w:val="3"/>
    </w:pPr>
    <w:rPr>
      <w:rFonts w:cs="Arial"/>
      <w:sz w:val="22"/>
    </w:rPr>
  </w:style>
  <w:style w:type="paragraph" w:styleId="Heading5">
    <w:name w:val="heading 5"/>
    <w:basedOn w:val="Normal"/>
    <w:next w:val="Normal"/>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semiHidden/>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semiHidden/>
    <w:rsid w:val="00EC2B68"/>
    <w:rPr>
      <w:rFonts w:ascii="Arial" w:hAnsi="Arial"/>
      <w:color w:val="323232"/>
      <w:sz w:val="16"/>
    </w:rPr>
  </w:style>
  <w:style w:type="paragraph" w:customStyle="1" w:styleId="Reporttitle">
    <w:name w:val="Report title"/>
    <w:basedOn w:val="Normal"/>
    <w:uiPriority w:val="19"/>
    <w:qFormat/>
    <w:rsid w:val="00A51D1A"/>
    <w:pPr>
      <w:spacing w:after="0" w:line="560" w:lineRule="exact"/>
    </w:pPr>
    <w:rPr>
      <w:b/>
      <w:spacing w:val="-28"/>
      <w:sz w:val="53"/>
    </w:rPr>
  </w:style>
  <w:style w:type="paragraph" w:customStyle="1" w:styleId="Reportsubtitle">
    <w:name w:val="Report subtitle"/>
    <w:basedOn w:val="Normal"/>
    <w:uiPriority w:val="20"/>
    <w:qFormat/>
    <w:rsid w:val="00950159"/>
    <w:pPr>
      <w:spacing w:after="200" w:line="560" w:lineRule="exact"/>
    </w:pPr>
    <w:rPr>
      <w:color w:val="323232"/>
      <w:spacing w:val="-28"/>
      <w:sz w:val="53"/>
    </w:rPr>
  </w:style>
  <w:style w:type="table" w:styleId="TableGrid">
    <w:name w:val="Table Grid"/>
    <w:basedOn w:val="TableNormal"/>
    <w:uiPriority w:val="5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950159"/>
    <w:pPr>
      <w:spacing w:after="1200" w:line="240" w:lineRule="auto"/>
    </w:pPr>
    <w:rPr>
      <w:caps/>
      <w:spacing w:val="-10"/>
      <w:sz w:val="20"/>
    </w:rPr>
  </w:style>
  <w:style w:type="paragraph" w:customStyle="1" w:styleId="Tableheaderrow">
    <w:name w:val="Table header row"/>
    <w:basedOn w:val="Normal"/>
    <w:uiPriority w:val="14"/>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semiHidden/>
    <w:qFormat/>
    <w:rsid w:val="00950159"/>
    <w:pPr>
      <w:spacing w:before="1200" w:line="240" w:lineRule="auto"/>
    </w:pPr>
    <w:rPr>
      <w:b/>
      <w:color w:val="323232"/>
      <w:spacing w:val="-28"/>
      <w:sz w:val="53"/>
    </w:rPr>
  </w:style>
  <w:style w:type="paragraph" w:styleId="Caption">
    <w:name w:val="caption"/>
    <w:aliases w:val="Caption table"/>
    <w:basedOn w:val="Normal"/>
    <w:next w:val="Normal"/>
    <w:semiHidden/>
    <w:qFormat/>
    <w:rsid w:val="00E8152A"/>
    <w:pPr>
      <w:numPr>
        <w:numId w:val="9"/>
      </w:numPr>
      <w:spacing w:after="0"/>
    </w:pPr>
    <w:rPr>
      <w:b/>
      <w:bCs/>
      <w:color w:val="323232"/>
      <w:szCs w:val="20"/>
    </w:rPr>
  </w:style>
  <w:style w:type="paragraph" w:customStyle="1" w:styleId="BodySubHeader">
    <w:name w:val="BodySubHeader"/>
    <w:basedOn w:val="Normal"/>
    <w:next w:val="Normal"/>
    <w:semiHidden/>
    <w:rsid w:val="00146CE6"/>
    <w:pPr>
      <w:spacing w:before="240" w:after="0"/>
    </w:pPr>
    <w:rPr>
      <w:b/>
      <w:i/>
    </w:rPr>
  </w:style>
  <w:style w:type="paragraph" w:styleId="ListBullet">
    <w:name w:val="List Bullet"/>
    <w:aliases w:val="List Bullet 1"/>
    <w:basedOn w:val="Normal"/>
    <w:semiHidden/>
    <w:qFormat/>
    <w:rsid w:val="001C6AEE"/>
    <w:pPr>
      <w:numPr>
        <w:numId w:val="1"/>
      </w:numPr>
      <w:spacing w:after="80"/>
    </w:pPr>
  </w:style>
  <w:style w:type="paragraph" w:styleId="ListBullet2">
    <w:name w:val="List Bullet 2"/>
    <w:basedOn w:val="Normal"/>
    <w:semiHidden/>
    <w:qFormat/>
    <w:rsid w:val="001C6AEE"/>
    <w:pPr>
      <w:numPr>
        <w:numId w:val="2"/>
      </w:numPr>
      <w:spacing w:after="80"/>
    </w:pPr>
  </w:style>
  <w:style w:type="paragraph" w:styleId="ListNumber">
    <w:name w:val="List Number"/>
    <w:basedOn w:val="Normal"/>
    <w:semiHidden/>
    <w:qFormat/>
    <w:rsid w:val="004B2960"/>
    <w:pPr>
      <w:numPr>
        <w:numId w:val="3"/>
      </w:numPr>
      <w:spacing w:after="80" w:line="260" w:lineRule="atLeast"/>
      <w:ind w:left="284" w:hanging="284"/>
    </w:pPr>
    <w:rPr>
      <w:sz w:val="22"/>
    </w:rPr>
  </w:style>
  <w:style w:type="paragraph" w:styleId="ListNumber2">
    <w:name w:val="List Number 2"/>
    <w:basedOn w:val="Normal"/>
    <w:semiHidden/>
    <w:qFormat/>
    <w:rsid w:val="004A70D6"/>
    <w:pPr>
      <w:numPr>
        <w:numId w:val="4"/>
      </w:numPr>
      <w:spacing w:after="80"/>
      <w:ind w:left="828" w:hanging="357"/>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uiPriority w:val="22"/>
    <w:qFormat/>
    <w:rsid w:val="00E66601"/>
    <w:pPr>
      <w:pageBreakBefore/>
      <w:spacing w:after="360" w:line="550" w:lineRule="exact"/>
    </w:pPr>
    <w:rPr>
      <w:b/>
      <w:color w:val="323232"/>
      <w:spacing w:val="-18"/>
      <w:sz w:val="53"/>
    </w:rPr>
  </w:style>
  <w:style w:type="character" w:styleId="PageNumber0">
    <w:name w:val="page number"/>
    <w:basedOn w:val="DefaultParagraphFont"/>
    <w:semiHidden/>
    <w:rsid w:val="00542377"/>
  </w:style>
  <w:style w:type="paragraph" w:styleId="ListContinue5">
    <w:name w:val="List Continue 5"/>
    <w:basedOn w:val="Normal"/>
    <w:semiHidden/>
    <w:rsid w:val="00EC2B68"/>
    <w:pPr>
      <w:spacing w:after="120"/>
      <w:ind w:left="1415"/>
      <w:contextualSpacing/>
    </w:pPr>
  </w:style>
  <w:style w:type="paragraph" w:customStyle="1" w:styleId="Paragraphbeforelist">
    <w:name w:val="Paragraph before list"/>
    <w:basedOn w:val="Paragraph"/>
    <w:uiPriority w:val="4"/>
    <w:qFormat/>
    <w:rsid w:val="00C87E8A"/>
    <w:pPr>
      <w:spacing w:after="80"/>
    </w:pPr>
  </w:style>
  <w:style w:type="paragraph" w:styleId="TOC1">
    <w:name w:val="toc 1"/>
    <w:basedOn w:val="Normal"/>
    <w:next w:val="Normal"/>
    <w:uiPriority w:val="39"/>
    <w:qFormat/>
    <w:rsid w:val="00D60571"/>
    <w:pPr>
      <w:tabs>
        <w:tab w:val="right" w:pos="9072"/>
      </w:tabs>
      <w:spacing w:before="280" w:after="80" w:line="320" w:lineRule="exact"/>
    </w:pPr>
    <w:rPr>
      <w:b/>
      <w:noProof/>
      <w:spacing w:val="-14"/>
      <w:sz w:val="28"/>
    </w:rPr>
  </w:style>
  <w:style w:type="paragraph" w:styleId="TOC2">
    <w:name w:val="toc 2"/>
    <w:basedOn w:val="Normal"/>
    <w:next w:val="Normal"/>
    <w:uiPriority w:val="39"/>
    <w:qFormat/>
    <w:rsid w:val="00D60571"/>
    <w:pPr>
      <w:tabs>
        <w:tab w:val="right" w:pos="9072"/>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D60571"/>
    <w:pPr>
      <w:tabs>
        <w:tab w:val="right" w:pos="9072"/>
      </w:tabs>
      <w:spacing w:after="80" w:line="240" w:lineRule="auto"/>
    </w:pPr>
    <w:rPr>
      <w:noProof/>
      <w:sz w:val="22"/>
      <w:szCs w:val="22"/>
    </w:rPr>
  </w:style>
  <w:style w:type="character" w:styleId="Hyperlink">
    <w:name w:val="Hyperlink"/>
    <w:basedOn w:val="DefaultParagraphFont"/>
    <w:uiPriority w:val="99"/>
    <w:qFormat/>
    <w:rsid w:val="00C35CCE"/>
    <w:rPr>
      <w:color w:val="0000FF"/>
      <w:u w:val="single" w:color="0000FF"/>
    </w:rPr>
  </w:style>
  <w:style w:type="character" w:styleId="FootnoteReference">
    <w:name w:val="footnote reference"/>
    <w:basedOn w:val="DefaultParagraphFont"/>
    <w:semiHidden/>
    <w:rsid w:val="00566AB4"/>
    <w:rPr>
      <w:rFonts w:ascii="Arial" w:hAnsi="Arial"/>
      <w:vertAlign w:val="superscript"/>
    </w:rPr>
  </w:style>
  <w:style w:type="paragraph" w:styleId="FootnoteText">
    <w:name w:val="footnote text"/>
    <w:aliases w:val="Footnote text"/>
    <w:basedOn w:val="Normal"/>
    <w:uiPriority w:val="23"/>
    <w:rsid w:val="00A17B1B"/>
    <w:pPr>
      <w:spacing w:after="0" w:line="200" w:lineRule="atLeast"/>
    </w:pPr>
    <w:rPr>
      <w:sz w:val="16"/>
      <w:szCs w:val="16"/>
    </w:rPr>
  </w:style>
  <w:style w:type="paragraph" w:customStyle="1" w:styleId="TableBody">
    <w:name w:val="Table Body"/>
    <w:basedOn w:val="Normal"/>
    <w:uiPriority w:val="15"/>
    <w:qFormat/>
    <w:rsid w:val="00774FDB"/>
    <w:pPr>
      <w:spacing w:after="0" w:line="240" w:lineRule="auto"/>
    </w:pPr>
  </w:style>
  <w:style w:type="character" w:styleId="CommentReference">
    <w:name w:val="annotation reference"/>
    <w:basedOn w:val="DefaultParagraphFont"/>
    <w:semiHidden/>
    <w:rsid w:val="00EE7F79"/>
    <w:rPr>
      <w:sz w:val="16"/>
      <w:szCs w:val="16"/>
    </w:rPr>
  </w:style>
  <w:style w:type="paragraph" w:styleId="CommentText">
    <w:name w:val="annotation text"/>
    <w:basedOn w:val="Normal"/>
    <w:link w:val="CommentTextChar"/>
    <w:semiHidden/>
    <w:rsid w:val="00EE7F79"/>
    <w:pPr>
      <w:spacing w:line="240" w:lineRule="auto"/>
    </w:pPr>
    <w:rPr>
      <w:szCs w:val="20"/>
    </w:rPr>
  </w:style>
  <w:style w:type="character" w:customStyle="1" w:styleId="CommentTextChar">
    <w:name w:val="Comment Text Char"/>
    <w:basedOn w:val="DefaultParagraphFont"/>
    <w:link w:val="CommentText"/>
    <w:semiHidden/>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semiHidden/>
    <w:unhideWhenUsed/>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paragraph" w:customStyle="1" w:styleId="Bulletlevel1">
    <w:name w:val="Bullet level 1"/>
    <w:basedOn w:val="ListBullet"/>
    <w:uiPriority w:val="5"/>
    <w:qFormat/>
    <w:rsid w:val="00711ACA"/>
    <w:pPr>
      <w:numPr>
        <w:numId w:val="13"/>
      </w:numPr>
      <w:spacing w:line="280" w:lineRule="atLeast"/>
      <w:ind w:left="284" w:hanging="284"/>
    </w:pPr>
    <w:rPr>
      <w:rFonts w:cs="Arial"/>
      <w:sz w:val="22"/>
    </w:rPr>
  </w:style>
  <w:style w:type="paragraph" w:customStyle="1" w:styleId="ACMACorporateAddressHeader">
    <w:name w:val="ACMA_CorporateAddressHeader"/>
    <w:basedOn w:val="Normal"/>
    <w:next w:val="ACMACorporateAddresses"/>
    <w:semiHidden/>
    <w:unhideWhenUsed/>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semiHidden/>
    <w:unhideWhenUsed/>
    <w:qFormat/>
    <w:rsid w:val="00FC07B9"/>
    <w:pPr>
      <w:spacing w:before="0" w:after="120"/>
    </w:pPr>
    <w:rPr>
      <w:b w:val="0"/>
    </w:rPr>
  </w:style>
  <w:style w:type="paragraph" w:customStyle="1" w:styleId="ACMACopyrightHeader">
    <w:name w:val="ACMA_CopyrightHeader"/>
    <w:basedOn w:val="ACMACorporateAddressHeader"/>
    <w:semiHidden/>
    <w:unhideWhenUsed/>
    <w:qFormat/>
    <w:rsid w:val="00950159"/>
    <w:pPr>
      <w:spacing w:before="3000"/>
    </w:pPr>
  </w:style>
  <w:style w:type="paragraph" w:customStyle="1" w:styleId="ACMACClogo">
    <w:name w:val="ACMA_CClogo"/>
    <w:semiHidden/>
    <w:unhideWhenUsed/>
    <w:qFormat/>
    <w:rsid w:val="00623FF9"/>
    <w:pPr>
      <w:spacing w:before="160" w:after="120"/>
    </w:pPr>
    <w:rPr>
      <w:rFonts w:ascii="Arial" w:hAnsi="Arial"/>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semiHidden/>
    <w:qFormat/>
    <w:rsid w:val="00C16198"/>
    <w:pPr>
      <w:spacing w:after="240"/>
      <w:ind w:left="357" w:hanging="357"/>
    </w:pPr>
    <w:rPr>
      <w:rFonts w:cs="Arial"/>
    </w:rPr>
  </w:style>
  <w:style w:type="paragraph" w:customStyle="1" w:styleId="ACMATableHeader">
    <w:name w:val="ACMA_TableHeader"/>
    <w:semiHidden/>
    <w:qFormat/>
    <w:rsid w:val="003F10EE"/>
    <w:pPr>
      <w:numPr>
        <w:numId w:val="7"/>
      </w:numPr>
      <w:spacing w:after="160"/>
    </w:pPr>
    <w:rPr>
      <w:rFonts w:ascii="Arial" w:hAnsi="Arial"/>
      <w:b/>
      <w:bCs/>
      <w:color w:val="323232"/>
      <w:sz w:val="20"/>
      <w:szCs w:val="20"/>
    </w:rPr>
  </w:style>
  <w:style w:type="paragraph" w:customStyle="1" w:styleId="ACMANotes">
    <w:name w:val="ACMA_Notes"/>
    <w:semiHidden/>
    <w:qFormat/>
    <w:rsid w:val="00FF206E"/>
    <w:pPr>
      <w:spacing w:before="80"/>
    </w:pPr>
    <w:rPr>
      <w:rFonts w:ascii="Arial" w:hAnsi="Arial" w:cs="Arial"/>
      <w:i/>
      <w:sz w:val="16"/>
    </w:rPr>
  </w:style>
  <w:style w:type="paragraph" w:customStyle="1" w:styleId="Numberlistlevel1">
    <w:name w:val="Number list level 1"/>
    <w:basedOn w:val="ListNumber"/>
    <w:uiPriority w:val="9"/>
    <w:qFormat/>
    <w:rsid w:val="00711ACA"/>
    <w:pPr>
      <w:spacing w:line="280" w:lineRule="atLeast"/>
    </w:pPr>
  </w:style>
  <w:style w:type="character" w:styleId="Emphasis">
    <w:name w:val="Emphasis"/>
    <w:basedOn w:val="DefaultParagraphFont"/>
    <w:semiHidden/>
    <w:qFormat/>
    <w:rsid w:val="006D576C"/>
    <w:rPr>
      <w:i/>
      <w:iCs/>
    </w:rPr>
  </w:style>
  <w:style w:type="paragraph" w:customStyle="1" w:styleId="ListNumber2Last">
    <w:name w:val="List Number 2 Last"/>
    <w:basedOn w:val="ListNumber2"/>
    <w:semiHidden/>
    <w:qFormat/>
    <w:rsid w:val="00E35707"/>
    <w:pPr>
      <w:spacing w:after="240"/>
      <w:ind w:left="907"/>
    </w:pPr>
    <w:rPr>
      <w:rFonts w:cs="Arial"/>
    </w:rPr>
  </w:style>
  <w:style w:type="paragraph" w:customStyle="1" w:styleId="Spaceaftertable">
    <w:name w:val="Space after table"/>
    <w:basedOn w:val="Normal"/>
    <w:uiPriority w:val="99"/>
    <w:qFormat/>
    <w:rsid w:val="00C2083D"/>
    <w:rPr>
      <w:rFonts w:cs="Arial"/>
    </w:rPr>
  </w:style>
  <w:style w:type="paragraph" w:customStyle="1" w:styleId="FooterLeft">
    <w:name w:val="Footer Left"/>
    <w:basedOn w:val="Footer"/>
    <w:semiHidden/>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semiHidden/>
    <w:qFormat/>
    <w:rsid w:val="003F10EE"/>
    <w:pPr>
      <w:numPr>
        <w:numId w:val="6"/>
      </w:numPr>
      <w:spacing w:after="160"/>
    </w:pPr>
    <w:rPr>
      <w:rFonts w:ascii="Arial" w:hAnsi="Arial"/>
      <w:b/>
      <w:bCs/>
      <w:color w:val="323232"/>
      <w:sz w:val="20"/>
      <w:szCs w:val="20"/>
    </w:rPr>
  </w:style>
  <w:style w:type="paragraph" w:customStyle="1" w:styleId="Captionfigure">
    <w:name w:val="Caption figure"/>
    <w:basedOn w:val="Caption"/>
    <w:semiHidden/>
    <w:qFormat/>
    <w:rsid w:val="00E8152A"/>
    <w:pPr>
      <w:keepNext/>
      <w:numPr>
        <w:numId w:val="8"/>
      </w:numPr>
    </w:pPr>
    <w:rPr>
      <w:rFonts w:cs="Arial"/>
    </w:rPr>
  </w:style>
  <w:style w:type="paragraph" w:customStyle="1" w:styleId="GridTable31">
    <w:name w:val="Grid Table 31"/>
    <w:basedOn w:val="Normal"/>
    <w:semiHidden/>
    <w:qFormat/>
    <w:rsid w:val="00971914"/>
    <w:pPr>
      <w:spacing w:after="0" w:line="240" w:lineRule="auto"/>
    </w:pPr>
    <w:rPr>
      <w:b/>
      <w:color w:val="4D4D4F"/>
      <w:spacing w:val="-28"/>
      <w:sz w:val="53"/>
    </w:rPr>
  </w:style>
  <w:style w:type="character" w:customStyle="1" w:styleId="HeaderChar">
    <w:name w:val="Header Char"/>
    <w:link w:val="Header"/>
    <w:semiHidden/>
    <w:rsid w:val="00971914"/>
    <w:rPr>
      <w:rFonts w:ascii="Arial" w:hAnsi="Arial"/>
      <w:sz w:val="16"/>
    </w:rPr>
  </w:style>
  <w:style w:type="character" w:customStyle="1" w:styleId="Heading1Char">
    <w:name w:val="Heading 1 Char"/>
    <w:basedOn w:val="DefaultParagraphFont"/>
    <w:link w:val="Heading1"/>
    <w:uiPriority w:val="1"/>
    <w:rsid w:val="00CE0BB5"/>
    <w:rPr>
      <w:rFonts w:ascii="Arial" w:hAnsi="Arial" w:cs="Arial"/>
      <w:bCs/>
      <w:color w:val="323232"/>
      <w:kern w:val="32"/>
      <w:sz w:val="53"/>
      <w:szCs w:val="32"/>
    </w:rPr>
  </w:style>
  <w:style w:type="character" w:customStyle="1" w:styleId="Heading2Char">
    <w:name w:val="Heading 2 Char"/>
    <w:basedOn w:val="DefaultParagraphFont"/>
    <w:link w:val="Heading2"/>
    <w:uiPriority w:val="1"/>
    <w:rsid w:val="00711ACA"/>
    <w:rPr>
      <w:rFonts w:ascii="Arial" w:hAnsi="Arial" w:cs="Arial"/>
      <w:b/>
      <w:bCs/>
      <w:iCs/>
      <w:sz w:val="28"/>
      <w:szCs w:val="28"/>
    </w:rPr>
  </w:style>
  <w:style w:type="character" w:customStyle="1" w:styleId="UnresolvedMention">
    <w:name w:val="Unresolved Mention"/>
    <w:basedOn w:val="DefaultParagraphFont"/>
    <w:uiPriority w:val="99"/>
    <w:semiHidden/>
    <w:unhideWhenUsed/>
    <w:rsid w:val="006B52DE"/>
    <w:rPr>
      <w:color w:val="605E5C"/>
      <w:shd w:val="clear" w:color="auto" w:fill="E1DFDD"/>
    </w:rPr>
  </w:style>
  <w:style w:type="character" w:customStyle="1" w:styleId="Heading3Char">
    <w:name w:val="Heading 3 Char"/>
    <w:basedOn w:val="DefaultParagraphFont"/>
    <w:link w:val="Heading3"/>
    <w:uiPriority w:val="2"/>
    <w:rsid w:val="00711ACA"/>
    <w:rPr>
      <w:rFonts w:ascii="Arial" w:hAnsi="Arial" w:cs="Arial"/>
      <w:b/>
      <w:bCs/>
      <w:sz w:val="22"/>
      <w:szCs w:val="26"/>
    </w:rPr>
  </w:style>
  <w:style w:type="paragraph" w:customStyle="1" w:styleId="Paragraph">
    <w:name w:val="Paragraph"/>
    <w:basedOn w:val="Normal"/>
    <w:qFormat/>
    <w:rsid w:val="00711ACA"/>
    <w:pPr>
      <w:spacing w:line="280" w:lineRule="atLeast"/>
    </w:pPr>
    <w:rPr>
      <w:rFonts w:cs="Arial"/>
      <w:sz w:val="22"/>
    </w:rPr>
  </w:style>
  <w:style w:type="paragraph" w:customStyle="1" w:styleId="Bulletlevel2">
    <w:name w:val="Bullet level 2"/>
    <w:basedOn w:val="ListBullet2"/>
    <w:uiPriority w:val="7"/>
    <w:qFormat/>
    <w:rsid w:val="00711ACA"/>
    <w:pPr>
      <w:numPr>
        <w:numId w:val="15"/>
      </w:numPr>
      <w:tabs>
        <w:tab w:val="left" w:pos="295"/>
      </w:tabs>
      <w:spacing w:line="280" w:lineRule="atLeast"/>
      <w:ind w:left="568" w:hanging="284"/>
    </w:pPr>
    <w:rPr>
      <w:rFonts w:cs="Arial"/>
      <w:sz w:val="22"/>
    </w:rPr>
  </w:style>
  <w:style w:type="paragraph" w:customStyle="1" w:styleId="Bulletlevel1last">
    <w:name w:val="Bullet level 1 last"/>
    <w:basedOn w:val="ListBulletLast"/>
    <w:uiPriority w:val="6"/>
    <w:qFormat/>
    <w:rsid w:val="00711ACA"/>
    <w:pPr>
      <w:numPr>
        <w:numId w:val="14"/>
      </w:numPr>
      <w:spacing w:line="280" w:lineRule="atLeast"/>
      <w:ind w:left="284" w:hanging="284"/>
    </w:pPr>
    <w:rPr>
      <w:sz w:val="22"/>
    </w:rPr>
  </w:style>
  <w:style w:type="paragraph" w:customStyle="1" w:styleId="Numberlistlevel2">
    <w:name w:val="Number list level 2"/>
    <w:basedOn w:val="ListNumber2"/>
    <w:uiPriority w:val="11"/>
    <w:qFormat/>
    <w:rsid w:val="00711ACA"/>
    <w:pPr>
      <w:spacing w:line="280" w:lineRule="atLeast"/>
      <w:ind w:left="738" w:hanging="284"/>
    </w:pPr>
    <w:rPr>
      <w:sz w:val="22"/>
    </w:rPr>
  </w:style>
  <w:style w:type="paragraph" w:customStyle="1" w:styleId="Numberlistlast">
    <w:name w:val="Number list last"/>
    <w:basedOn w:val="ListNumberLast"/>
    <w:uiPriority w:val="10"/>
    <w:qFormat/>
    <w:rsid w:val="00711ACA"/>
    <w:pPr>
      <w:spacing w:line="280" w:lineRule="atLeast"/>
      <w:ind w:left="284" w:hanging="284"/>
    </w:pPr>
  </w:style>
  <w:style w:type="paragraph" w:customStyle="1" w:styleId="Numberlistlevel2last">
    <w:name w:val="Number list level 2 last"/>
    <w:basedOn w:val="Numberlistlevel2"/>
    <w:uiPriority w:val="12"/>
    <w:qFormat/>
    <w:rsid w:val="004A70D6"/>
    <w:pPr>
      <w:spacing w:after="240"/>
    </w:pPr>
  </w:style>
  <w:style w:type="paragraph" w:customStyle="1" w:styleId="Bulletlevel2last">
    <w:name w:val="Bullet level 2 last"/>
    <w:basedOn w:val="Bulletlevel2"/>
    <w:uiPriority w:val="8"/>
    <w:qFormat/>
    <w:rsid w:val="005A62E5"/>
    <w:pPr>
      <w:numPr>
        <w:numId w:val="16"/>
      </w:numPr>
      <w:spacing w:after="240"/>
      <w:ind w:left="568" w:hanging="284"/>
    </w:pPr>
  </w:style>
  <w:style w:type="table" w:customStyle="1" w:styleId="ACMAtablestyle">
    <w:name w:val="ACMA table style"/>
    <w:basedOn w:val="TableNormal"/>
    <w:uiPriority w:val="99"/>
    <w:rsid w:val="00F04366"/>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57" w:type="dxa"/>
        <w:bottom w:w="85" w:type="dxa"/>
        <w:right w:w="57"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Horz">
      <w:rPr>
        <w:rFonts w:ascii="Arial" w:hAnsi="Arial"/>
        <w:sz w:val="20"/>
      </w:rPr>
      <w:tblPr/>
      <w:tcPr>
        <w:shd w:val="clear" w:color="auto" w:fill="F2F2F2" w:themeFill="background1" w:themeFillShade="F2"/>
      </w:tcPr>
    </w:tblStylePr>
  </w:style>
  <w:style w:type="paragraph" w:customStyle="1" w:styleId="Tableheading">
    <w:name w:val="Table heading"/>
    <w:basedOn w:val="ACMATableHeader"/>
    <w:uiPriority w:val="13"/>
    <w:qFormat/>
    <w:rsid w:val="00711ACA"/>
    <w:pPr>
      <w:keepNext/>
      <w:spacing w:line="280" w:lineRule="atLeast"/>
    </w:pPr>
    <w:rPr>
      <w:sz w:val="22"/>
    </w:rPr>
  </w:style>
  <w:style w:type="paragraph" w:customStyle="1" w:styleId="Tableorfigurenote">
    <w:name w:val="Table or figure note"/>
    <w:basedOn w:val="ACMANotes"/>
    <w:uiPriority w:val="17"/>
    <w:qFormat/>
    <w:rsid w:val="00930510"/>
    <w:pPr>
      <w:spacing w:after="240"/>
    </w:pPr>
  </w:style>
  <w:style w:type="paragraph" w:customStyle="1" w:styleId="Figureheading">
    <w:name w:val="Figure heading"/>
    <w:basedOn w:val="ACMAFigureHeader"/>
    <w:uiPriority w:val="16"/>
    <w:qFormat/>
    <w:rsid w:val="00711ACA"/>
    <w:pPr>
      <w:keepNext/>
      <w:spacing w:line="280" w:lineRule="atLeast"/>
    </w:pPr>
    <w:rPr>
      <w:sz w:val="22"/>
    </w:rPr>
  </w:style>
  <w:style w:type="paragraph" w:customStyle="1" w:styleId="Tableorfigurenotemultiple">
    <w:name w:val="Table or figure note multiple"/>
    <w:basedOn w:val="Tableorfigurenote"/>
    <w:uiPriority w:val="18"/>
    <w:qFormat/>
    <w:rsid w:val="00930510"/>
    <w:pPr>
      <w:spacing w:after="80"/>
    </w:pPr>
  </w:style>
  <w:style w:type="paragraph" w:customStyle="1" w:styleId="Protectivemarking">
    <w:name w:val="Protective marking"/>
    <w:basedOn w:val="Normal"/>
    <w:uiPriority w:val="99"/>
    <w:qFormat/>
    <w:rsid w:val="007E3375"/>
    <w:pPr>
      <w:tabs>
        <w:tab w:val="left" w:pos="720"/>
      </w:tabs>
      <w:spacing w:after="0" w:line="240" w:lineRule="auto"/>
      <w:jc w:val="center"/>
    </w:pPr>
    <w:rPr>
      <w:rFonts w:cs="Arial"/>
      <w:b/>
      <w:bCs/>
      <w:color w:val="FF0000"/>
      <w:sz w:val="32"/>
      <w:lang w:eastAsia="en-US"/>
    </w:rPr>
  </w:style>
  <w:style w:type="paragraph" w:styleId="BalloonText">
    <w:name w:val="Balloon Text"/>
    <w:basedOn w:val="Normal"/>
    <w:link w:val="BalloonTextChar"/>
    <w:semiHidden/>
    <w:unhideWhenUsed/>
    <w:rsid w:val="004511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4511C5"/>
    <w:rPr>
      <w:rFonts w:ascii="Segoe UI" w:hAnsi="Segoe UI" w:cs="Segoe UI"/>
      <w:sz w:val="18"/>
      <w:szCs w:val="18"/>
    </w:rPr>
  </w:style>
  <w:style w:type="paragraph" w:styleId="Revision">
    <w:name w:val="Revision"/>
    <w:hidden/>
    <w:semiHidden/>
    <w:rsid w:val="004511C5"/>
    <w:rPr>
      <w:rFonts w:ascii="Arial" w:hAnsi="Arial"/>
      <w:sz w:val="20"/>
    </w:rPr>
  </w:style>
  <w:style w:type="paragraph" w:customStyle="1" w:styleId="Executivesummarysubheading">
    <w:name w:val="Executive summary subheading"/>
    <w:basedOn w:val="Heading4"/>
    <w:uiPriority w:val="3"/>
    <w:qFormat/>
    <w:rsid w:val="00711ACA"/>
    <w:pPr>
      <w:spacing w:after="80"/>
    </w:pPr>
  </w:style>
  <w:style w:type="paragraph" w:customStyle="1" w:styleId="EMCletteredbulletpoint">
    <w:name w:val="EMC lettered bullet point"/>
    <w:basedOn w:val="ListParagraph"/>
    <w:rsid w:val="00AD49C6"/>
    <w:pPr>
      <w:numPr>
        <w:ilvl w:val="1"/>
        <w:numId w:val="24"/>
      </w:numPr>
      <w:tabs>
        <w:tab w:val="clear" w:pos="1728"/>
        <w:tab w:val="num" w:pos="360"/>
      </w:tabs>
      <w:spacing w:after="80"/>
      <w:ind w:firstLine="0"/>
      <w:contextualSpacing w:val="0"/>
    </w:pPr>
    <w:rPr>
      <w:rFonts w:cs="Arial"/>
      <w:sz w:val="22"/>
      <w:szCs w:val="20"/>
    </w:rPr>
  </w:style>
  <w:style w:type="paragraph" w:customStyle="1" w:styleId="Numberedparagraph">
    <w:name w:val="Numbered paragraph"/>
    <w:basedOn w:val="Normal"/>
    <w:qFormat/>
    <w:rsid w:val="00AD49C6"/>
    <w:pPr>
      <w:numPr>
        <w:numId w:val="24"/>
      </w:numPr>
      <w:spacing w:after="120"/>
    </w:pPr>
    <w:rPr>
      <w:rFonts w:cs="Arial"/>
      <w:sz w:val="22"/>
      <w:szCs w:val="20"/>
    </w:rPr>
  </w:style>
  <w:style w:type="paragraph" w:styleId="ListParagraph">
    <w:name w:val="List Paragraph"/>
    <w:basedOn w:val="Normal"/>
    <w:semiHidden/>
    <w:rsid w:val="00AD49C6"/>
    <w:pPr>
      <w:ind w:left="720"/>
      <w:contextualSpacing/>
    </w:pPr>
  </w:style>
  <w:style w:type="paragraph" w:styleId="NormalWeb">
    <w:name w:val="Normal (Web)"/>
    <w:basedOn w:val="Normal"/>
    <w:uiPriority w:val="99"/>
    <w:semiHidden/>
    <w:unhideWhenUsed/>
    <w:rsid w:val="00527B38"/>
    <w:pPr>
      <w:spacing w:before="100" w:beforeAutospacing="1" w:after="100" w:afterAutospacing="1" w:line="240" w:lineRule="auto"/>
    </w:pPr>
    <w:rPr>
      <w:rFonts w:ascii="Times New Roman" w:hAnsi="Times New Roman"/>
      <w:sz w:val="24"/>
    </w:rPr>
  </w:style>
  <w:style w:type="character" w:styleId="Strong">
    <w:name w:val="Strong"/>
    <w:basedOn w:val="DefaultParagraphFont"/>
    <w:uiPriority w:val="22"/>
    <w:qFormat/>
    <w:rsid w:val="00527B38"/>
    <w:rPr>
      <w:b/>
      <w:bCs/>
    </w:rPr>
  </w:style>
  <w:style w:type="paragraph" w:customStyle="1" w:styleId="xxmsonormal">
    <w:name w:val="x_x_msonormal"/>
    <w:basedOn w:val="Normal"/>
    <w:rsid w:val="00427194"/>
    <w:pPr>
      <w:spacing w:after="0" w:line="240" w:lineRule="auto"/>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784553">
      <w:bodyDiv w:val="1"/>
      <w:marLeft w:val="0"/>
      <w:marRight w:val="0"/>
      <w:marTop w:val="0"/>
      <w:marBottom w:val="0"/>
      <w:divBdr>
        <w:top w:val="none" w:sz="0" w:space="0" w:color="auto"/>
        <w:left w:val="none" w:sz="0" w:space="0" w:color="auto"/>
        <w:bottom w:val="none" w:sz="0" w:space="0" w:color="auto"/>
        <w:right w:val="none" w:sz="0" w:space="0" w:color="auto"/>
      </w:divBdr>
    </w:div>
    <w:div w:id="755445823">
      <w:bodyDiv w:val="1"/>
      <w:marLeft w:val="0"/>
      <w:marRight w:val="0"/>
      <w:marTop w:val="0"/>
      <w:marBottom w:val="0"/>
      <w:divBdr>
        <w:top w:val="none" w:sz="0" w:space="0" w:color="auto"/>
        <w:left w:val="none" w:sz="0" w:space="0" w:color="auto"/>
        <w:bottom w:val="none" w:sz="0" w:space="0" w:color="auto"/>
        <w:right w:val="none" w:sz="0" w:space="0" w:color="auto"/>
      </w:divBdr>
    </w:div>
    <w:div w:id="1091975315">
      <w:bodyDiv w:val="1"/>
      <w:marLeft w:val="0"/>
      <w:marRight w:val="0"/>
      <w:marTop w:val="0"/>
      <w:marBottom w:val="0"/>
      <w:divBdr>
        <w:top w:val="none" w:sz="0" w:space="0" w:color="auto"/>
        <w:left w:val="none" w:sz="0" w:space="0" w:color="auto"/>
        <w:bottom w:val="none" w:sz="0" w:space="0" w:color="auto"/>
        <w:right w:val="none" w:sz="0" w:space="0" w:color="auto"/>
      </w:divBdr>
    </w:div>
    <w:div w:id="1332216874">
      <w:bodyDiv w:val="1"/>
      <w:marLeft w:val="0"/>
      <w:marRight w:val="0"/>
      <w:marTop w:val="0"/>
      <w:marBottom w:val="0"/>
      <w:divBdr>
        <w:top w:val="none" w:sz="0" w:space="0" w:color="auto"/>
        <w:left w:val="none" w:sz="0" w:space="0" w:color="auto"/>
        <w:bottom w:val="none" w:sz="0" w:space="0" w:color="auto"/>
        <w:right w:val="none" w:sz="0" w:space="0" w:color="auto"/>
      </w:divBdr>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762068327">
      <w:bodyDiv w:val="1"/>
      <w:marLeft w:val="0"/>
      <w:marRight w:val="0"/>
      <w:marTop w:val="0"/>
      <w:marBottom w:val="0"/>
      <w:divBdr>
        <w:top w:val="none" w:sz="0" w:space="0" w:color="auto"/>
        <w:left w:val="none" w:sz="0" w:space="0" w:color="auto"/>
        <w:bottom w:val="none" w:sz="0" w:space="0" w:color="auto"/>
        <w:right w:val="none" w:sz="0" w:space="0" w:color="auto"/>
      </w:divBdr>
    </w:div>
    <w:div w:id="192591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i.creativecommons.org/l/by/3.0/88x31.png" TargetMode="External"/><Relationship Id="rId18" Type="http://schemas.openxmlformats.org/officeDocument/2006/relationships/footer" Target="footer4.xm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eader" Target="header7.xm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yperlink" Target="https://www.acma.gov.au/consultations/2024-05/planning-options-upper-6-ghz-band" TargetMode="External"/><Relationship Id="rId33" Type="http://schemas.openxmlformats.org/officeDocument/2006/relationships/footer" Target="footer10.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8.xml"/><Relationship Id="rId32"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hyperlink" Target="https://creativecommons.org/licenses/by/4.0/" TargetMode="External"/><Relationship Id="rId23" Type="http://schemas.openxmlformats.org/officeDocument/2006/relationships/footer" Target="footer7.xml"/><Relationship Id="rId28"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6.xml"/><Relationship Id="rId27" Type="http://schemas.openxmlformats.org/officeDocument/2006/relationships/hyperlink" Target="https://www.legislation.gov.au/F2022L00983/asmade/text" TargetMode="External"/><Relationship Id="rId30" Type="http://schemas.openxmlformats.org/officeDocument/2006/relationships/header" Target="header8.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acm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cma.gov.au/consultations/2021-12/replanning-2-ghz-band-review-2-ghz-television-outside-broadcast-frequency-band-plan-consultation-452021" TargetMode="External"/><Relationship Id="rId2" Type="http://schemas.openxmlformats.org/officeDocument/2006/relationships/hyperlink" Target="https://www.acma.gov.au/consultations/2024-05/planning-options-upper-6-ghz-band" TargetMode="External"/><Relationship Id="rId1" Type="http://schemas.openxmlformats.org/officeDocument/2006/relationships/hyperlink" Target="https://www.acma.gov.au/consultations/2024-05/planning-options-upper-6-ghz-band" TargetMode="External"/><Relationship Id="rId4" Type="http://schemas.openxmlformats.org/officeDocument/2006/relationships/hyperlink" Target="https://www.acma.gov.au/consultations/2020-07/planning-options-3700-4200-mhz-band-consultation-22202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FFFFF"/>
      </a:lt2>
      <a:accent1>
        <a:srgbClr val="00A0A4"/>
      </a:accent1>
      <a:accent2>
        <a:srgbClr val="7C426F"/>
      </a:accent2>
      <a:accent3>
        <a:srgbClr val="39457C"/>
      </a:accent3>
      <a:accent4>
        <a:srgbClr val="85BEC2"/>
      </a:accent4>
      <a:accent5>
        <a:srgbClr val="CBB6CA"/>
      </a:accent5>
      <a:accent6>
        <a:srgbClr val="D3E5E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7725</Words>
  <Characters>44033</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51655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2024-12-16T23:04:00Z</dcterms:created>
  <dcterms:modified xsi:type="dcterms:W3CDTF">2024-12-16T23:04:00Z</dcterms:modified>
  <cp:category/>
</cp:coreProperties>
</file>