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DCD0C" w14:textId="44AFE2C0" w:rsidR="003C5144" w:rsidRPr="003C5144" w:rsidRDefault="003C5144" w:rsidP="003C5144">
      <w:pPr>
        <w:spacing w:after="0" w:line="240" w:lineRule="auto"/>
        <w:rPr>
          <w:rFonts w:ascii="Arial" w:eastAsia="Times New Roman" w:hAnsi="Arial" w:cs="Arial"/>
        </w:rPr>
      </w:pPr>
      <w:bookmarkStart w:id="0" w:name="_Hlk134529540"/>
      <w:r w:rsidRPr="003C5144">
        <w:rPr>
          <w:rFonts w:ascii="Arial" w:eastAsia="Times New Roman" w:hAnsi="Arial" w:cs="Arial"/>
        </w:rPr>
        <w:t>Ms Joanna Abhayaratna</w:t>
      </w:r>
    </w:p>
    <w:p w14:paraId="6EF02A5C" w14:textId="77777777" w:rsidR="003C5144" w:rsidRPr="003C5144" w:rsidRDefault="003C5144" w:rsidP="003C5144">
      <w:pPr>
        <w:spacing w:after="0" w:line="240" w:lineRule="auto"/>
        <w:rPr>
          <w:rFonts w:ascii="Arial" w:eastAsia="Times New Roman" w:hAnsi="Arial" w:cs="Arial"/>
        </w:rPr>
      </w:pPr>
      <w:r w:rsidRPr="003C5144">
        <w:rPr>
          <w:rFonts w:ascii="Arial" w:eastAsia="Times New Roman" w:hAnsi="Arial" w:cs="Arial"/>
        </w:rPr>
        <w:t>Executive Director</w:t>
      </w:r>
    </w:p>
    <w:p w14:paraId="0E9605EF" w14:textId="77777777" w:rsidR="003C5144" w:rsidRPr="003C5144" w:rsidRDefault="003C5144" w:rsidP="003C5144">
      <w:pPr>
        <w:spacing w:after="0" w:line="240" w:lineRule="auto"/>
        <w:rPr>
          <w:rFonts w:ascii="Arial" w:eastAsia="Times New Roman" w:hAnsi="Arial" w:cs="Arial"/>
        </w:rPr>
      </w:pPr>
      <w:r w:rsidRPr="003C5144">
        <w:rPr>
          <w:rFonts w:ascii="Arial" w:eastAsia="Times New Roman" w:hAnsi="Arial" w:cs="Arial"/>
        </w:rPr>
        <w:t>Office of Impact Analysis</w:t>
      </w:r>
    </w:p>
    <w:p w14:paraId="2C6E54B4" w14:textId="77777777" w:rsidR="003C5144" w:rsidRPr="003C5144" w:rsidRDefault="003C5144" w:rsidP="003C5144">
      <w:pPr>
        <w:spacing w:after="0" w:line="240" w:lineRule="auto"/>
        <w:rPr>
          <w:rFonts w:ascii="Arial" w:eastAsia="Times New Roman" w:hAnsi="Arial" w:cs="Arial"/>
        </w:rPr>
      </w:pPr>
      <w:r w:rsidRPr="003C5144">
        <w:rPr>
          <w:rFonts w:ascii="Arial" w:eastAsia="Times New Roman" w:hAnsi="Arial" w:cs="Arial"/>
        </w:rPr>
        <w:t>Department of the Prime Minister and Cabinet</w:t>
      </w:r>
    </w:p>
    <w:p w14:paraId="1FB43DAE" w14:textId="77777777" w:rsidR="003C5144" w:rsidRPr="003C5144" w:rsidRDefault="003C5144" w:rsidP="003C5144">
      <w:pPr>
        <w:spacing w:after="0" w:line="240" w:lineRule="auto"/>
        <w:rPr>
          <w:rFonts w:ascii="Arial" w:eastAsia="Times New Roman" w:hAnsi="Arial" w:cs="Arial"/>
        </w:rPr>
      </w:pPr>
      <w:r w:rsidRPr="003C5144">
        <w:rPr>
          <w:rFonts w:ascii="Arial" w:eastAsia="Times New Roman" w:hAnsi="Arial" w:cs="Arial"/>
        </w:rPr>
        <w:t>1 National Circuit</w:t>
      </w:r>
    </w:p>
    <w:p w14:paraId="60AF1034" w14:textId="77777777" w:rsidR="003C5144" w:rsidRPr="003C5144" w:rsidRDefault="003C5144" w:rsidP="003C5144">
      <w:pPr>
        <w:spacing w:after="0" w:line="240" w:lineRule="auto"/>
        <w:rPr>
          <w:rFonts w:ascii="Arial" w:eastAsia="Times New Roman" w:hAnsi="Arial" w:cs="Arial"/>
        </w:rPr>
      </w:pPr>
      <w:r w:rsidRPr="003C5144">
        <w:rPr>
          <w:rFonts w:ascii="Arial" w:eastAsia="Times New Roman" w:hAnsi="Arial" w:cs="Arial"/>
        </w:rPr>
        <w:t>BARTON ACT 2600</w:t>
      </w:r>
    </w:p>
    <w:p w14:paraId="370D8C7C" w14:textId="77777777" w:rsidR="003C5144" w:rsidRPr="003C5144" w:rsidRDefault="003C5144" w:rsidP="003C5144">
      <w:pPr>
        <w:spacing w:before="160" w:after="240" w:line="240" w:lineRule="atLeast"/>
        <w:rPr>
          <w:rFonts w:ascii="Arial" w:eastAsia="Times New Roman" w:hAnsi="Arial" w:cs="Arial"/>
        </w:rPr>
      </w:pPr>
      <w:r w:rsidRPr="003C5144">
        <w:rPr>
          <w:rFonts w:ascii="Arial" w:eastAsia="Times New Roman" w:hAnsi="Arial" w:cs="Arial"/>
        </w:rPr>
        <w:t>Email: Helpdesk-OIA@pmc.gov.au</w:t>
      </w:r>
    </w:p>
    <w:p w14:paraId="4A8949EB" w14:textId="5319D333" w:rsidR="005F43C4" w:rsidRPr="000A6D08" w:rsidRDefault="005F43C4" w:rsidP="002D7C58">
      <w:pPr>
        <w:pStyle w:val="Filereference"/>
        <w:spacing w:after="120" w:line="240" w:lineRule="auto"/>
      </w:pPr>
      <w:r w:rsidRPr="000A6D08">
        <w:t>ACMA file reference</w:t>
      </w:r>
      <w:r w:rsidR="00145BAC" w:rsidRPr="000A6D08">
        <w:t xml:space="preserve"> </w:t>
      </w:r>
      <w:r w:rsidR="00C16202" w:rsidRPr="000A6D08">
        <w:t>ACMA2024/1022</w:t>
      </w:r>
    </w:p>
    <w:p w14:paraId="0FE590F8" w14:textId="1513A45C" w:rsidR="005F43C4" w:rsidRPr="000A6D08" w:rsidRDefault="005F43C4" w:rsidP="002D7C58">
      <w:pPr>
        <w:pStyle w:val="Recipientsalutation"/>
        <w:spacing w:before="0" w:after="120" w:line="240" w:lineRule="auto"/>
      </w:pPr>
      <w:r w:rsidRPr="000A6D08">
        <w:t xml:space="preserve">Dear </w:t>
      </w:r>
      <w:r w:rsidR="003C5144" w:rsidRPr="000A6D08">
        <w:t xml:space="preserve">Ms </w:t>
      </w:r>
      <w:r w:rsidR="003C5144" w:rsidRPr="003C5144">
        <w:rPr>
          <w:rFonts w:cs="Arial"/>
          <w:szCs w:val="22"/>
        </w:rPr>
        <w:t>Abhayaratna</w:t>
      </w:r>
    </w:p>
    <w:p w14:paraId="74F73057" w14:textId="52014B4B" w:rsidR="005F43C4" w:rsidRPr="000A6D08" w:rsidRDefault="003C5144" w:rsidP="002D7C58">
      <w:pPr>
        <w:pStyle w:val="Subject"/>
        <w:spacing w:after="120" w:line="240" w:lineRule="auto"/>
      </w:pPr>
      <w:r w:rsidRPr="000A6D08">
        <w:t>Certification as Impact Analysis Equivalent – Future use of the upper 6 GHz band</w:t>
      </w:r>
    </w:p>
    <w:p w14:paraId="389EF03F" w14:textId="0F7BD504" w:rsidR="003C5144" w:rsidRPr="000A6D08" w:rsidRDefault="002D7C58" w:rsidP="002D7C58">
      <w:pPr>
        <w:pStyle w:val="Bodycopy"/>
        <w:spacing w:line="240" w:lineRule="auto"/>
      </w:pPr>
      <w:r>
        <w:t xml:space="preserve">The ACMA has undertaken an extensive review of planning options for the future use of the upper 6GHz radiocommunications spectrum band. </w:t>
      </w:r>
      <w:r w:rsidR="003C5144" w:rsidRPr="000A6D08">
        <w:t xml:space="preserve">I am writing to certify that </w:t>
      </w:r>
      <w:r>
        <w:t xml:space="preserve">this </w:t>
      </w:r>
      <w:r w:rsidR="003C5144" w:rsidRPr="000A6D08">
        <w:t xml:space="preserve">review has undertaken a process and analysis equivalent to an Impact Analysis (IA). </w:t>
      </w:r>
    </w:p>
    <w:p w14:paraId="44736F69" w14:textId="26377772" w:rsidR="003C5144" w:rsidRPr="000A6D08" w:rsidRDefault="003C5144" w:rsidP="002D7C58">
      <w:pPr>
        <w:pStyle w:val="Bodycopy"/>
        <w:spacing w:line="240" w:lineRule="auto"/>
      </w:pPr>
      <w:r w:rsidRPr="000A6D08">
        <w:t>I certify that the documents listed below adequately address all seven IA questions for the purposes of informing a planning decision on the future use of the upper 6 GHz band.</w:t>
      </w:r>
      <w:r w:rsidR="007B0A29">
        <w:t xml:space="preserve"> The Annexure provides more details on where each of the seven IA questions have been addressed.</w:t>
      </w:r>
    </w:p>
    <w:p w14:paraId="4F3C7237" w14:textId="77777777" w:rsidR="003C5144" w:rsidRPr="000A6D08" w:rsidRDefault="00F649DD" w:rsidP="002D7C58">
      <w:pPr>
        <w:pStyle w:val="Bulletpointlast"/>
        <w:spacing w:after="120" w:line="240" w:lineRule="auto"/>
        <w:ind w:left="284" w:hanging="284"/>
        <w:rPr>
          <w:szCs w:val="22"/>
        </w:rPr>
      </w:pPr>
      <w:hyperlink r:id="rId7" w:history="1">
        <w:r w:rsidR="003C5144" w:rsidRPr="000A6D08">
          <w:rPr>
            <w:rStyle w:val="Hyperlink"/>
            <w:szCs w:val="22"/>
          </w:rPr>
          <w:t>Options paper: Future use of the upper 6 GHz band</w:t>
        </w:r>
      </w:hyperlink>
    </w:p>
    <w:p w14:paraId="5CF698BF" w14:textId="77777777" w:rsidR="003C5144" w:rsidRPr="000A6D08" w:rsidRDefault="00F649DD" w:rsidP="002D7C58">
      <w:pPr>
        <w:pStyle w:val="Bulletpointlast"/>
        <w:spacing w:after="120" w:line="240" w:lineRule="auto"/>
        <w:ind w:left="284" w:hanging="284"/>
        <w:rPr>
          <w:rFonts w:cs="Arial"/>
          <w:color w:val="auto"/>
          <w:szCs w:val="22"/>
          <w:lang w:eastAsia="en-US"/>
        </w:rPr>
      </w:pPr>
      <w:hyperlink r:id="rId8" w:history="1">
        <w:r w:rsidR="003C5144" w:rsidRPr="000A6D08">
          <w:rPr>
            <w:rStyle w:val="Hyperlink"/>
            <w:rFonts w:cs="Arial"/>
            <w:szCs w:val="22"/>
            <w:lang w:eastAsia="en-US"/>
          </w:rPr>
          <w:t>Submissions - Planning options in the upper 6 GHz band</w:t>
        </w:r>
      </w:hyperlink>
    </w:p>
    <w:p w14:paraId="7B4EBF62" w14:textId="53757F9E" w:rsidR="003C5144" w:rsidRPr="000A6D08" w:rsidRDefault="003C5144" w:rsidP="002D7C58">
      <w:pPr>
        <w:pStyle w:val="Bulletpointlast"/>
        <w:spacing w:after="120" w:line="240" w:lineRule="auto"/>
        <w:ind w:left="284" w:hanging="284"/>
        <w:rPr>
          <w:color w:val="auto"/>
        </w:rPr>
      </w:pPr>
      <w:r w:rsidRPr="000A6D08">
        <w:rPr>
          <w:u w:color="0000FF"/>
        </w:rPr>
        <w:t>Outcomes paper: Future use of upper 6 GHz band</w:t>
      </w:r>
      <w:r w:rsidR="0074242E" w:rsidRPr="000A6D08">
        <w:rPr>
          <w:u w:color="0000FF"/>
        </w:rPr>
        <w:t xml:space="preserve"> (draft attached to this letter)</w:t>
      </w:r>
    </w:p>
    <w:p w14:paraId="0EADB254" w14:textId="1B85F6C6" w:rsidR="003C5144" w:rsidRPr="000A6D08" w:rsidRDefault="003C5144" w:rsidP="002D7C58">
      <w:pPr>
        <w:pStyle w:val="Bodycopy"/>
        <w:spacing w:line="240" w:lineRule="auto"/>
      </w:pPr>
      <w:r w:rsidRPr="000A6D08">
        <w:t>I am satisfied that the scope of the problem and the recommendations identified in the Impact Analysis Equivalent are substantially the same as the identified problem and recommendations in the policy proposal.</w:t>
      </w:r>
    </w:p>
    <w:p w14:paraId="23C766E6" w14:textId="7BA17A30" w:rsidR="0074242E" w:rsidRPr="000A6D08" w:rsidRDefault="00AF4B9C" w:rsidP="002D7C58">
      <w:pPr>
        <w:pStyle w:val="Bodycopy"/>
        <w:spacing w:line="240" w:lineRule="auto"/>
      </w:pPr>
      <w:r>
        <w:rPr>
          <w:szCs w:val="20"/>
        </w:rPr>
        <w:t xml:space="preserve">The preferred planning decision is expected to yield significant social and economic benefits for Australian business and </w:t>
      </w:r>
      <w:r w:rsidR="007B0A29">
        <w:rPr>
          <w:szCs w:val="20"/>
        </w:rPr>
        <w:t xml:space="preserve">the </w:t>
      </w:r>
      <w:r>
        <w:rPr>
          <w:szCs w:val="20"/>
        </w:rPr>
        <w:t xml:space="preserve">community. While the economic benefit projections are difficult to produce with high degree of accuracy, the impact analysis </w:t>
      </w:r>
      <w:r w:rsidR="0095246E">
        <w:rPr>
          <w:szCs w:val="20"/>
        </w:rPr>
        <w:t xml:space="preserve">in the Outcomes paper </w:t>
      </w:r>
      <w:r>
        <w:rPr>
          <w:szCs w:val="20"/>
        </w:rPr>
        <w:t>indicates that the economic benefits of the preferred planning decision will outweigh the regulatory costs by an order o</w:t>
      </w:r>
      <w:r w:rsidR="0095246E">
        <w:rPr>
          <w:szCs w:val="20"/>
        </w:rPr>
        <w:t>f</w:t>
      </w:r>
      <w:r>
        <w:rPr>
          <w:szCs w:val="20"/>
        </w:rPr>
        <w:t xml:space="preserve"> magnitude. </w:t>
      </w:r>
      <w:r w:rsidR="0074242E" w:rsidRPr="000A6D08">
        <w:rPr>
          <w:szCs w:val="20"/>
        </w:rPr>
        <w:t xml:space="preserve">The </w:t>
      </w:r>
      <w:r w:rsidR="0074242E" w:rsidRPr="000A6D08">
        <w:t xml:space="preserve">regulatory burden to business, community organisations or individuals is quantified using the Australian Government’s </w:t>
      </w:r>
      <w:r w:rsidR="0074242E" w:rsidRPr="000A6D08">
        <w:rPr>
          <w:i/>
        </w:rPr>
        <w:t xml:space="preserve">Regulatory Burden Measurement </w:t>
      </w:r>
      <w:r w:rsidR="0074242E" w:rsidRPr="000A6D08">
        <w:t>framework and is provided below.</w:t>
      </w:r>
    </w:p>
    <w:p w14:paraId="3036E2C9" w14:textId="77777777" w:rsidR="0074242E" w:rsidRPr="000A6D08" w:rsidRDefault="0074242E" w:rsidP="002D7C58">
      <w:pPr>
        <w:pStyle w:val="Heading2"/>
        <w:spacing w:before="0" w:after="120" w:line="240" w:lineRule="auto"/>
      </w:pPr>
      <w:r w:rsidRPr="000A6D08">
        <w:t>Regulatory burden estimate table</w:t>
      </w:r>
    </w:p>
    <w:tbl>
      <w:tblPr>
        <w:tblStyle w:val="LightGrid-Accent2"/>
        <w:tblW w:w="935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74242E" w:rsidRPr="000A6D08" w14:paraId="55FBF114" w14:textId="77777777" w:rsidTr="00990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222A35" w:themeFill="text2" w:themeFillShade="80"/>
            <w:noWrap/>
          </w:tcPr>
          <w:p w14:paraId="44A701C6" w14:textId="77777777" w:rsidR="0074242E" w:rsidRPr="000A6D08" w:rsidRDefault="0074242E" w:rsidP="002D7C58">
            <w:pPr>
              <w:spacing w:after="120"/>
              <w:rPr>
                <w:rFonts w:ascii="Arial" w:hAnsi="Arial" w:cs="Arial"/>
                <w:sz w:val="20"/>
              </w:rPr>
            </w:pPr>
            <w:r w:rsidRPr="000A6D08">
              <w:rPr>
                <w:rFonts w:ascii="Arial" w:hAnsi="Arial" w:cs="Arial"/>
                <w:sz w:val="20"/>
              </w:rPr>
              <w:t>Average annual regulatory costs (from business as usual)</w:t>
            </w:r>
          </w:p>
        </w:tc>
      </w:tr>
      <w:tr w:rsidR="0074242E" w:rsidRPr="000A6D08" w14:paraId="5A809AFC" w14:textId="77777777" w:rsidTr="00990E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3D5C788A" w14:textId="77777777" w:rsidR="0074242E" w:rsidRPr="000A6D08" w:rsidRDefault="0074242E" w:rsidP="002D7C58">
            <w:pPr>
              <w:pStyle w:val="TableText"/>
              <w:spacing w:before="0"/>
              <w:rPr>
                <w:b w:val="0"/>
              </w:rPr>
            </w:pPr>
            <w:r w:rsidRPr="000A6D08">
              <w:rPr>
                <w:b w:val="0"/>
              </w:rPr>
              <w:t>Change in costs ($ million)</w:t>
            </w:r>
          </w:p>
        </w:tc>
        <w:tc>
          <w:tcPr>
            <w:tcW w:w="1871" w:type="dxa"/>
            <w:noWrap/>
          </w:tcPr>
          <w:p w14:paraId="1F890BAB" w14:textId="77777777" w:rsidR="0074242E" w:rsidRPr="000A6D08" w:rsidRDefault="0074242E" w:rsidP="002D7C58">
            <w:pPr>
              <w:pStyle w:val="TableTex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D08">
              <w:t>Business</w:t>
            </w:r>
          </w:p>
        </w:tc>
        <w:tc>
          <w:tcPr>
            <w:tcW w:w="1871" w:type="dxa"/>
            <w:noWrap/>
          </w:tcPr>
          <w:p w14:paraId="6791682D" w14:textId="77777777" w:rsidR="0074242E" w:rsidRPr="000A6D08" w:rsidRDefault="0074242E" w:rsidP="002D7C5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A6D08">
              <w:rPr>
                <w:rFonts w:ascii="Arial" w:hAnsi="Arial" w:cs="Arial"/>
                <w:sz w:val="20"/>
              </w:rPr>
              <w:t>Community organisations</w:t>
            </w:r>
          </w:p>
        </w:tc>
        <w:tc>
          <w:tcPr>
            <w:tcW w:w="1871" w:type="dxa"/>
            <w:noWrap/>
          </w:tcPr>
          <w:p w14:paraId="50566402" w14:textId="77777777" w:rsidR="0074242E" w:rsidRPr="000A6D08" w:rsidRDefault="0074242E" w:rsidP="002D7C5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A6D08">
              <w:rPr>
                <w:rFonts w:ascii="Arial" w:hAnsi="Arial" w:cs="Arial"/>
                <w:sz w:val="20"/>
              </w:rPr>
              <w:t>Individuals</w:t>
            </w:r>
          </w:p>
        </w:tc>
        <w:tc>
          <w:tcPr>
            <w:tcW w:w="1872" w:type="dxa"/>
            <w:noWrap/>
          </w:tcPr>
          <w:p w14:paraId="1D477C84" w14:textId="77777777" w:rsidR="0074242E" w:rsidRPr="000A6D08" w:rsidRDefault="0074242E" w:rsidP="002D7C5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A6D08">
              <w:rPr>
                <w:rFonts w:ascii="Arial" w:hAnsi="Arial" w:cs="Arial"/>
                <w:sz w:val="20"/>
              </w:rPr>
              <w:t>Total change in costs</w:t>
            </w:r>
          </w:p>
        </w:tc>
      </w:tr>
      <w:tr w:rsidR="0074242E" w:rsidRPr="000A6D08" w14:paraId="70B78A60" w14:textId="77777777" w:rsidTr="00990E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2C696E2" w14:textId="77777777" w:rsidR="0074242E" w:rsidRPr="000A6D08" w:rsidRDefault="0074242E" w:rsidP="002D7C58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  <w:r w:rsidRPr="000A6D08">
              <w:rPr>
                <w:rFonts w:ascii="Arial" w:hAnsi="Arial" w:cs="Arial"/>
                <w:b w:val="0"/>
                <w:sz w:val="20"/>
              </w:rPr>
              <w:t>Total, by sector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7970DB4" w14:textId="53E7DF64" w:rsidR="0074242E" w:rsidRPr="000A6D08" w:rsidRDefault="0074242E" w:rsidP="002D7C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A6D08">
              <w:rPr>
                <w:rFonts w:ascii="Arial" w:hAnsi="Arial" w:cs="Arial"/>
                <w:sz w:val="20"/>
              </w:rPr>
              <w:t>$</w:t>
            </w:r>
            <w:r w:rsidR="00817275" w:rsidRPr="000A6D08">
              <w:rPr>
                <w:rFonts w:ascii="Arial" w:hAnsi="Arial" w:cs="Arial"/>
                <w:sz w:val="20"/>
              </w:rPr>
              <w:t>33</w:t>
            </w:r>
            <w:r w:rsidR="00AF4B9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8F595AC" w14:textId="37EFF81F" w:rsidR="0074242E" w:rsidRPr="000A6D08" w:rsidRDefault="0074242E" w:rsidP="002D7C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A6D08">
              <w:rPr>
                <w:rFonts w:ascii="Arial" w:hAnsi="Arial" w:cs="Arial"/>
                <w:sz w:val="20"/>
              </w:rPr>
              <w:t>$</w:t>
            </w:r>
            <w:r w:rsidR="00817275" w:rsidRPr="000A6D0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07BB4CF" w14:textId="0C0E935C" w:rsidR="0074242E" w:rsidRPr="000A6D08" w:rsidRDefault="0074242E" w:rsidP="002D7C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A6D08">
              <w:rPr>
                <w:rFonts w:ascii="Arial" w:hAnsi="Arial" w:cs="Arial"/>
                <w:sz w:val="20"/>
              </w:rPr>
              <w:t>$</w:t>
            </w:r>
            <w:r w:rsidR="00817275" w:rsidRPr="000A6D0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4D4546C" w14:textId="0171F472" w:rsidR="0074242E" w:rsidRPr="000A6D08" w:rsidRDefault="0074242E" w:rsidP="002D7C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A6D08">
              <w:rPr>
                <w:rFonts w:ascii="Arial" w:hAnsi="Arial" w:cs="Arial"/>
                <w:sz w:val="20"/>
              </w:rPr>
              <w:t>$</w:t>
            </w:r>
            <w:r w:rsidR="00817275" w:rsidRPr="000A6D08">
              <w:rPr>
                <w:rFonts w:ascii="Arial" w:hAnsi="Arial" w:cs="Arial"/>
                <w:sz w:val="20"/>
              </w:rPr>
              <w:t>33</w:t>
            </w:r>
            <w:r w:rsidR="00AF4B9C">
              <w:rPr>
                <w:rFonts w:ascii="Arial" w:hAnsi="Arial" w:cs="Arial"/>
                <w:sz w:val="20"/>
              </w:rPr>
              <w:t>m</w:t>
            </w:r>
          </w:p>
        </w:tc>
      </w:tr>
    </w:tbl>
    <w:p w14:paraId="0F773E6D" w14:textId="708BBF63" w:rsidR="00817275" w:rsidRPr="000A6D08" w:rsidRDefault="002D7C58" w:rsidP="002D7C58">
      <w:pPr>
        <w:pStyle w:val="Bodycopy"/>
        <w:spacing w:line="240" w:lineRule="auto"/>
      </w:pPr>
      <w:r>
        <w:br/>
      </w:r>
      <w:r w:rsidR="00817275" w:rsidRPr="000A6D08">
        <w:t xml:space="preserve">Accordingly, I am satisfied that the attached report is consistent with the </w:t>
      </w:r>
      <w:r w:rsidR="00817275" w:rsidRPr="000A6D08">
        <w:rPr>
          <w:i/>
        </w:rPr>
        <w:t>Australian Government Guide to Policy Impact Analysis</w:t>
      </w:r>
      <w:r w:rsidR="00817275" w:rsidRPr="000A6D08">
        <w:t>.</w:t>
      </w:r>
    </w:p>
    <w:p w14:paraId="72A76C89" w14:textId="77777777" w:rsidR="005F43C4" w:rsidRDefault="005F43C4" w:rsidP="002D7C58">
      <w:pPr>
        <w:pStyle w:val="Signoff"/>
        <w:spacing w:after="120" w:line="240" w:lineRule="auto"/>
      </w:pPr>
      <w:r w:rsidRPr="000A6D08">
        <w:t>Yours sincerely</w:t>
      </w:r>
    </w:p>
    <w:p w14:paraId="64A7EDF5" w14:textId="28B98FC8" w:rsidR="002D7C58" w:rsidRPr="000A6D08" w:rsidRDefault="002D7C58" w:rsidP="002D7C58">
      <w:pPr>
        <w:pStyle w:val="Signoff"/>
        <w:spacing w:after="120" w:line="240" w:lineRule="auto"/>
      </w:pPr>
    </w:p>
    <w:p w14:paraId="1BFBA6D4" w14:textId="77777777" w:rsidR="005F43C4" w:rsidRPr="000A6D08" w:rsidRDefault="005F43C4" w:rsidP="002D7C58">
      <w:pPr>
        <w:pStyle w:val="Sendername"/>
        <w:spacing w:after="0" w:line="240" w:lineRule="auto"/>
      </w:pPr>
      <w:r w:rsidRPr="000A6D08">
        <w:t>Nerida O’Loughlin PSM</w:t>
      </w:r>
    </w:p>
    <w:bookmarkStart w:id="1" w:name="_GoBack"/>
    <w:bookmarkEnd w:id="1"/>
    <w:p w14:paraId="203BCB97" w14:textId="45090FDA" w:rsidR="005F43C4" w:rsidRDefault="005F43C4" w:rsidP="002D7C58">
      <w:pPr>
        <w:pStyle w:val="Senderdate"/>
        <w:spacing w:after="120" w:line="240" w:lineRule="auto"/>
      </w:pPr>
      <w:r w:rsidRPr="000A6D08">
        <w:fldChar w:fldCharType="begin"/>
      </w:r>
      <w:r w:rsidRPr="000A6D08">
        <w:instrText xml:space="preserve"> DATE \@ "MMMM yyyy" </w:instrText>
      </w:r>
      <w:r w:rsidRPr="000A6D08">
        <w:fldChar w:fldCharType="separate"/>
      </w:r>
      <w:r w:rsidR="00C97A86">
        <w:rPr>
          <w:noProof/>
        </w:rPr>
        <w:t>December 2024</w:t>
      </w:r>
      <w:r w:rsidRPr="000A6D08">
        <w:fldChar w:fldCharType="end"/>
      </w:r>
    </w:p>
    <w:p w14:paraId="30FE18A7" w14:textId="1EAB1BF4" w:rsidR="002D7C58" w:rsidRDefault="002D7C58" w:rsidP="00BA7BF5">
      <w:pPr>
        <w:pStyle w:val="Senderdate"/>
        <w:spacing w:after="120" w:line="240" w:lineRule="auto"/>
        <w:ind w:left="0"/>
        <w:rPr>
          <w:bCs/>
          <w:iCs/>
        </w:rPr>
      </w:pPr>
      <w:r>
        <w:t>Attachment: Draft: Future use of the upper 6GHz Band – Outcomes Paper</w:t>
      </w:r>
      <w:bookmarkEnd w:id="0"/>
      <w:r>
        <w:rPr>
          <w:bCs/>
          <w:iCs/>
        </w:rPr>
        <w:br w:type="page"/>
      </w:r>
    </w:p>
    <w:p w14:paraId="2B4413E8" w14:textId="3BE4CE5A" w:rsidR="00EF0B56" w:rsidRDefault="000A6D08" w:rsidP="00EF0B56">
      <w:pPr>
        <w:pStyle w:val="SignOffDetails"/>
        <w:tabs>
          <w:tab w:val="left" w:pos="560"/>
        </w:tabs>
        <w:spacing w:line="240" w:lineRule="auto"/>
        <w:ind w:left="560" w:hanging="560"/>
        <w:rPr>
          <w:b/>
          <w:bCs/>
          <w:sz w:val="22"/>
          <w:szCs w:val="22"/>
        </w:rPr>
      </w:pPr>
      <w:r w:rsidRPr="000A6D08">
        <w:rPr>
          <w:b/>
          <w:bCs/>
          <w:sz w:val="22"/>
          <w:szCs w:val="22"/>
        </w:rPr>
        <w:lastRenderedPageBreak/>
        <w:t>ANNEXURE</w:t>
      </w:r>
    </w:p>
    <w:tbl>
      <w:tblPr>
        <w:tblpPr w:leftFromText="180" w:rightFromText="180" w:vertAnchor="page" w:horzAnchor="margin" w:tblpY="2896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2161"/>
        <w:gridCol w:w="4252"/>
      </w:tblGrid>
      <w:tr w:rsidR="000A6D08" w:rsidRPr="000A6D08" w14:paraId="2C812659" w14:textId="77777777" w:rsidTr="000A6D08">
        <w:trPr>
          <w:trHeight w:val="582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9651" w14:textId="77777777" w:rsidR="000A6D08" w:rsidRPr="000A6D08" w:rsidRDefault="000A6D08" w:rsidP="000A6D08">
            <w:pPr>
              <w:rPr>
                <w:rFonts w:ascii="Arial" w:hAnsi="Arial" w:cs="Arial"/>
                <w:b/>
                <w:bCs/>
              </w:rPr>
            </w:pPr>
            <w:r w:rsidRPr="000A6D08"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7EA3" w14:textId="77777777" w:rsidR="000A6D08" w:rsidRPr="000A6D08" w:rsidRDefault="000A6D08" w:rsidP="000A6D08">
            <w:pPr>
              <w:rPr>
                <w:rFonts w:ascii="Arial" w:hAnsi="Arial" w:cs="Arial"/>
                <w:b/>
                <w:bCs/>
              </w:rPr>
            </w:pPr>
            <w:r w:rsidRPr="000A6D08">
              <w:rPr>
                <w:rFonts w:ascii="Arial" w:hAnsi="Arial" w:cs="Arial"/>
                <w:b/>
                <w:bCs/>
              </w:rPr>
              <w:t>Document used to address question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0B8E" w14:textId="77777777" w:rsidR="000A6D08" w:rsidRPr="000A6D08" w:rsidRDefault="000A6D08" w:rsidP="000A6D08">
            <w:pPr>
              <w:rPr>
                <w:rFonts w:ascii="Arial" w:hAnsi="Arial" w:cs="Arial"/>
                <w:b/>
                <w:bCs/>
              </w:rPr>
            </w:pPr>
            <w:r w:rsidRPr="000A6D08">
              <w:rPr>
                <w:rFonts w:ascii="Arial" w:hAnsi="Arial" w:cs="Arial"/>
                <w:b/>
                <w:bCs/>
              </w:rPr>
              <w:t>Evidence</w:t>
            </w:r>
          </w:p>
        </w:tc>
      </w:tr>
      <w:tr w:rsidR="000A6D08" w:rsidRPr="00A43976" w14:paraId="735E8B77" w14:textId="77777777" w:rsidTr="000A6D08">
        <w:trPr>
          <w:trHeight w:val="364"/>
        </w:trPr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DD0D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1. What is the policy problem you are trying to solve and what data is available?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28D1" w14:textId="0C6C7D48" w:rsidR="000A6D08" w:rsidRPr="00A43976" w:rsidRDefault="00563AC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Options</w:t>
            </w:r>
            <w:r w:rsidR="000A6D08" w:rsidRPr="00A43976">
              <w:rPr>
                <w:rFonts w:ascii="Arial" w:hAnsi="Arial" w:cs="Arial"/>
              </w:rPr>
              <w:t xml:space="preserve"> paper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C5BF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Legislative and policy environment (p. 6)</w:t>
            </w:r>
          </w:p>
          <w:p w14:paraId="718E18E9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Case for action (p. 09-10)</w:t>
            </w:r>
          </w:p>
        </w:tc>
      </w:tr>
      <w:tr w:rsidR="000A6D08" w:rsidRPr="00A43976" w14:paraId="6148CFD3" w14:textId="77777777" w:rsidTr="000A6D08">
        <w:trPr>
          <w:trHeight w:val="9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958EF" w14:textId="77777777" w:rsidR="000A6D08" w:rsidRPr="00A43976" w:rsidRDefault="000A6D08" w:rsidP="000A6D08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7050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Outcomes paper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7C56" w14:textId="3F7AEAF0" w:rsidR="000A6D08" w:rsidRPr="00A43976" w:rsidRDefault="009D0B9E" w:rsidP="009D0B9E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 xml:space="preserve">Introduction (p.3) and </w:t>
            </w:r>
            <w:r w:rsidR="000A6D08" w:rsidRPr="00A43976">
              <w:rPr>
                <w:rFonts w:ascii="Arial" w:hAnsi="Arial" w:cs="Arial"/>
              </w:rPr>
              <w:t>Quantitative cost benefit analysis (p</w:t>
            </w:r>
            <w:r w:rsidRPr="00A43976">
              <w:rPr>
                <w:rFonts w:ascii="Arial" w:hAnsi="Arial" w:cs="Arial"/>
              </w:rPr>
              <w:t>.</w:t>
            </w:r>
            <w:r w:rsidR="000A6D08" w:rsidRPr="00A43976">
              <w:rPr>
                <w:rFonts w:ascii="Arial" w:hAnsi="Arial" w:cs="Arial"/>
              </w:rPr>
              <w:t xml:space="preserve"> 14-16)  </w:t>
            </w:r>
          </w:p>
        </w:tc>
      </w:tr>
      <w:tr w:rsidR="000A6D08" w:rsidRPr="00A43976" w14:paraId="4F53A30D" w14:textId="77777777" w:rsidTr="000A6D08">
        <w:trPr>
          <w:trHeight w:val="1092"/>
        </w:trPr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9B0A9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2. What are the objectives, why is government intervention needed to achieve them, and how will success be measured?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2986" w14:textId="0BCEA91E" w:rsidR="000A6D08" w:rsidRPr="00A43976" w:rsidRDefault="00563AC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Options paper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C342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Case for action (p. 09-10)</w:t>
            </w:r>
          </w:p>
        </w:tc>
      </w:tr>
      <w:tr w:rsidR="000A6D08" w:rsidRPr="00A43976" w14:paraId="0DBD0CA4" w14:textId="77777777" w:rsidTr="000A6D08">
        <w:trPr>
          <w:trHeight w:val="5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30F19" w14:textId="77777777" w:rsidR="000A6D08" w:rsidRPr="00A43976" w:rsidRDefault="000A6D08" w:rsidP="000A6D08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2911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Outcomes paper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5C1A" w14:textId="3995E1FB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Introduction (p</w:t>
            </w:r>
            <w:r w:rsidR="009D0B9E" w:rsidRPr="00A43976">
              <w:rPr>
                <w:rFonts w:ascii="Arial" w:hAnsi="Arial" w:cs="Arial"/>
              </w:rPr>
              <w:t>.</w:t>
            </w:r>
            <w:r w:rsidRPr="00A43976">
              <w:rPr>
                <w:rFonts w:ascii="Arial" w:hAnsi="Arial" w:cs="Arial"/>
              </w:rPr>
              <w:t xml:space="preserve"> 3) a</w:t>
            </w:r>
            <w:r w:rsidR="009D0B9E" w:rsidRPr="00A43976">
              <w:rPr>
                <w:rFonts w:ascii="Arial" w:hAnsi="Arial" w:cs="Arial"/>
              </w:rPr>
              <w:t>nd Assessment against the d</w:t>
            </w:r>
            <w:r w:rsidRPr="00A43976">
              <w:rPr>
                <w:rFonts w:ascii="Arial" w:hAnsi="Arial" w:cs="Arial"/>
              </w:rPr>
              <w:t>esirable planning outcomes (p</w:t>
            </w:r>
            <w:r w:rsidR="009D0B9E" w:rsidRPr="00A43976">
              <w:rPr>
                <w:rFonts w:ascii="Arial" w:hAnsi="Arial" w:cs="Arial"/>
              </w:rPr>
              <w:t>.</w:t>
            </w:r>
            <w:r w:rsidRPr="00A43976">
              <w:rPr>
                <w:rFonts w:ascii="Arial" w:hAnsi="Arial" w:cs="Arial"/>
              </w:rPr>
              <w:t xml:space="preserve"> 12)</w:t>
            </w:r>
          </w:p>
        </w:tc>
      </w:tr>
      <w:tr w:rsidR="000A6D08" w:rsidRPr="00A43976" w14:paraId="42D6EE60" w14:textId="77777777" w:rsidTr="000A6D08">
        <w:trPr>
          <w:trHeight w:val="582"/>
        </w:trPr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B616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3. What policy options are you considering?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40E9" w14:textId="6E71BCAA" w:rsidR="000A6D08" w:rsidRPr="00A43976" w:rsidRDefault="00563AC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Options paper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F918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Planning options for the upper 6 GHz band (p. 15-29)</w:t>
            </w:r>
          </w:p>
        </w:tc>
      </w:tr>
      <w:tr w:rsidR="000A6D08" w:rsidRPr="00A43976" w14:paraId="257E7206" w14:textId="77777777" w:rsidTr="000A6D0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3BEDA" w14:textId="77777777" w:rsidR="000A6D08" w:rsidRPr="00A43976" w:rsidRDefault="000A6D08" w:rsidP="000A6D08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9334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 xml:space="preserve">Outcomes paper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FBD8" w14:textId="74BEC850" w:rsidR="000A6D08" w:rsidRPr="00A43976" w:rsidRDefault="000A6D08" w:rsidP="000A6D08">
            <w:pPr>
              <w:rPr>
                <w:rFonts w:ascii="Arial" w:hAnsi="Arial" w:cs="Arial"/>
                <w:color w:val="000000" w:themeColor="text1"/>
              </w:rPr>
            </w:pPr>
            <w:r w:rsidRPr="00A43976">
              <w:rPr>
                <w:rFonts w:ascii="Arial" w:hAnsi="Arial" w:cs="Arial"/>
                <w:color w:val="000000" w:themeColor="text1"/>
              </w:rPr>
              <w:t>Refinement of planning options (</w:t>
            </w:r>
            <w:r w:rsidR="009D0B9E" w:rsidRPr="00A43976">
              <w:rPr>
                <w:rFonts w:ascii="Arial" w:hAnsi="Arial" w:cs="Arial"/>
                <w:color w:val="000000" w:themeColor="text1"/>
              </w:rPr>
              <w:t>p.</w:t>
            </w:r>
            <w:r w:rsidRPr="00A43976">
              <w:rPr>
                <w:rFonts w:ascii="Arial" w:hAnsi="Arial" w:cs="Arial"/>
                <w:color w:val="000000" w:themeColor="text1"/>
              </w:rPr>
              <w:t xml:space="preserve"> 9-11)</w:t>
            </w:r>
          </w:p>
        </w:tc>
      </w:tr>
      <w:tr w:rsidR="000A6D08" w:rsidRPr="00A43976" w14:paraId="454FBCF6" w14:textId="77777777" w:rsidTr="000A6D08">
        <w:trPr>
          <w:trHeight w:val="591"/>
        </w:trPr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20E0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4. What is the likely net benefit of each option?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2344" w14:textId="1D3AEE28" w:rsidR="000A6D08" w:rsidRPr="00A43976" w:rsidRDefault="00563AC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Options paper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C525" w14:textId="77777777" w:rsidR="000A6D08" w:rsidRPr="00A43976" w:rsidRDefault="000A6D08" w:rsidP="000A6D08">
            <w:pPr>
              <w:rPr>
                <w:rFonts w:ascii="Arial" w:hAnsi="Arial" w:cs="Arial"/>
                <w:color w:val="000000" w:themeColor="text1"/>
              </w:rPr>
            </w:pPr>
            <w:r w:rsidRPr="00A43976">
              <w:rPr>
                <w:rFonts w:ascii="Arial" w:hAnsi="Arial" w:cs="Arial"/>
              </w:rPr>
              <w:t>Planning options for the upper 6 GHz band (p. 15-29)</w:t>
            </w:r>
          </w:p>
        </w:tc>
      </w:tr>
      <w:tr w:rsidR="000A6D08" w:rsidRPr="00A43976" w14:paraId="410FC233" w14:textId="77777777" w:rsidTr="000A6D0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0FCC4" w14:textId="77777777" w:rsidR="000A6D08" w:rsidRPr="00A43976" w:rsidRDefault="000A6D08" w:rsidP="000A6D08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A50C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 xml:space="preserve">Outcomes paper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9FE4" w14:textId="7A9C6A6B" w:rsidR="000A6D08" w:rsidRPr="00A43976" w:rsidRDefault="000A6D08" w:rsidP="000A6D08">
            <w:pPr>
              <w:rPr>
                <w:rFonts w:ascii="Arial" w:hAnsi="Arial" w:cs="Arial"/>
                <w:color w:val="000000" w:themeColor="text1"/>
              </w:rPr>
            </w:pPr>
            <w:r w:rsidRPr="00A43976">
              <w:rPr>
                <w:rFonts w:ascii="Arial" w:hAnsi="Arial" w:cs="Arial"/>
                <w:color w:val="000000" w:themeColor="text1"/>
              </w:rPr>
              <w:t>Assessment of Options (p</w:t>
            </w:r>
            <w:r w:rsidR="009D0B9E" w:rsidRPr="00A43976">
              <w:rPr>
                <w:rFonts w:ascii="Arial" w:hAnsi="Arial" w:cs="Arial"/>
                <w:color w:val="000000" w:themeColor="text1"/>
              </w:rPr>
              <w:t>.</w:t>
            </w:r>
            <w:r w:rsidRPr="00A43976">
              <w:rPr>
                <w:rFonts w:ascii="Arial" w:hAnsi="Arial" w:cs="Arial"/>
                <w:color w:val="000000" w:themeColor="text1"/>
              </w:rPr>
              <w:t xml:space="preserve"> 12-16). </w:t>
            </w:r>
          </w:p>
        </w:tc>
      </w:tr>
      <w:tr w:rsidR="000A6D08" w:rsidRPr="00A43976" w14:paraId="068EB472" w14:textId="77777777" w:rsidTr="000A6D08">
        <w:trPr>
          <w:trHeight w:val="364"/>
        </w:trPr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E63D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5. Who will you consult and how will you consult them?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5F1D" w14:textId="409D2B1C" w:rsidR="000A6D08" w:rsidRPr="00A43976" w:rsidRDefault="00563AC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Options paper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DB24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Invitation to comment (p. 32)</w:t>
            </w:r>
          </w:p>
        </w:tc>
      </w:tr>
      <w:tr w:rsidR="00957DD6" w:rsidRPr="00A43976" w14:paraId="25CEDA51" w14:textId="77777777" w:rsidTr="000A6D08">
        <w:trPr>
          <w:trHeight w:val="364"/>
        </w:trPr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A276" w14:textId="77777777" w:rsidR="00957DD6" w:rsidRPr="00A43976" w:rsidRDefault="00957DD6" w:rsidP="000A6D08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4196" w14:textId="161E91DA" w:rsidR="00957DD6" w:rsidRPr="00A43976" w:rsidRDefault="00957DD6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Communications material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CEB6" w14:textId="63E21C86" w:rsidR="00957DD6" w:rsidRPr="00A43976" w:rsidRDefault="00957DD6" w:rsidP="00957DD6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ind w:left="227" w:hanging="227"/>
              <w:rPr>
                <w:rFonts w:cs="Arial"/>
                <w:color w:val="000000"/>
                <w:sz w:val="22"/>
                <w:szCs w:val="22"/>
              </w:rPr>
            </w:pPr>
            <w:r w:rsidRPr="00A43976">
              <w:rPr>
                <w:rFonts w:cs="Arial"/>
                <w:color w:val="000000"/>
                <w:sz w:val="22"/>
                <w:szCs w:val="22"/>
              </w:rPr>
              <w:t>ACMA e-bulletin directed to previous 6 GHz band consultation respondents and subscribers to radiocommunications issues.</w:t>
            </w:r>
          </w:p>
          <w:p w14:paraId="2D3A0497" w14:textId="55585FD1" w:rsidR="00957DD6" w:rsidRPr="00A43976" w:rsidRDefault="00957DD6" w:rsidP="00957DD6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ind w:left="227" w:hanging="227"/>
              <w:rPr>
                <w:rFonts w:cs="Arial"/>
                <w:color w:val="000000"/>
                <w:sz w:val="22"/>
                <w:szCs w:val="22"/>
              </w:rPr>
            </w:pPr>
            <w:r w:rsidRPr="00A43976">
              <w:rPr>
                <w:rFonts w:cs="Arial"/>
                <w:color w:val="000000"/>
                <w:sz w:val="22"/>
                <w:szCs w:val="22"/>
              </w:rPr>
              <w:t>ACMA ‘tune-up’ with stakeholders held on 29 February 202.</w:t>
            </w:r>
          </w:p>
        </w:tc>
      </w:tr>
      <w:tr w:rsidR="000A6D08" w:rsidRPr="00A43976" w14:paraId="5D05EF18" w14:textId="77777777" w:rsidTr="000A6D08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D2E04" w14:textId="77777777" w:rsidR="000A6D08" w:rsidRPr="00A43976" w:rsidRDefault="000A6D08" w:rsidP="000A6D08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1690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 xml:space="preserve">Outcomes paper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D543F" w14:textId="35315158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Summary of submissions (p</w:t>
            </w:r>
            <w:r w:rsidR="009D0B9E" w:rsidRPr="00A43976">
              <w:rPr>
                <w:rFonts w:ascii="Arial" w:hAnsi="Arial" w:cs="Arial"/>
              </w:rPr>
              <w:t>.</w:t>
            </w:r>
            <w:r w:rsidRPr="00A43976">
              <w:rPr>
                <w:rFonts w:ascii="Arial" w:hAnsi="Arial" w:cs="Arial"/>
              </w:rPr>
              <w:t xml:space="preserve"> 4-7)</w:t>
            </w:r>
          </w:p>
        </w:tc>
      </w:tr>
      <w:tr w:rsidR="000A6D08" w:rsidRPr="00A43976" w14:paraId="3BEA59F5" w14:textId="77777777" w:rsidTr="000A6D08">
        <w:trPr>
          <w:trHeight w:val="1238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4F60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>6. What is the best option from those you have considered and how will it be implemented?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BDFAF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 xml:space="preserve">Outcomes paper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ECD4" w14:textId="486708E0" w:rsidR="000A6D08" w:rsidRPr="00A43976" w:rsidRDefault="000A6D08" w:rsidP="000A6D08">
            <w:pPr>
              <w:rPr>
                <w:rFonts w:ascii="Arial" w:hAnsi="Arial" w:cs="Arial"/>
                <w:color w:val="000000" w:themeColor="text1"/>
              </w:rPr>
            </w:pPr>
            <w:r w:rsidRPr="00A43976">
              <w:rPr>
                <w:rFonts w:ascii="Arial" w:hAnsi="Arial" w:cs="Arial"/>
                <w:color w:val="000000" w:themeColor="text1"/>
              </w:rPr>
              <w:t>The way forward (p</w:t>
            </w:r>
            <w:r w:rsidR="009D0B9E" w:rsidRPr="00A43976">
              <w:rPr>
                <w:rFonts w:ascii="Arial" w:hAnsi="Arial" w:cs="Arial"/>
                <w:color w:val="000000" w:themeColor="text1"/>
              </w:rPr>
              <w:t>.</w:t>
            </w:r>
            <w:r w:rsidRPr="00A43976">
              <w:rPr>
                <w:rFonts w:ascii="Arial" w:hAnsi="Arial" w:cs="Arial"/>
                <w:color w:val="000000" w:themeColor="text1"/>
              </w:rPr>
              <w:t xml:space="preserve"> 17</w:t>
            </w:r>
            <w:r w:rsidR="009D0B9E" w:rsidRPr="00A43976">
              <w:rPr>
                <w:rFonts w:ascii="Arial" w:hAnsi="Arial" w:cs="Arial"/>
                <w:color w:val="000000" w:themeColor="text1"/>
              </w:rPr>
              <w:t>-18</w:t>
            </w:r>
            <w:r w:rsidRPr="00A43976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0A6D08" w:rsidRPr="000A6D08" w14:paraId="568C8010" w14:textId="77777777" w:rsidTr="000A6D08">
        <w:trPr>
          <w:trHeight w:val="1174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D6C9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lastRenderedPageBreak/>
              <w:t>7. How you will evaluate your chosen option against the success metrics?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9B22" w14:textId="77777777" w:rsidR="000A6D08" w:rsidRPr="00A43976" w:rsidRDefault="000A6D08" w:rsidP="000A6D08">
            <w:pPr>
              <w:rPr>
                <w:rFonts w:ascii="Arial" w:hAnsi="Arial" w:cs="Arial"/>
              </w:rPr>
            </w:pPr>
            <w:r w:rsidRPr="00A43976">
              <w:rPr>
                <w:rFonts w:ascii="Arial" w:hAnsi="Arial" w:cs="Arial"/>
              </w:rPr>
              <w:t xml:space="preserve">Outcomes paper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5772" w14:textId="57A33705" w:rsidR="000A6D08" w:rsidRPr="00A43976" w:rsidRDefault="000A6D08" w:rsidP="000A6D08">
            <w:pPr>
              <w:rPr>
                <w:rFonts w:ascii="Arial" w:hAnsi="Arial" w:cs="Arial"/>
                <w:color w:val="000000" w:themeColor="text1"/>
              </w:rPr>
            </w:pPr>
            <w:r w:rsidRPr="00A43976">
              <w:rPr>
                <w:rFonts w:ascii="Arial" w:hAnsi="Arial" w:cs="Arial"/>
                <w:color w:val="000000" w:themeColor="text1"/>
              </w:rPr>
              <w:t>Evaluation of outcomes (p</w:t>
            </w:r>
            <w:r w:rsidR="009D0B9E" w:rsidRPr="00A43976">
              <w:rPr>
                <w:rFonts w:ascii="Arial" w:hAnsi="Arial" w:cs="Arial"/>
                <w:color w:val="000000" w:themeColor="text1"/>
              </w:rPr>
              <w:t>.</w:t>
            </w:r>
            <w:r w:rsidRPr="00A43976">
              <w:rPr>
                <w:rFonts w:ascii="Arial" w:hAnsi="Arial" w:cs="Arial"/>
                <w:color w:val="000000" w:themeColor="text1"/>
              </w:rPr>
              <w:t xml:space="preserve"> 18)</w:t>
            </w:r>
          </w:p>
        </w:tc>
      </w:tr>
    </w:tbl>
    <w:p w14:paraId="7ED26DF7" w14:textId="77777777" w:rsidR="000A6D08" w:rsidRPr="000A6D08" w:rsidRDefault="000A6D08" w:rsidP="00EF0B56">
      <w:pPr>
        <w:pStyle w:val="SignOffDetails"/>
        <w:tabs>
          <w:tab w:val="left" w:pos="560"/>
        </w:tabs>
        <w:spacing w:line="240" w:lineRule="auto"/>
        <w:ind w:left="560" w:hanging="560"/>
        <w:rPr>
          <w:b/>
          <w:bCs/>
          <w:sz w:val="22"/>
          <w:szCs w:val="22"/>
        </w:rPr>
      </w:pPr>
    </w:p>
    <w:p w14:paraId="49618061" w14:textId="77777777" w:rsidR="00EF0B56" w:rsidRPr="000A6D08" w:rsidRDefault="00EF0B56" w:rsidP="00EF0B56">
      <w:pPr>
        <w:pStyle w:val="SignOffDetails"/>
        <w:tabs>
          <w:tab w:val="left" w:pos="560"/>
        </w:tabs>
        <w:spacing w:line="240" w:lineRule="auto"/>
        <w:ind w:left="560" w:hanging="560"/>
        <w:rPr>
          <w:b/>
          <w:bCs/>
          <w:sz w:val="22"/>
          <w:szCs w:val="22"/>
        </w:rPr>
      </w:pPr>
    </w:p>
    <w:p w14:paraId="521819E6" w14:textId="77777777" w:rsidR="00EF0B56" w:rsidRPr="000A6D08" w:rsidRDefault="00EF0B56" w:rsidP="00C17C93">
      <w:pPr>
        <w:pStyle w:val="Bodycopy"/>
      </w:pPr>
    </w:p>
    <w:sectPr w:rsidR="00EF0B56" w:rsidRPr="000A6D08" w:rsidSect="00BA7B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60" w:right="1134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E6CCB" w14:textId="77777777" w:rsidR="000E53EC" w:rsidRDefault="000E53EC" w:rsidP="005D4455">
      <w:pPr>
        <w:spacing w:after="0" w:line="240" w:lineRule="auto"/>
      </w:pPr>
      <w:r>
        <w:separator/>
      </w:r>
    </w:p>
    <w:p w14:paraId="23F0A448" w14:textId="77777777" w:rsidR="000E53EC" w:rsidRDefault="000E53EC"/>
  </w:endnote>
  <w:endnote w:type="continuationSeparator" w:id="0">
    <w:p w14:paraId="2DA4B57D" w14:textId="77777777" w:rsidR="000E53EC" w:rsidRDefault="000E53EC" w:rsidP="005D4455">
      <w:pPr>
        <w:spacing w:after="0" w:line="240" w:lineRule="auto"/>
      </w:pPr>
      <w:r>
        <w:continuationSeparator/>
      </w:r>
    </w:p>
    <w:p w14:paraId="22D34983" w14:textId="77777777" w:rsidR="000E53EC" w:rsidRDefault="000E5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8340" w14:textId="77777777" w:rsidR="001B5776" w:rsidRDefault="001B5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387A6" w14:textId="19AECF55" w:rsidR="009E18B7" w:rsidRDefault="009E18B7" w:rsidP="009E18B7">
    <w:pPr>
      <w:spacing w:after="0" w:line="240" w:lineRule="atLeast"/>
      <w:ind w:left="-567"/>
      <w:rPr>
        <w:rFonts w:ascii="Arial" w:hAnsi="Arial" w:cs="Arial"/>
        <w:sz w:val="20"/>
        <w:szCs w:val="20"/>
      </w:rPr>
    </w:pPr>
  </w:p>
  <w:p w14:paraId="7549960E" w14:textId="55790B68" w:rsidR="00656496" w:rsidRPr="009E18B7" w:rsidRDefault="009E18B7" w:rsidP="009E18B7">
    <w:pPr>
      <w:tabs>
        <w:tab w:val="right" w:pos="9356"/>
      </w:tabs>
      <w:spacing w:after="0" w:line="240" w:lineRule="atLeast"/>
      <w:ind w:right="-709"/>
      <w:jc w:val="center"/>
    </w:pPr>
    <w:r>
      <w:rPr>
        <w:rFonts w:ascii="Arial" w:hAnsi="Arial" w:cs="Arial"/>
        <w:sz w:val="20"/>
        <w:szCs w:val="20"/>
      </w:rPr>
      <w:tab/>
    </w:r>
    <w:r w:rsidRPr="005D4455">
      <w:rPr>
        <w:rFonts w:ascii="Arial" w:hAnsi="Arial" w:cs="Arial"/>
        <w:sz w:val="20"/>
        <w:szCs w:val="20"/>
      </w:rPr>
      <w:fldChar w:fldCharType="begin"/>
    </w:r>
    <w:r w:rsidRPr="005D4455">
      <w:rPr>
        <w:rFonts w:ascii="Arial" w:hAnsi="Arial" w:cs="Arial"/>
        <w:sz w:val="20"/>
        <w:szCs w:val="20"/>
      </w:rPr>
      <w:instrText xml:space="preserve"> PAGE  \* Arabic  \* MERGEFORMAT </w:instrText>
    </w:r>
    <w:r w:rsidRPr="005D4455">
      <w:rPr>
        <w:rFonts w:ascii="Arial" w:hAnsi="Arial" w:cs="Arial"/>
        <w:sz w:val="20"/>
        <w:szCs w:val="20"/>
      </w:rPr>
      <w:fldChar w:fldCharType="separate"/>
    </w:r>
    <w:r w:rsidR="00F649DD">
      <w:rPr>
        <w:rFonts w:ascii="Arial" w:hAnsi="Arial" w:cs="Arial"/>
        <w:noProof/>
        <w:sz w:val="20"/>
        <w:szCs w:val="20"/>
      </w:rPr>
      <w:t>3</w:t>
    </w:r>
    <w:r w:rsidRPr="005D4455">
      <w:rPr>
        <w:rFonts w:ascii="Arial" w:hAnsi="Arial" w:cs="Arial"/>
        <w:sz w:val="20"/>
        <w:szCs w:val="20"/>
      </w:rPr>
      <w:fldChar w:fldCharType="end"/>
    </w:r>
    <w:r w:rsidRPr="005D4455">
      <w:rPr>
        <w:rFonts w:ascii="Arial" w:hAnsi="Arial" w:cs="Arial"/>
        <w:sz w:val="20"/>
        <w:szCs w:val="20"/>
      </w:rPr>
      <w:t xml:space="preserve"> of </w:t>
    </w:r>
    <w:r w:rsidRPr="005D4455">
      <w:rPr>
        <w:rFonts w:ascii="Arial" w:hAnsi="Arial" w:cs="Arial"/>
        <w:sz w:val="20"/>
        <w:szCs w:val="20"/>
      </w:rPr>
      <w:fldChar w:fldCharType="begin"/>
    </w:r>
    <w:r w:rsidRPr="005D4455">
      <w:rPr>
        <w:rFonts w:ascii="Arial" w:hAnsi="Arial" w:cs="Arial"/>
        <w:sz w:val="20"/>
        <w:szCs w:val="20"/>
      </w:rPr>
      <w:instrText xml:space="preserve"> NUMPAGES  \* Arabic  \* MERGEFORMAT </w:instrText>
    </w:r>
    <w:r w:rsidRPr="005D4455">
      <w:rPr>
        <w:rFonts w:ascii="Arial" w:hAnsi="Arial" w:cs="Arial"/>
        <w:sz w:val="20"/>
        <w:szCs w:val="20"/>
      </w:rPr>
      <w:fldChar w:fldCharType="separate"/>
    </w:r>
    <w:r w:rsidR="00F649DD">
      <w:rPr>
        <w:rFonts w:ascii="Arial" w:hAnsi="Arial" w:cs="Arial"/>
        <w:noProof/>
        <w:sz w:val="20"/>
        <w:szCs w:val="20"/>
      </w:rPr>
      <w:t>3</w:t>
    </w:r>
    <w:r w:rsidRPr="005D4455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2E6D" w14:textId="77777777" w:rsidR="00F67BCD" w:rsidRDefault="00F67BCD" w:rsidP="00F67BCD">
    <w:pPr>
      <w:spacing w:after="0" w:line="240" w:lineRule="atLeast"/>
      <w:ind w:left="-567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FE4AF" wp14:editId="1EA4E937">
              <wp:simplePos x="0" y="0"/>
              <wp:positionH relativeFrom="margin">
                <wp:posOffset>-358140</wp:posOffset>
              </wp:positionH>
              <wp:positionV relativeFrom="paragraph">
                <wp:posOffset>48895</wp:posOffset>
              </wp:positionV>
              <wp:extent cx="6791325" cy="14568"/>
              <wp:effectExtent l="0" t="0" r="28575" b="241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1325" cy="14568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765C04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2pt,3.85pt" to="506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" strokecolor="black [3213]" strokeweight="1pt">
              <v:stroke joinstyle="miter"/>
              <w10:wrap anchorx="margin"/>
            </v:line>
          </w:pict>
        </mc:Fallback>
      </mc:AlternateContent>
    </w:r>
  </w:p>
  <w:p w14:paraId="55AA0E92" w14:textId="77777777" w:rsidR="00145BAC" w:rsidRPr="00A55F3A" w:rsidRDefault="00145BAC" w:rsidP="00145BAC">
    <w:pPr>
      <w:spacing w:after="0" w:line="240" w:lineRule="atLea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 Box 78</w:t>
    </w:r>
    <w:r w:rsidRPr="00A55F3A">
      <w:rPr>
        <w:rFonts w:ascii="Arial" w:hAnsi="Arial" w:cs="Arial"/>
        <w:sz w:val="20"/>
        <w:szCs w:val="20"/>
      </w:rPr>
      <w:t>, Belconnen ACT 261</w:t>
    </w:r>
    <w:r>
      <w:rPr>
        <w:rFonts w:ascii="Arial" w:hAnsi="Arial" w:cs="Arial"/>
        <w:sz w:val="20"/>
        <w:szCs w:val="20"/>
      </w:rPr>
      <w:t>6</w:t>
    </w:r>
  </w:p>
  <w:p w14:paraId="77FDE45B" w14:textId="77777777" w:rsidR="00C7650C" w:rsidRPr="00656496" w:rsidRDefault="00145BAC" w:rsidP="00145BAC">
    <w:pPr>
      <w:spacing w:after="0" w:line="240" w:lineRule="atLeast"/>
      <w:ind w:right="-1"/>
      <w:jc w:val="center"/>
      <w:rPr>
        <w:rFonts w:ascii="Arial" w:hAnsi="Arial" w:cs="Arial"/>
        <w:sz w:val="20"/>
        <w:szCs w:val="20"/>
      </w:rPr>
    </w:pPr>
    <w:r w:rsidRPr="00C157C7">
      <w:rPr>
        <w:rFonts w:ascii="Arial" w:hAnsi="Arial" w:cs="Arial"/>
        <w:sz w:val="20"/>
        <w:szCs w:val="20"/>
      </w:rPr>
      <w:t>OfficeoftheChair@acma.gov.au</w:t>
    </w:r>
    <w:r w:rsidRPr="00F67BCD">
      <w:rPr>
        <w:rFonts w:ascii="Arial" w:hAnsi="Arial" w:cs="Arial"/>
        <w:sz w:val="20"/>
        <w:szCs w:val="20"/>
      </w:rPr>
      <w:t xml:space="preserve">   |  </w:t>
    </w:r>
    <w:r>
      <w:rPr>
        <w:rFonts w:ascii="Arial" w:hAnsi="Arial" w:cs="Arial"/>
        <w:sz w:val="20"/>
        <w:szCs w:val="20"/>
      </w:rPr>
      <w:t xml:space="preserve"> </w:t>
    </w:r>
    <w:r w:rsidRPr="00F67BCD">
      <w:rPr>
        <w:rFonts w:ascii="Arial" w:hAnsi="Arial" w:cs="Arial"/>
        <w:sz w:val="20"/>
        <w:szCs w:val="20"/>
      </w:rPr>
      <w:t>acma.gov.au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D889A" w14:textId="77777777" w:rsidR="000E53EC" w:rsidRDefault="000E53EC" w:rsidP="005D4455">
      <w:pPr>
        <w:spacing w:after="0" w:line="240" w:lineRule="auto"/>
      </w:pPr>
      <w:r>
        <w:separator/>
      </w:r>
    </w:p>
    <w:p w14:paraId="425E6AD7" w14:textId="77777777" w:rsidR="000E53EC" w:rsidRDefault="000E53EC"/>
  </w:footnote>
  <w:footnote w:type="continuationSeparator" w:id="0">
    <w:p w14:paraId="107C87F8" w14:textId="77777777" w:rsidR="000E53EC" w:rsidRDefault="000E53EC" w:rsidP="005D4455">
      <w:pPr>
        <w:spacing w:after="0" w:line="240" w:lineRule="auto"/>
      </w:pPr>
      <w:r>
        <w:continuationSeparator/>
      </w:r>
    </w:p>
    <w:p w14:paraId="1478F982" w14:textId="77777777" w:rsidR="000E53EC" w:rsidRDefault="000E5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4D689" w14:textId="77777777" w:rsidR="001B5776" w:rsidRDefault="001B5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8D6A7" w14:textId="77777777" w:rsidR="001B5776" w:rsidRDefault="001B5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431E" w14:textId="77777777" w:rsidR="00F67BCD" w:rsidRDefault="00997232" w:rsidP="00012884">
    <w:pPr>
      <w:tabs>
        <w:tab w:val="center" w:pos="4153"/>
        <w:tab w:val="right" w:pos="10065"/>
      </w:tabs>
      <w:spacing w:after="0"/>
      <w:ind w:left="-567" w:right="-425"/>
    </w:pPr>
    <w:r>
      <w:rPr>
        <w:noProof/>
        <w:lang w:eastAsia="en-AU"/>
      </w:rPr>
      <w:drawing>
        <wp:inline distT="0" distB="0" distL="0" distR="0" wp14:anchorId="011E2564" wp14:editId="7C8D151D">
          <wp:extent cx="3240000" cy="381600"/>
          <wp:effectExtent l="0" t="0" r="0" b="0"/>
          <wp:docPr id="263513491" name="Picture 263513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38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D7F69" w14:textId="77777777" w:rsidR="00C7650C" w:rsidRDefault="00997232" w:rsidP="00354FAF">
    <w:pPr>
      <w:tabs>
        <w:tab w:val="center" w:pos="4153"/>
      </w:tabs>
      <w:spacing w:before="640" w:after="0"/>
      <w:ind w:left="-567" w:right="-1"/>
      <w:jc w:val="right"/>
      <w:rPr>
        <w:rFonts w:ascii="Arial Bold" w:hAnsi="Arial Bold"/>
        <w:b/>
        <w:bCs/>
        <w:position w:val="4"/>
      </w:rPr>
    </w:pPr>
    <w:r w:rsidRPr="00F67BCD">
      <w:rPr>
        <w:rFonts w:ascii="Arial Bold" w:hAnsi="Arial Bold"/>
        <w:b/>
        <w:bCs/>
        <w:position w:val="4"/>
      </w:rPr>
      <w:t>Chair and Agency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0EDD"/>
    <w:multiLevelType w:val="hybridMultilevel"/>
    <w:tmpl w:val="C27CB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61BA7"/>
    <w:multiLevelType w:val="hybridMultilevel"/>
    <w:tmpl w:val="18827B14"/>
    <w:lvl w:ilvl="0" w:tplc="8C32E77C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A72F1"/>
    <w:multiLevelType w:val="hybridMultilevel"/>
    <w:tmpl w:val="A1188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634A8"/>
    <w:multiLevelType w:val="hybridMultilevel"/>
    <w:tmpl w:val="A56A3DE2"/>
    <w:lvl w:ilvl="0" w:tplc="5A004492">
      <w:start w:val="1"/>
      <w:numFmt w:val="bullet"/>
      <w:pStyle w:val="Bulletpoin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6C"/>
    <w:rsid w:val="00012884"/>
    <w:rsid w:val="00063617"/>
    <w:rsid w:val="000A6D08"/>
    <w:rsid w:val="000B620A"/>
    <w:rsid w:val="000C2D7B"/>
    <w:rsid w:val="000E53EC"/>
    <w:rsid w:val="001053D5"/>
    <w:rsid w:val="00121092"/>
    <w:rsid w:val="00136BAE"/>
    <w:rsid w:val="00145BAC"/>
    <w:rsid w:val="001623D3"/>
    <w:rsid w:val="001A18CB"/>
    <w:rsid w:val="001A2A70"/>
    <w:rsid w:val="001B2C33"/>
    <w:rsid w:val="001B5776"/>
    <w:rsid w:val="001C74EE"/>
    <w:rsid w:val="00215BA5"/>
    <w:rsid w:val="00221DD4"/>
    <w:rsid w:val="002553B9"/>
    <w:rsid w:val="0027366C"/>
    <w:rsid w:val="002C3AED"/>
    <w:rsid w:val="002C6F6C"/>
    <w:rsid w:val="002D7C58"/>
    <w:rsid w:val="00333A27"/>
    <w:rsid w:val="00354039"/>
    <w:rsid w:val="00354FAF"/>
    <w:rsid w:val="003A26EC"/>
    <w:rsid w:val="003C164A"/>
    <w:rsid w:val="003C5144"/>
    <w:rsid w:val="003D634B"/>
    <w:rsid w:val="004B5D3D"/>
    <w:rsid w:val="00542A25"/>
    <w:rsid w:val="00563AC8"/>
    <w:rsid w:val="00587039"/>
    <w:rsid w:val="005D4455"/>
    <w:rsid w:val="005E6693"/>
    <w:rsid w:val="005F43C4"/>
    <w:rsid w:val="00600B46"/>
    <w:rsid w:val="00656496"/>
    <w:rsid w:val="0066763E"/>
    <w:rsid w:val="006B2FD4"/>
    <w:rsid w:val="0074242E"/>
    <w:rsid w:val="00777444"/>
    <w:rsid w:val="007B0A29"/>
    <w:rsid w:val="007C73B5"/>
    <w:rsid w:val="007F2178"/>
    <w:rsid w:val="00804736"/>
    <w:rsid w:val="00817275"/>
    <w:rsid w:val="008217C9"/>
    <w:rsid w:val="00844B59"/>
    <w:rsid w:val="008C307B"/>
    <w:rsid w:val="008D178C"/>
    <w:rsid w:val="0095246E"/>
    <w:rsid w:val="00957DD6"/>
    <w:rsid w:val="00984DFA"/>
    <w:rsid w:val="00996E03"/>
    <w:rsid w:val="00997232"/>
    <w:rsid w:val="009D0B9E"/>
    <w:rsid w:val="009E18B7"/>
    <w:rsid w:val="00A20A2F"/>
    <w:rsid w:val="00A30477"/>
    <w:rsid w:val="00A412A5"/>
    <w:rsid w:val="00A43976"/>
    <w:rsid w:val="00AF4B9C"/>
    <w:rsid w:val="00B0270C"/>
    <w:rsid w:val="00B04EE7"/>
    <w:rsid w:val="00BA7BF5"/>
    <w:rsid w:val="00BE7F81"/>
    <w:rsid w:val="00C16202"/>
    <w:rsid w:val="00C17C93"/>
    <w:rsid w:val="00C54231"/>
    <w:rsid w:val="00C7650C"/>
    <w:rsid w:val="00C97A86"/>
    <w:rsid w:val="00CC23AC"/>
    <w:rsid w:val="00D119EE"/>
    <w:rsid w:val="00D3315E"/>
    <w:rsid w:val="00D34DED"/>
    <w:rsid w:val="00D76A70"/>
    <w:rsid w:val="00DF004A"/>
    <w:rsid w:val="00E04BEB"/>
    <w:rsid w:val="00E07DDD"/>
    <w:rsid w:val="00E10292"/>
    <w:rsid w:val="00E343A6"/>
    <w:rsid w:val="00E373CF"/>
    <w:rsid w:val="00E67A6A"/>
    <w:rsid w:val="00E8236A"/>
    <w:rsid w:val="00EA0EFB"/>
    <w:rsid w:val="00EA1C96"/>
    <w:rsid w:val="00EF0B56"/>
    <w:rsid w:val="00F649DD"/>
    <w:rsid w:val="00F67BCD"/>
    <w:rsid w:val="00FC2468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D76E7A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BE7F81"/>
  </w:style>
  <w:style w:type="paragraph" w:styleId="Heading1">
    <w:name w:val="heading 1"/>
    <w:aliases w:val="Heading"/>
    <w:basedOn w:val="Normal"/>
    <w:next w:val="Normal"/>
    <w:link w:val="Heading1Char"/>
    <w:uiPriority w:val="6"/>
    <w:qFormat/>
    <w:rsid w:val="005F43C4"/>
    <w:pPr>
      <w:spacing w:after="80" w:line="240" w:lineRule="atLeast"/>
      <w:outlineLvl w:val="0"/>
    </w:pPr>
    <w:rPr>
      <w:rFonts w:ascii="Arial" w:eastAsia="Times New Roman" w:hAnsi="Arial" w:cs="Times New Roman"/>
      <w:b/>
      <w:color w:val="000000" w:themeColor="text1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2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uiPriority w:val="4"/>
    <w:qFormat/>
    <w:rsid w:val="007C73B5"/>
    <w:pPr>
      <w:spacing w:after="120" w:line="260" w:lineRule="atLeast"/>
    </w:pPr>
    <w:rPr>
      <w:rFonts w:ascii="Arial" w:eastAsia="Times New Roman" w:hAnsi="Arial" w:cs="Times New Roman"/>
      <w:szCs w:val="24"/>
      <w:lang w:eastAsia="en-AU"/>
    </w:rPr>
  </w:style>
  <w:style w:type="paragraph" w:customStyle="1" w:styleId="Bulletpoint">
    <w:name w:val="Bullet point"/>
    <w:basedOn w:val="Normal"/>
    <w:uiPriority w:val="5"/>
    <w:rsid w:val="00BE7F81"/>
    <w:pPr>
      <w:numPr>
        <w:numId w:val="2"/>
      </w:numPr>
      <w:spacing w:after="80" w:line="260" w:lineRule="atLeast"/>
      <w:ind w:left="284" w:hanging="284"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paragraph" w:customStyle="1" w:styleId="Filereference">
    <w:name w:val="File reference"/>
    <w:basedOn w:val="Normal"/>
    <w:uiPriority w:val="1"/>
    <w:qFormat/>
    <w:rsid w:val="000C2D7B"/>
    <w:pPr>
      <w:spacing w:after="240" w:line="260" w:lineRule="atLeast"/>
      <w:contextualSpacing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343A6"/>
    <w:rPr>
      <w:rFonts w:ascii="Arial" w:eastAsia="Times New Roman" w:hAnsi="Arial" w:cs="Times New Roman"/>
      <w:b/>
      <w:color w:val="000000" w:themeColor="text1"/>
      <w:szCs w:val="24"/>
      <w:lang w:eastAsia="en-AU"/>
    </w:rPr>
  </w:style>
  <w:style w:type="paragraph" w:customStyle="1" w:styleId="Recipientdetails">
    <w:name w:val="Recipient details"/>
    <w:basedOn w:val="Normal"/>
    <w:rsid w:val="000C2D7B"/>
    <w:pPr>
      <w:spacing w:before="240" w:after="240" w:line="260" w:lineRule="atLeast"/>
      <w:contextualSpacing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paragraph" w:customStyle="1" w:styleId="Recipientsalutation">
    <w:name w:val="Recipient salutation"/>
    <w:basedOn w:val="Normal"/>
    <w:uiPriority w:val="2"/>
    <w:qFormat/>
    <w:rsid w:val="000C2D7B"/>
    <w:pPr>
      <w:spacing w:before="480" w:after="240" w:line="260" w:lineRule="atLeast"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paragraph" w:customStyle="1" w:styleId="Senderdate">
    <w:name w:val="Sender date"/>
    <w:basedOn w:val="Normal"/>
    <w:uiPriority w:val="9"/>
    <w:qFormat/>
    <w:rsid w:val="000C2D7B"/>
    <w:pPr>
      <w:spacing w:after="240" w:line="260" w:lineRule="atLeast"/>
      <w:ind w:left="284"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paragraph" w:customStyle="1" w:styleId="Sendername">
    <w:name w:val="Sender name"/>
    <w:basedOn w:val="Normal"/>
    <w:uiPriority w:val="8"/>
    <w:qFormat/>
    <w:rsid w:val="000C2D7B"/>
    <w:pPr>
      <w:spacing w:after="240" w:line="260" w:lineRule="atLeast"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paragraph" w:customStyle="1" w:styleId="Signoff">
    <w:name w:val="Sign off"/>
    <w:basedOn w:val="Normal"/>
    <w:uiPriority w:val="7"/>
    <w:qFormat/>
    <w:rsid w:val="000C2D7B"/>
    <w:pPr>
      <w:spacing w:after="720" w:line="260" w:lineRule="atLeast"/>
    </w:pPr>
    <w:rPr>
      <w:rFonts w:ascii="Arial" w:eastAsia="Times New Roman" w:hAnsi="Arial" w:cs="Times New Roman"/>
      <w:color w:val="000000" w:themeColor="text1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4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3C4"/>
    <w:pPr>
      <w:spacing w:after="164" w:line="240" w:lineRule="auto"/>
    </w:pPr>
    <w:rPr>
      <w:rFonts w:ascii="Arial" w:eastAsia="Times New Roman" w:hAnsi="Arial" w:cs="Times New Roman"/>
      <w:color w:val="4D4D4F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3C4"/>
    <w:rPr>
      <w:rFonts w:ascii="Arial" w:eastAsia="Times New Roman" w:hAnsi="Arial" w:cs="Times New Roman"/>
      <w:color w:val="4D4D4F"/>
      <w:sz w:val="20"/>
      <w:szCs w:val="20"/>
      <w:lang w:eastAsia="en-AU"/>
    </w:rPr>
  </w:style>
  <w:style w:type="character" w:styleId="Hyperlink">
    <w:name w:val="Hyperlink"/>
    <w:basedOn w:val="DefaultParagraphFont"/>
    <w:semiHidden/>
    <w:qFormat/>
    <w:rsid w:val="005F43C4"/>
    <w:rPr>
      <w:color w:val="0000FF"/>
      <w:u w:val="single" w:color="0000FF"/>
    </w:rPr>
  </w:style>
  <w:style w:type="paragraph" w:customStyle="1" w:styleId="Subject">
    <w:name w:val="Subject"/>
    <w:basedOn w:val="Normal"/>
    <w:uiPriority w:val="3"/>
    <w:qFormat/>
    <w:rsid w:val="000C2D7B"/>
    <w:pPr>
      <w:spacing w:after="240" w:line="260" w:lineRule="atLeast"/>
    </w:pPr>
    <w:rPr>
      <w:rFonts w:ascii="Arial" w:eastAsia="Times New Roman" w:hAnsi="Arial" w:cs="Times New Roman"/>
      <w:b/>
      <w:color w:val="000000" w:themeColor="text1"/>
      <w:szCs w:val="24"/>
      <w:lang w:eastAsia="en-AU"/>
    </w:rPr>
  </w:style>
  <w:style w:type="paragraph" w:customStyle="1" w:styleId="Bodybeforebullet">
    <w:name w:val="Body before bullet"/>
    <w:basedOn w:val="Bodycopy"/>
    <w:uiPriority w:val="5"/>
    <w:qFormat/>
    <w:rsid w:val="000C2D7B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0C2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7B"/>
  </w:style>
  <w:style w:type="paragraph" w:styleId="Footer">
    <w:name w:val="footer"/>
    <w:basedOn w:val="Normal"/>
    <w:link w:val="FooterChar"/>
    <w:unhideWhenUsed/>
    <w:rsid w:val="000C2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C2D7B"/>
  </w:style>
  <w:style w:type="paragraph" w:customStyle="1" w:styleId="Bulletpointlast">
    <w:name w:val="Bullet point last"/>
    <w:basedOn w:val="Bulletpoint"/>
    <w:uiPriority w:val="5"/>
    <w:qFormat/>
    <w:rsid w:val="00BE7F81"/>
    <w:pPr>
      <w:spacing w:after="240"/>
      <w:ind w:left="1074" w:hanging="3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2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5D3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3C5144"/>
    <w:pPr>
      <w:spacing w:before="240" w:after="0" w:line="300" w:lineRule="exact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3C514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3C5144"/>
    <w:pPr>
      <w:spacing w:after="284" w:line="240" w:lineRule="atLeast"/>
      <w:ind w:left="720"/>
      <w:contextualSpacing/>
    </w:pPr>
    <w:rPr>
      <w:rFonts w:ascii="Arial" w:eastAsia="Times New Roman" w:hAnsi="Arial" w:cs="Times New Roman"/>
      <w:color w:val="4D4D4F"/>
      <w:sz w:val="19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4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ightGrid-Accent2">
    <w:name w:val="Light Grid Accent 2"/>
    <w:basedOn w:val="TableNormal"/>
    <w:uiPriority w:val="62"/>
    <w:rsid w:val="0074242E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customStyle="1" w:styleId="TableText">
    <w:name w:val="TableText"/>
    <w:basedOn w:val="Normal"/>
    <w:qFormat/>
    <w:rsid w:val="0074242E"/>
    <w:pPr>
      <w:spacing w:before="120" w:after="120" w:line="240" w:lineRule="auto"/>
    </w:pPr>
    <w:rPr>
      <w:rFonts w:ascii="Arial" w:eastAsiaTheme="majorEastAsia" w:hAnsi="Arial" w:cs="Arial"/>
      <w:bCs/>
      <w:sz w:val="20"/>
      <w:szCs w:val="20"/>
    </w:rPr>
  </w:style>
  <w:style w:type="paragraph" w:customStyle="1" w:styleId="SignOffDetails">
    <w:name w:val="SignOff Details"/>
    <w:basedOn w:val="Normal"/>
    <w:rsid w:val="00EF0B56"/>
    <w:pPr>
      <w:keepNext/>
      <w:spacing w:after="0" w:line="200" w:lineRule="atLeast"/>
    </w:pPr>
    <w:rPr>
      <w:rFonts w:ascii="Arial" w:eastAsia="Times New Roman" w:hAnsi="Arial" w:cs="Times New Roman"/>
      <w:color w:val="4D4D4F"/>
      <w:sz w:val="15"/>
      <w:szCs w:val="15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ma.gov.au/sites/default/files/2024-11/Submissions%20%E2%80%93%20Planning%20options%20in%20the%20upper%206%20GHz%20band.zi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cma.gov.au/sites/default/files/2024-06/future_use_of_the_upper_6_ghz_band_options_paper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2024-12-16T23:03:00Z</dcterms:created>
  <dcterms:modified xsi:type="dcterms:W3CDTF">2024-12-16T23:03:00Z</dcterms:modified>
</cp:coreProperties>
</file>