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9F" w:rsidRDefault="00094B47">
      <w:pPr>
        <w:spacing w:before="228"/>
        <w:ind w:left="1370"/>
        <w:rPr>
          <w:b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1697419</wp:posOffset>
                </wp:positionH>
                <wp:positionV relativeFrom="paragraph">
                  <wp:posOffset>336665</wp:posOffset>
                </wp:positionV>
                <wp:extent cx="18808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0870">
                              <a:moveTo>
                                <a:pt x="0" y="0"/>
                              </a:moveTo>
                              <a:lnTo>
                                <a:pt x="188059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63E52" id="Graphic 1" o:spid="_x0000_s1026" style="position:absolute;margin-left:133.65pt;margin-top:26.5pt;width:14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" path="m,l1880594,e" filled="f" strokeweight=".254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915873</wp:posOffset>
            </wp:positionH>
            <wp:positionV relativeFrom="paragraph">
              <wp:posOffset>4055</wp:posOffset>
            </wp:positionV>
            <wp:extent cx="732698" cy="5370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98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3131"/>
          <w:sz w:val="21"/>
        </w:rPr>
        <w:t>Australian</w:t>
      </w:r>
      <w:r>
        <w:rPr>
          <w:b/>
          <w:color w:val="313131"/>
          <w:spacing w:val="25"/>
          <w:sz w:val="21"/>
        </w:rPr>
        <w:t xml:space="preserve"> </w:t>
      </w:r>
      <w:r>
        <w:rPr>
          <w:b/>
          <w:color w:val="313131"/>
          <w:spacing w:val="-2"/>
          <w:sz w:val="21"/>
        </w:rPr>
        <w:t>Government</w:t>
      </w:r>
    </w:p>
    <w:p w:rsidR="008B619F" w:rsidRDefault="00094B47">
      <w:pPr>
        <w:spacing w:before="42" w:line="256" w:lineRule="auto"/>
        <w:ind w:left="1368" w:right="4962" w:firstLine="1"/>
        <w:rPr>
          <w:b/>
          <w:sz w:val="21"/>
        </w:rPr>
      </w:pPr>
      <w:r>
        <w:rPr>
          <w:b/>
          <w:color w:val="313131"/>
          <w:sz w:val="21"/>
        </w:rPr>
        <w:t>Department</w:t>
      </w:r>
      <w:r>
        <w:rPr>
          <w:b/>
          <w:color w:val="313131"/>
          <w:spacing w:val="-14"/>
          <w:sz w:val="21"/>
        </w:rPr>
        <w:t xml:space="preserve"> </w:t>
      </w:r>
      <w:r>
        <w:rPr>
          <w:b/>
          <w:color w:val="313131"/>
          <w:sz w:val="21"/>
        </w:rPr>
        <w:t>of</w:t>
      </w:r>
      <w:r>
        <w:rPr>
          <w:b/>
          <w:color w:val="313131"/>
          <w:spacing w:val="-13"/>
          <w:sz w:val="21"/>
        </w:rPr>
        <w:t xml:space="preserve"> </w:t>
      </w:r>
      <w:r>
        <w:rPr>
          <w:b/>
          <w:color w:val="313131"/>
          <w:sz w:val="21"/>
        </w:rPr>
        <w:t>Industry,</w:t>
      </w:r>
      <w:r>
        <w:rPr>
          <w:b/>
          <w:color w:val="313131"/>
          <w:spacing w:val="-13"/>
          <w:sz w:val="21"/>
        </w:rPr>
        <w:t xml:space="preserve"> </w:t>
      </w:r>
      <w:r>
        <w:rPr>
          <w:b/>
          <w:color w:val="313131"/>
          <w:sz w:val="21"/>
        </w:rPr>
        <w:t>Science, Energy and Resources</w:t>
      </w:r>
    </w:p>
    <w:p w:rsidR="008B619F" w:rsidRDefault="00094B47">
      <w:pPr>
        <w:spacing w:line="234" w:lineRule="exact"/>
        <w:ind w:left="7537"/>
        <w:rPr>
          <w:b/>
          <w:sz w:val="21"/>
        </w:rPr>
      </w:pPr>
      <w:r>
        <w:rPr>
          <w:b/>
          <w:color w:val="313131"/>
          <w:w w:val="105"/>
          <w:sz w:val="21"/>
        </w:rPr>
        <w:t>Deputy</w:t>
      </w:r>
      <w:r>
        <w:rPr>
          <w:b/>
          <w:color w:val="313131"/>
          <w:spacing w:val="-2"/>
          <w:w w:val="105"/>
          <w:sz w:val="21"/>
        </w:rPr>
        <w:t xml:space="preserve"> Secretary</w:t>
      </w:r>
    </w:p>
    <w:p w:rsidR="008B619F" w:rsidRDefault="008B619F">
      <w:pPr>
        <w:pStyle w:val="BodyText"/>
        <w:spacing w:before="40"/>
        <w:rPr>
          <w:b/>
        </w:rPr>
      </w:pPr>
    </w:p>
    <w:p w:rsidR="008B619F" w:rsidRDefault="00094B47">
      <w:pPr>
        <w:pStyle w:val="BodyText"/>
        <w:spacing w:line="252" w:lineRule="auto"/>
        <w:ind w:left="122" w:right="7403" w:firstLine="1"/>
      </w:pPr>
      <w:r>
        <w:rPr>
          <w:color w:val="313131"/>
          <w:w w:val="105"/>
        </w:rPr>
        <w:t xml:space="preserve">Mr Jason Lange </w:t>
      </w:r>
      <w:r>
        <w:rPr>
          <w:color w:val="313131"/>
          <w:spacing w:val="-2"/>
          <w:w w:val="105"/>
        </w:rPr>
        <w:t>Executive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spacing w:val="-2"/>
          <w:w w:val="105"/>
        </w:rPr>
        <w:t>Director</w:t>
      </w:r>
    </w:p>
    <w:p w:rsidR="008B619F" w:rsidRDefault="00094B47">
      <w:pPr>
        <w:pStyle w:val="BodyText"/>
        <w:spacing w:before="3" w:line="247" w:lineRule="auto"/>
        <w:ind w:left="121" w:right="6084" w:hanging="3"/>
      </w:pPr>
      <w:r>
        <w:rPr>
          <w:color w:val="313131"/>
          <w:w w:val="105"/>
        </w:rPr>
        <w:t>Office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Best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Practice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Regulation 1 National Circuit</w:t>
      </w:r>
    </w:p>
    <w:p w:rsidR="008B619F" w:rsidRDefault="00094B47">
      <w:pPr>
        <w:pStyle w:val="BodyText"/>
        <w:spacing w:before="12"/>
        <w:ind w:left="118"/>
      </w:pPr>
      <w:r>
        <w:rPr>
          <w:color w:val="313131"/>
          <w:w w:val="105"/>
        </w:rPr>
        <w:t>BARTON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ACT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spacing w:val="-4"/>
          <w:w w:val="105"/>
        </w:rPr>
        <w:t>2600</w:t>
      </w:r>
    </w:p>
    <w:p w:rsidR="008B619F" w:rsidRDefault="008B619F">
      <w:pPr>
        <w:pStyle w:val="BodyText"/>
        <w:spacing w:before="21"/>
      </w:pPr>
    </w:p>
    <w:p w:rsidR="008B619F" w:rsidRDefault="00094B47">
      <w:pPr>
        <w:pStyle w:val="BodyText"/>
        <w:ind w:left="123"/>
      </w:pPr>
      <w:r>
        <w:rPr>
          <w:color w:val="313131"/>
          <w:w w:val="105"/>
        </w:rPr>
        <w:t>By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email:</w:t>
      </w:r>
      <w:r>
        <w:rPr>
          <w:color w:val="313131"/>
          <w:spacing w:val="-3"/>
          <w:w w:val="105"/>
        </w:rPr>
        <w:t xml:space="preserve"> </w:t>
      </w:r>
      <w:hyperlink r:id="rId8">
        <w:r>
          <w:rPr>
            <w:color w:val="334477"/>
            <w:w w:val="105"/>
            <w:u w:val="thick" w:color="334477"/>
          </w:rPr>
          <w:t>helpdesk</w:t>
        </w:r>
        <w:r>
          <w:rPr>
            <w:color w:val="212A5D"/>
            <w:w w:val="105"/>
            <w:u w:val="thick" w:color="334477"/>
          </w:rPr>
          <w:t>-</w:t>
        </w:r>
        <w:r>
          <w:rPr>
            <w:color w:val="334477"/>
            <w:spacing w:val="-2"/>
            <w:w w:val="105"/>
            <w:u w:val="thick" w:color="334477"/>
          </w:rPr>
          <w:t>OBPR@pmc</w:t>
        </w:r>
        <w:r>
          <w:rPr>
            <w:color w:val="212A5D"/>
            <w:spacing w:val="-2"/>
            <w:w w:val="105"/>
            <w:u w:val="thick" w:color="334477"/>
          </w:rPr>
          <w:t>.</w:t>
        </w:r>
        <w:r>
          <w:rPr>
            <w:color w:val="334477"/>
            <w:spacing w:val="-2"/>
            <w:w w:val="105"/>
            <w:u w:val="thick" w:color="334477"/>
          </w:rPr>
          <w:t>gov</w:t>
        </w:r>
        <w:r>
          <w:rPr>
            <w:color w:val="666B9C"/>
            <w:spacing w:val="-2"/>
            <w:w w:val="105"/>
            <w:u w:val="thick" w:color="334477"/>
          </w:rPr>
          <w:t>.</w:t>
        </w:r>
        <w:r>
          <w:rPr>
            <w:color w:val="334477"/>
            <w:spacing w:val="-2"/>
            <w:w w:val="105"/>
            <w:u w:val="thick" w:color="334477"/>
          </w:rPr>
          <w:t>au</w:t>
        </w:r>
      </w:hyperlink>
    </w:p>
    <w:p w:rsidR="008B619F" w:rsidRDefault="008B619F">
      <w:pPr>
        <w:pStyle w:val="BodyText"/>
        <w:spacing w:before="234"/>
      </w:pPr>
    </w:p>
    <w:p w:rsidR="008B619F" w:rsidRDefault="00094B47">
      <w:pPr>
        <w:spacing w:before="1"/>
        <w:ind w:left="118"/>
        <w:rPr>
          <w:sz w:val="21"/>
        </w:rPr>
      </w:pPr>
      <w:r>
        <w:rPr>
          <w:color w:val="313131"/>
          <w:spacing w:val="-2"/>
          <w:sz w:val="21"/>
        </w:rPr>
        <w:t>Dear</w:t>
      </w:r>
      <w:r>
        <w:rPr>
          <w:color w:val="313131"/>
          <w:spacing w:val="-8"/>
          <w:sz w:val="21"/>
        </w:rPr>
        <w:t xml:space="preserve"> </w:t>
      </w:r>
      <w:r>
        <w:rPr>
          <w:color w:val="313131"/>
          <w:spacing w:val="-2"/>
          <w:sz w:val="26"/>
        </w:rPr>
        <w:t>Mr</w:t>
      </w:r>
      <w:r>
        <w:rPr>
          <w:color w:val="313131"/>
          <w:spacing w:val="-15"/>
          <w:sz w:val="26"/>
        </w:rPr>
        <w:t xml:space="preserve"> </w:t>
      </w:r>
      <w:r>
        <w:rPr>
          <w:color w:val="313131"/>
          <w:spacing w:val="-2"/>
          <w:sz w:val="21"/>
        </w:rPr>
        <w:t>Lange</w:t>
      </w:r>
    </w:p>
    <w:p w:rsidR="008B619F" w:rsidRDefault="008B619F">
      <w:pPr>
        <w:pStyle w:val="BodyText"/>
        <w:spacing w:before="39"/>
      </w:pPr>
    </w:p>
    <w:p w:rsidR="008B619F" w:rsidRDefault="00094B47">
      <w:pPr>
        <w:ind w:left="118"/>
        <w:rPr>
          <w:b/>
          <w:sz w:val="21"/>
        </w:rPr>
      </w:pPr>
      <w:r>
        <w:rPr>
          <w:b/>
          <w:color w:val="313131"/>
          <w:w w:val="105"/>
          <w:sz w:val="21"/>
        </w:rPr>
        <w:t>Regulation</w:t>
      </w:r>
      <w:r>
        <w:rPr>
          <w:b/>
          <w:color w:val="313131"/>
          <w:spacing w:val="9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Impact</w:t>
      </w:r>
      <w:r>
        <w:rPr>
          <w:b/>
          <w:color w:val="313131"/>
          <w:spacing w:val="-3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Statement</w:t>
      </w:r>
      <w:r>
        <w:rPr>
          <w:b/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-</w:t>
      </w:r>
      <w:r>
        <w:rPr>
          <w:color w:val="313131"/>
          <w:spacing w:val="37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Fuel</w:t>
      </w:r>
      <w:r>
        <w:rPr>
          <w:b/>
          <w:color w:val="313131"/>
          <w:spacing w:val="-2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Security</w:t>
      </w:r>
      <w:r>
        <w:rPr>
          <w:b/>
          <w:color w:val="313131"/>
          <w:spacing w:val="7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Reforms-</w:t>
      </w:r>
      <w:r>
        <w:rPr>
          <w:b/>
          <w:color w:val="313131"/>
          <w:spacing w:val="1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Second</w:t>
      </w:r>
      <w:r>
        <w:rPr>
          <w:b/>
          <w:color w:val="313131"/>
          <w:spacing w:val="5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Pass</w:t>
      </w:r>
      <w:r>
        <w:rPr>
          <w:b/>
          <w:color w:val="313131"/>
          <w:spacing w:val="-3"/>
          <w:w w:val="105"/>
          <w:sz w:val="21"/>
        </w:rPr>
        <w:t xml:space="preserve"> </w:t>
      </w:r>
      <w:r>
        <w:rPr>
          <w:b/>
          <w:color w:val="313131"/>
          <w:w w:val="105"/>
          <w:sz w:val="21"/>
        </w:rPr>
        <w:t>Final</w:t>
      </w:r>
      <w:r>
        <w:rPr>
          <w:b/>
          <w:color w:val="313131"/>
          <w:spacing w:val="1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1"/>
        </w:rPr>
        <w:t>Assessment</w:t>
      </w:r>
    </w:p>
    <w:p w:rsidR="008B619F" w:rsidRDefault="008B619F">
      <w:pPr>
        <w:pStyle w:val="BodyText"/>
        <w:spacing w:before="60"/>
        <w:rPr>
          <w:b/>
        </w:rPr>
      </w:pPr>
    </w:p>
    <w:p w:rsidR="008B619F" w:rsidRDefault="00094B47">
      <w:pPr>
        <w:pStyle w:val="BodyText"/>
        <w:spacing w:line="297" w:lineRule="auto"/>
        <w:ind w:left="120" w:firstLine="1"/>
      </w:pPr>
      <w:r>
        <w:rPr>
          <w:color w:val="313131"/>
          <w:w w:val="105"/>
        </w:rPr>
        <w:t>I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am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writing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relation to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attached Regulation Impact Statement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(RIS)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prepared for</w:t>
      </w:r>
      <w:r>
        <w:rPr>
          <w:color w:val="313131"/>
          <w:spacing w:val="-5"/>
          <w:w w:val="105"/>
        </w:rPr>
        <w:t xml:space="preserve"> </w:t>
      </w:r>
      <w:r>
        <w:rPr>
          <w:i/>
          <w:color w:val="313131"/>
          <w:w w:val="105"/>
        </w:rPr>
        <w:t>Fuel</w:t>
      </w:r>
      <w:r>
        <w:rPr>
          <w:i/>
          <w:color w:val="313131"/>
          <w:spacing w:val="-2"/>
          <w:w w:val="105"/>
        </w:rPr>
        <w:t xml:space="preserve"> </w:t>
      </w:r>
      <w:r>
        <w:rPr>
          <w:i/>
          <w:color w:val="313131"/>
          <w:w w:val="105"/>
        </w:rPr>
        <w:t>Security Bill 2021</w:t>
      </w:r>
      <w:r>
        <w:rPr>
          <w:i/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(reference 20489 and 42904). I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thank you and your office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for the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swift response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RIS during the first-pass assessment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process.</w:t>
      </w:r>
    </w:p>
    <w:p w:rsidR="008B619F" w:rsidRDefault="00094B47">
      <w:pPr>
        <w:pStyle w:val="BodyText"/>
        <w:spacing w:before="241" w:line="300" w:lineRule="auto"/>
        <w:ind w:left="120" w:right="221" w:firstLine="1"/>
      </w:pPr>
      <w:r>
        <w:rPr>
          <w:color w:val="313131"/>
          <w:w w:val="105"/>
        </w:rPr>
        <w:t>I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am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satisfied that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RIS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addresses the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points raised in your letter of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15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March 2021.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Specifically, the Department</w:t>
      </w:r>
      <w:r>
        <w:rPr>
          <w:color w:val="313131"/>
          <w:spacing w:val="29"/>
          <w:w w:val="105"/>
        </w:rPr>
        <w:t xml:space="preserve"> </w:t>
      </w:r>
      <w:r>
        <w:rPr>
          <w:color w:val="313131"/>
          <w:w w:val="105"/>
        </w:rPr>
        <w:t>has considered</w:t>
      </w:r>
      <w:r>
        <w:rPr>
          <w:color w:val="313131"/>
          <w:spacing w:val="33"/>
          <w:w w:val="105"/>
        </w:rPr>
        <w:t xml:space="preserve"> </w:t>
      </w:r>
      <w:r>
        <w:rPr>
          <w:color w:val="313131"/>
          <w:w w:val="105"/>
        </w:rPr>
        <w:t>your recommendations in the following ways:</w:t>
      </w:r>
    </w:p>
    <w:p w:rsidR="008B619F" w:rsidRDefault="00094B47">
      <w:pPr>
        <w:pStyle w:val="ListParagraph"/>
        <w:numPr>
          <w:ilvl w:val="0"/>
          <w:numId w:val="1"/>
        </w:numPr>
        <w:tabs>
          <w:tab w:val="left" w:pos="837"/>
          <w:tab w:val="left" w:pos="851"/>
        </w:tabs>
        <w:spacing w:before="237" w:line="304" w:lineRule="auto"/>
        <w:ind w:right="526" w:hanging="371"/>
        <w:rPr>
          <w:sz w:val="21"/>
        </w:rPr>
      </w:pPr>
      <w:r>
        <w:rPr>
          <w:color w:val="313131"/>
          <w:sz w:val="21"/>
        </w:rPr>
        <w:t>The document</w:t>
      </w:r>
      <w:r>
        <w:rPr>
          <w:color w:val="313131"/>
          <w:spacing w:val="38"/>
          <w:sz w:val="21"/>
        </w:rPr>
        <w:t xml:space="preserve"> </w:t>
      </w:r>
      <w:r>
        <w:rPr>
          <w:color w:val="313131"/>
          <w:sz w:val="21"/>
        </w:rPr>
        <w:t>has</w:t>
      </w:r>
      <w:r>
        <w:rPr>
          <w:color w:val="313131"/>
          <w:spacing w:val="26"/>
          <w:sz w:val="21"/>
        </w:rPr>
        <w:t xml:space="preserve"> </w:t>
      </w:r>
      <w:r>
        <w:rPr>
          <w:color w:val="313131"/>
          <w:sz w:val="21"/>
        </w:rPr>
        <w:t>been</w:t>
      </w:r>
      <w:r>
        <w:rPr>
          <w:color w:val="313131"/>
          <w:spacing w:val="28"/>
          <w:sz w:val="21"/>
        </w:rPr>
        <w:t xml:space="preserve"> </w:t>
      </w:r>
      <w:r>
        <w:rPr>
          <w:color w:val="313131"/>
          <w:sz w:val="21"/>
        </w:rPr>
        <w:t>reformatted</w:t>
      </w:r>
      <w:r>
        <w:rPr>
          <w:color w:val="313131"/>
          <w:spacing w:val="37"/>
          <w:sz w:val="21"/>
        </w:rPr>
        <w:t xml:space="preserve"> </w:t>
      </w:r>
      <w:r>
        <w:rPr>
          <w:color w:val="313131"/>
          <w:sz w:val="21"/>
        </w:rPr>
        <w:t>for</w:t>
      </w:r>
      <w:r>
        <w:rPr>
          <w:color w:val="313131"/>
          <w:spacing w:val="21"/>
          <w:sz w:val="21"/>
        </w:rPr>
        <w:t xml:space="preserve"> </w:t>
      </w:r>
      <w:r>
        <w:rPr>
          <w:color w:val="313131"/>
          <w:sz w:val="21"/>
        </w:rPr>
        <w:t>final</w:t>
      </w:r>
      <w:r>
        <w:rPr>
          <w:color w:val="313131"/>
          <w:spacing w:val="28"/>
          <w:sz w:val="21"/>
        </w:rPr>
        <w:t xml:space="preserve"> </w:t>
      </w:r>
      <w:r>
        <w:rPr>
          <w:color w:val="313131"/>
          <w:sz w:val="21"/>
        </w:rPr>
        <w:t>release,</w:t>
      </w:r>
      <w:r>
        <w:rPr>
          <w:color w:val="313131"/>
          <w:spacing w:val="28"/>
          <w:sz w:val="21"/>
        </w:rPr>
        <w:t xml:space="preserve"> </w:t>
      </w:r>
      <w:r>
        <w:rPr>
          <w:color w:val="313131"/>
          <w:sz w:val="21"/>
        </w:rPr>
        <w:t>and</w:t>
      </w:r>
      <w:r>
        <w:rPr>
          <w:color w:val="313131"/>
          <w:spacing w:val="23"/>
          <w:sz w:val="21"/>
        </w:rPr>
        <w:t xml:space="preserve"> </w:t>
      </w:r>
      <w:r>
        <w:rPr>
          <w:color w:val="313131"/>
          <w:sz w:val="21"/>
        </w:rPr>
        <w:t>an executive summary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has</w:t>
      </w:r>
      <w:r>
        <w:rPr>
          <w:color w:val="313131"/>
          <w:spacing w:val="27"/>
          <w:sz w:val="21"/>
        </w:rPr>
        <w:t xml:space="preserve"> </w:t>
      </w:r>
      <w:r>
        <w:rPr>
          <w:color w:val="313131"/>
          <w:sz w:val="21"/>
        </w:rPr>
        <w:t xml:space="preserve">been </w:t>
      </w:r>
      <w:r>
        <w:rPr>
          <w:color w:val="313131"/>
          <w:spacing w:val="-2"/>
          <w:sz w:val="21"/>
        </w:rPr>
        <w:t>included.</w:t>
      </w:r>
    </w:p>
    <w:p w:rsidR="008B619F" w:rsidRDefault="00094B47">
      <w:pPr>
        <w:pStyle w:val="ListParagraph"/>
        <w:numPr>
          <w:ilvl w:val="0"/>
          <w:numId w:val="1"/>
        </w:numPr>
        <w:tabs>
          <w:tab w:val="left" w:pos="837"/>
          <w:tab w:val="left" w:pos="841"/>
        </w:tabs>
        <w:spacing w:line="300" w:lineRule="auto"/>
        <w:ind w:left="837" w:hanging="358"/>
        <w:rPr>
          <w:sz w:val="21"/>
        </w:rPr>
      </w:pPr>
      <w:r>
        <w:rPr>
          <w:color w:val="313131"/>
          <w:sz w:val="21"/>
        </w:rPr>
        <w:tab/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Department has not presented a direct relationship between consumer</w:t>
      </w:r>
      <w:r>
        <w:rPr>
          <w:color w:val="313131"/>
          <w:spacing w:val="2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price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 stockholdings.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Localised disruption events do not have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 large impact on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fuel prices, which are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based on import parity pricing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and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are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dominated </w:t>
      </w:r>
      <w:r>
        <w:rPr>
          <w:color w:val="1F1F1F"/>
          <w:w w:val="105"/>
          <w:sz w:val="21"/>
        </w:rPr>
        <w:t>by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global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oil prices. The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links between the proposal and price </w:t>
      </w:r>
      <w:r>
        <w:rPr>
          <w:color w:val="1F1F1F"/>
          <w:w w:val="105"/>
          <w:sz w:val="21"/>
        </w:rPr>
        <w:t xml:space="preserve">impacts </w:t>
      </w:r>
      <w:r>
        <w:rPr>
          <w:color w:val="313131"/>
          <w:w w:val="105"/>
          <w:sz w:val="21"/>
        </w:rPr>
        <w:t>on consumers are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detailed elsewhere in the RIS.</w:t>
      </w:r>
    </w:p>
    <w:p w:rsidR="008B619F" w:rsidRDefault="00094B47">
      <w:pPr>
        <w:pStyle w:val="ListParagraph"/>
        <w:numPr>
          <w:ilvl w:val="0"/>
          <w:numId w:val="1"/>
        </w:numPr>
        <w:tabs>
          <w:tab w:val="left" w:pos="840"/>
        </w:tabs>
        <w:spacing w:before="239" w:line="297" w:lineRule="auto"/>
        <w:ind w:left="840" w:right="317" w:hanging="360"/>
        <w:rPr>
          <w:sz w:val="21"/>
        </w:rPr>
      </w:pPr>
      <w:r>
        <w:rPr>
          <w:color w:val="313131"/>
          <w:w w:val="105"/>
          <w:sz w:val="21"/>
        </w:rPr>
        <w:t xml:space="preserve">The policy considerations that informed the minimum stockholding obligation levels have now been included </w:t>
      </w:r>
      <w:r>
        <w:rPr>
          <w:color w:val="1F1F1F"/>
          <w:w w:val="105"/>
          <w:sz w:val="21"/>
        </w:rPr>
        <w:t xml:space="preserve">in </w:t>
      </w:r>
      <w:r>
        <w:rPr>
          <w:color w:val="313131"/>
          <w:w w:val="105"/>
          <w:sz w:val="21"/>
        </w:rPr>
        <w:t>the RIS.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chosen</w:t>
      </w:r>
      <w:r>
        <w:rPr>
          <w:color w:val="313131"/>
          <w:spacing w:val="2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levels reflect the importance of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diesel to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our economy and our fuel security. Additional analysis of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 various policy parameters considered for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obligation has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also been incorporated, which includes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setting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of</w:t>
      </w:r>
      <w:r>
        <w:rPr>
          <w:color w:val="313131"/>
          <w:spacing w:val="-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stock levels, the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scope of fuels to be regulated, and the geographic granularity of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 obligation.</w:t>
      </w:r>
    </w:p>
    <w:p w:rsidR="008B619F" w:rsidRDefault="00094B47">
      <w:pPr>
        <w:pStyle w:val="BodyText"/>
        <w:spacing w:before="209" w:line="290" w:lineRule="auto"/>
        <w:ind w:left="121" w:right="221" w:firstLine="3"/>
      </w:pPr>
      <w:r>
        <w:rPr>
          <w:color w:val="313131"/>
          <w:w w:val="105"/>
        </w:rPr>
        <w:t>The total costs and benefits of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 proposal are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set out in the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RIS, quantitatively where possible. Where monetisation</w:t>
      </w:r>
      <w:r>
        <w:rPr>
          <w:color w:val="313131"/>
          <w:spacing w:val="17"/>
          <w:w w:val="105"/>
        </w:rPr>
        <w:t xml:space="preserve"> </w:t>
      </w:r>
      <w:r>
        <w:rPr>
          <w:color w:val="313131"/>
          <w:w w:val="105"/>
        </w:rPr>
        <w:t>is not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possible, the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RIS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sets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out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where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costs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and benefits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are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expected to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accrue. In terms of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regulatory</w:t>
      </w:r>
      <w:r>
        <w:rPr>
          <w:color w:val="313131"/>
          <w:spacing w:val="15"/>
          <w:w w:val="105"/>
        </w:rPr>
        <w:t xml:space="preserve"> </w:t>
      </w:r>
      <w:r>
        <w:rPr>
          <w:color w:val="313131"/>
          <w:w w:val="105"/>
        </w:rPr>
        <w:t>burden</w:t>
      </w:r>
      <w:r>
        <w:rPr>
          <w:color w:val="5B5B5B"/>
          <w:w w:val="105"/>
        </w:rPr>
        <w:t>,</w:t>
      </w:r>
      <w:r>
        <w:rPr>
          <w:color w:val="5B5B5B"/>
          <w:spacing w:val="-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Department anticipates some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administrative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costs will be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incurred by recipients of payments and support for infrastructure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upgrades,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but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these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costs will be minor and greatly outweighed by the payments received. Specific Regulatory Burden Measure costs for participating in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the proposed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payment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programs have not been calculated as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they will be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highly dependent on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final program design. 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Department will work to minimise regulatory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burden and compliance costs when designing the implementation arrangements for these programs.</w:t>
      </w:r>
    </w:p>
    <w:p w:rsidR="008B619F" w:rsidRDefault="008B619F">
      <w:pPr>
        <w:spacing w:line="290" w:lineRule="auto"/>
        <w:sectPr w:rsidR="008B61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50"/>
          <w:pgMar w:top="1360" w:right="1320" w:bottom="280" w:left="1320" w:header="720" w:footer="720" w:gutter="0"/>
          <w:cols w:space="720"/>
        </w:sectPr>
      </w:pPr>
    </w:p>
    <w:p w:rsidR="008B619F" w:rsidRDefault="00094B47">
      <w:pPr>
        <w:pStyle w:val="BodyText"/>
        <w:spacing w:before="62" w:line="290" w:lineRule="auto"/>
        <w:ind w:left="114" w:firstLine="1"/>
      </w:pPr>
      <w:r>
        <w:rPr>
          <w:color w:val="313131"/>
          <w:w w:val="105"/>
        </w:rPr>
        <w:lastRenderedPageBreak/>
        <w:t>The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price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impacts will be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further assessed during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consultation on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Ministerial Rules,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taking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into account the effects of the diesel storage grants program.</w:t>
      </w:r>
    </w:p>
    <w:p w:rsidR="008B619F" w:rsidRDefault="008B619F">
      <w:pPr>
        <w:pStyle w:val="BodyText"/>
        <w:spacing w:before="39"/>
      </w:pPr>
    </w:p>
    <w:p w:rsidR="008B619F" w:rsidRDefault="00094B47">
      <w:pPr>
        <w:spacing w:line="300" w:lineRule="auto"/>
        <w:ind w:left="112" w:firstLine="8"/>
        <w:rPr>
          <w:i/>
          <w:sz w:val="21"/>
        </w:rPr>
      </w:pPr>
      <w:r>
        <w:rPr>
          <w:color w:val="313131"/>
          <w:sz w:val="21"/>
        </w:rPr>
        <w:t>Accordingly,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I am satisfied</w:t>
      </w:r>
      <w:r>
        <w:rPr>
          <w:color w:val="313131"/>
          <w:spacing w:val="27"/>
          <w:sz w:val="21"/>
        </w:rPr>
        <w:t xml:space="preserve"> </w:t>
      </w:r>
      <w:r>
        <w:rPr>
          <w:color w:val="313131"/>
          <w:sz w:val="21"/>
        </w:rPr>
        <w:t>that</w:t>
      </w:r>
      <w:r>
        <w:rPr>
          <w:color w:val="313131"/>
          <w:spacing w:val="24"/>
          <w:sz w:val="21"/>
        </w:rPr>
        <w:t xml:space="preserve"> </w:t>
      </w:r>
      <w:r>
        <w:rPr>
          <w:color w:val="313131"/>
          <w:sz w:val="21"/>
        </w:rPr>
        <w:t>the RIS</w:t>
      </w:r>
      <w:r>
        <w:rPr>
          <w:color w:val="313131"/>
          <w:spacing w:val="24"/>
          <w:sz w:val="21"/>
        </w:rPr>
        <w:t xml:space="preserve"> </w:t>
      </w:r>
      <w:r>
        <w:rPr>
          <w:color w:val="313131"/>
          <w:sz w:val="21"/>
        </w:rPr>
        <w:t>now</w:t>
      </w:r>
      <w:r>
        <w:rPr>
          <w:color w:val="313131"/>
          <w:spacing w:val="27"/>
          <w:sz w:val="21"/>
        </w:rPr>
        <w:t xml:space="preserve"> </w:t>
      </w:r>
      <w:r>
        <w:rPr>
          <w:color w:val="313131"/>
          <w:sz w:val="21"/>
        </w:rPr>
        <w:t>meets</w:t>
      </w:r>
      <w:r>
        <w:rPr>
          <w:color w:val="313131"/>
          <w:spacing w:val="31"/>
          <w:sz w:val="21"/>
        </w:rPr>
        <w:t xml:space="preserve"> </w:t>
      </w:r>
      <w:r>
        <w:rPr>
          <w:color w:val="313131"/>
          <w:sz w:val="21"/>
        </w:rPr>
        <w:t>best</w:t>
      </w:r>
      <w:r>
        <w:rPr>
          <w:color w:val="313131"/>
          <w:spacing w:val="33"/>
          <w:sz w:val="21"/>
        </w:rPr>
        <w:t xml:space="preserve"> </w:t>
      </w:r>
      <w:r>
        <w:rPr>
          <w:color w:val="313131"/>
          <w:sz w:val="21"/>
        </w:rPr>
        <w:t>practice consistent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with</w:t>
      </w:r>
      <w:r>
        <w:rPr>
          <w:color w:val="313131"/>
          <w:spacing w:val="21"/>
          <w:sz w:val="21"/>
        </w:rPr>
        <w:t xml:space="preserve"> </w:t>
      </w:r>
      <w:r>
        <w:rPr>
          <w:color w:val="313131"/>
          <w:sz w:val="21"/>
        </w:rPr>
        <w:t xml:space="preserve">the </w:t>
      </w:r>
      <w:r>
        <w:rPr>
          <w:i/>
          <w:color w:val="313131"/>
          <w:sz w:val="21"/>
        </w:rPr>
        <w:t>Australian Government Guide to Regulation</w:t>
      </w:r>
      <w:r>
        <w:rPr>
          <w:i/>
          <w:color w:val="626262"/>
          <w:sz w:val="21"/>
        </w:rPr>
        <w:t>.</w:t>
      </w:r>
    </w:p>
    <w:p w:rsidR="008B619F" w:rsidRDefault="00094B47">
      <w:pPr>
        <w:pStyle w:val="BodyText"/>
        <w:spacing w:before="238"/>
        <w:ind w:left="117"/>
      </w:pPr>
      <w:r>
        <w:rPr>
          <w:color w:val="313131"/>
          <w:w w:val="105"/>
        </w:rPr>
        <w:t>I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submit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RIS 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Office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Best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Practice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Regulation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for formal</w:t>
      </w:r>
      <w:r>
        <w:rPr>
          <w:color w:val="313131"/>
          <w:spacing w:val="-30"/>
          <w:w w:val="105"/>
        </w:rPr>
        <w:t xml:space="preserve"> </w:t>
      </w:r>
      <w:r>
        <w:rPr>
          <w:color w:val="313131"/>
          <w:w w:val="105"/>
        </w:rPr>
        <w:t>final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spacing w:val="-2"/>
          <w:w w:val="105"/>
        </w:rPr>
        <w:t>assessment.</w:t>
      </w:r>
    </w:p>
    <w:p w:rsidR="008B619F" w:rsidRDefault="008B619F">
      <w:pPr>
        <w:pStyle w:val="BodyText"/>
      </w:pPr>
    </w:p>
    <w:p w:rsidR="008B619F" w:rsidRDefault="008B619F">
      <w:pPr>
        <w:pStyle w:val="BodyText"/>
        <w:spacing w:before="73"/>
      </w:pPr>
    </w:p>
    <w:p w:rsidR="008B619F" w:rsidRDefault="00094B47">
      <w:pPr>
        <w:pStyle w:val="BodyText"/>
        <w:ind w:left="119"/>
      </w:pPr>
      <w:r>
        <w:rPr>
          <w:color w:val="313131"/>
          <w:w w:val="105"/>
        </w:rPr>
        <w:t>Yours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spacing w:val="-2"/>
          <w:w w:val="105"/>
        </w:rPr>
        <w:t>sincerely</w:t>
      </w:r>
    </w:p>
    <w:p w:rsidR="008B619F" w:rsidRDefault="008B619F">
      <w:pPr>
        <w:pStyle w:val="BodyText"/>
        <w:rPr>
          <w:noProof/>
          <w:lang w:val="en-AU" w:eastAsia="en-AU"/>
        </w:rPr>
      </w:pPr>
    </w:p>
    <w:p w:rsidR="00247432" w:rsidRDefault="00247432">
      <w:pPr>
        <w:pStyle w:val="BodyText"/>
        <w:rPr>
          <w:noProof/>
          <w:lang w:val="en-AU" w:eastAsia="en-AU"/>
        </w:rPr>
      </w:pPr>
    </w:p>
    <w:p w:rsidR="00247432" w:rsidRDefault="00247432">
      <w:pPr>
        <w:pStyle w:val="BodyText"/>
        <w:rPr>
          <w:noProof/>
          <w:lang w:val="en-AU" w:eastAsia="en-AU"/>
        </w:rPr>
      </w:pPr>
    </w:p>
    <w:p w:rsidR="00247432" w:rsidRDefault="00247432">
      <w:pPr>
        <w:pStyle w:val="BodyText"/>
        <w:rPr>
          <w:sz w:val="14"/>
        </w:rPr>
      </w:pPr>
      <w:bookmarkStart w:id="0" w:name="_GoBack"/>
      <w:bookmarkEnd w:id="0"/>
    </w:p>
    <w:p w:rsidR="008B619F" w:rsidRDefault="00094B47">
      <w:pPr>
        <w:pStyle w:val="BodyText"/>
        <w:spacing w:before="40" w:line="252" w:lineRule="auto"/>
        <w:ind w:left="118" w:right="7403"/>
      </w:pPr>
      <w:r>
        <w:rPr>
          <w:color w:val="313131"/>
        </w:rPr>
        <w:t>Sean Sullivan Deputy Secretary</w:t>
      </w:r>
    </w:p>
    <w:p w:rsidR="008B619F" w:rsidRDefault="00094B47">
      <w:pPr>
        <w:pStyle w:val="BodyText"/>
        <w:spacing w:before="3" w:line="290" w:lineRule="auto"/>
        <w:ind w:left="117" w:right="4091"/>
      </w:pPr>
      <w:r>
        <w:rPr>
          <w:color w:val="313131"/>
          <w:w w:val="105"/>
        </w:rPr>
        <w:t>Department of lndustry</w:t>
      </w:r>
      <w:r>
        <w:rPr>
          <w:color w:val="626262"/>
          <w:w w:val="105"/>
        </w:rPr>
        <w:t>,</w:t>
      </w:r>
      <w:r>
        <w:rPr>
          <w:color w:val="626262"/>
          <w:spacing w:val="-7"/>
          <w:w w:val="105"/>
        </w:rPr>
        <w:t xml:space="preserve"> </w:t>
      </w:r>
      <w:r>
        <w:rPr>
          <w:color w:val="313131"/>
          <w:w w:val="105"/>
        </w:rPr>
        <w:t>Science, Energy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and Resources 21 May 2021</w:t>
      </w: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8B619F">
      <w:pPr>
        <w:pStyle w:val="BodyText"/>
        <w:rPr>
          <w:sz w:val="20"/>
        </w:rPr>
      </w:pPr>
    </w:p>
    <w:p w:rsidR="008B619F" w:rsidRDefault="00094B47">
      <w:pPr>
        <w:pStyle w:val="BodyText"/>
        <w:spacing w:before="227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2320213</wp:posOffset>
                </wp:positionH>
                <wp:positionV relativeFrom="paragraph">
                  <wp:posOffset>305422</wp:posOffset>
                </wp:positionV>
                <wp:extent cx="452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>
                              <a:moveTo>
                                <a:pt x="0" y="0"/>
                              </a:moveTo>
                              <a:lnTo>
                                <a:pt x="451831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99F73" id="Graphic 4" o:spid="_x0000_s1026" style="position:absolute;margin-left:182.7pt;margin-top:24.05pt;width:35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" path="m,l451831,e" filled="f" strokeweight=".1695mm">
                <v:path arrowok="t"/>
                <w10:wrap type="topAndBottom" anchorx="page"/>
              </v:shape>
            </w:pict>
          </mc:Fallback>
        </mc:AlternateContent>
      </w:r>
    </w:p>
    <w:sectPr w:rsidR="008B619F">
      <w:pgSz w:w="11920" w:h="16850"/>
      <w:pgMar w:top="1300" w:right="132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87" w:rsidRDefault="00EB7587" w:rsidP="00EB7587">
      <w:r>
        <w:separator/>
      </w:r>
    </w:p>
  </w:endnote>
  <w:endnote w:type="continuationSeparator" w:id="0">
    <w:p w:rsidR="00EB7587" w:rsidRDefault="00EB7587" w:rsidP="00EB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7" w:rsidRDefault="00EB7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7" w:rsidRDefault="00EB7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7" w:rsidRDefault="00EB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87" w:rsidRDefault="00EB7587" w:rsidP="00EB7587">
      <w:r>
        <w:separator/>
      </w:r>
    </w:p>
  </w:footnote>
  <w:footnote w:type="continuationSeparator" w:id="0">
    <w:p w:rsidR="00EB7587" w:rsidRDefault="00EB7587" w:rsidP="00EB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7" w:rsidRDefault="00EB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7" w:rsidRDefault="00EB7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7" w:rsidRDefault="00EB7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175"/>
    <w:multiLevelType w:val="hybridMultilevel"/>
    <w:tmpl w:val="DEF29ACC"/>
    <w:lvl w:ilvl="0" w:tplc="273A3BE0">
      <w:numFmt w:val="bullet"/>
      <w:lvlText w:val="•"/>
      <w:lvlJc w:val="left"/>
      <w:pPr>
        <w:ind w:left="85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1"/>
        <w:sz w:val="21"/>
        <w:szCs w:val="21"/>
        <w:lang w:val="en-US" w:eastAsia="en-US" w:bidi="ar-SA"/>
      </w:rPr>
    </w:lvl>
    <w:lvl w:ilvl="1" w:tplc="8DA0AF5E">
      <w:numFmt w:val="bullet"/>
      <w:lvlText w:val="•"/>
      <w:lvlJc w:val="left"/>
      <w:pPr>
        <w:ind w:left="1701" w:hanging="357"/>
      </w:pPr>
      <w:rPr>
        <w:rFonts w:hint="default"/>
        <w:lang w:val="en-US" w:eastAsia="en-US" w:bidi="ar-SA"/>
      </w:rPr>
    </w:lvl>
    <w:lvl w:ilvl="2" w:tplc="438827BC">
      <w:numFmt w:val="bullet"/>
      <w:lvlText w:val="•"/>
      <w:lvlJc w:val="left"/>
      <w:pPr>
        <w:ind w:left="2542" w:hanging="357"/>
      </w:pPr>
      <w:rPr>
        <w:rFonts w:hint="default"/>
        <w:lang w:val="en-US" w:eastAsia="en-US" w:bidi="ar-SA"/>
      </w:rPr>
    </w:lvl>
    <w:lvl w:ilvl="3" w:tplc="D63E996A">
      <w:numFmt w:val="bullet"/>
      <w:lvlText w:val="•"/>
      <w:lvlJc w:val="left"/>
      <w:pPr>
        <w:ind w:left="3384" w:hanging="357"/>
      </w:pPr>
      <w:rPr>
        <w:rFonts w:hint="default"/>
        <w:lang w:val="en-US" w:eastAsia="en-US" w:bidi="ar-SA"/>
      </w:rPr>
    </w:lvl>
    <w:lvl w:ilvl="4" w:tplc="DEB69C52">
      <w:numFmt w:val="bullet"/>
      <w:lvlText w:val="•"/>
      <w:lvlJc w:val="left"/>
      <w:pPr>
        <w:ind w:left="4225" w:hanging="357"/>
      </w:pPr>
      <w:rPr>
        <w:rFonts w:hint="default"/>
        <w:lang w:val="en-US" w:eastAsia="en-US" w:bidi="ar-SA"/>
      </w:rPr>
    </w:lvl>
    <w:lvl w:ilvl="5" w:tplc="777E9C48">
      <w:numFmt w:val="bullet"/>
      <w:lvlText w:val="•"/>
      <w:lvlJc w:val="left"/>
      <w:pPr>
        <w:ind w:left="5066" w:hanging="357"/>
      </w:pPr>
      <w:rPr>
        <w:rFonts w:hint="default"/>
        <w:lang w:val="en-US" w:eastAsia="en-US" w:bidi="ar-SA"/>
      </w:rPr>
    </w:lvl>
    <w:lvl w:ilvl="6" w:tplc="F9560566">
      <w:numFmt w:val="bullet"/>
      <w:lvlText w:val="•"/>
      <w:lvlJc w:val="left"/>
      <w:pPr>
        <w:ind w:left="5908" w:hanging="357"/>
      </w:pPr>
      <w:rPr>
        <w:rFonts w:hint="default"/>
        <w:lang w:val="en-US" w:eastAsia="en-US" w:bidi="ar-SA"/>
      </w:rPr>
    </w:lvl>
    <w:lvl w:ilvl="7" w:tplc="77A6AA26">
      <w:numFmt w:val="bullet"/>
      <w:lvlText w:val="•"/>
      <w:lvlJc w:val="left"/>
      <w:pPr>
        <w:ind w:left="6749" w:hanging="357"/>
      </w:pPr>
      <w:rPr>
        <w:rFonts w:hint="default"/>
        <w:lang w:val="en-US" w:eastAsia="en-US" w:bidi="ar-SA"/>
      </w:rPr>
    </w:lvl>
    <w:lvl w:ilvl="8" w:tplc="E062BA6A">
      <w:numFmt w:val="bullet"/>
      <w:lvlText w:val="•"/>
      <w:lvlJc w:val="left"/>
      <w:pPr>
        <w:ind w:left="7590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B619F"/>
    <w:rsid w:val="00094B47"/>
    <w:rsid w:val="00247432"/>
    <w:rsid w:val="00885810"/>
    <w:rsid w:val="008B619F"/>
    <w:rsid w:val="00E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2D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28"/>
      <w:ind w:left="837" w:right="277" w:hanging="3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7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5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7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5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2024-12-22T22:31:00Z</dcterms:created>
  <dcterms:modified xsi:type="dcterms:W3CDTF">2024-12-22T22:32:00Z</dcterms:modified>
</cp:coreProperties>
</file>