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A6B" w:rsidRDefault="00BD5B1E">
      <w:pPr>
        <w:pStyle w:val="Title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1685208</wp:posOffset>
                </wp:positionH>
                <wp:positionV relativeFrom="paragraph">
                  <wp:posOffset>330796</wp:posOffset>
                </wp:positionV>
                <wp:extent cx="185928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9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9280">
                              <a:moveTo>
                                <a:pt x="0" y="0"/>
                              </a:moveTo>
                              <a:lnTo>
                                <a:pt x="185922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C1CD7" id="Graphic 1" o:spid="_x0000_s1026" style="position:absolute;margin-left:132.7pt;margin-top:26.05pt;width:146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9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" path="m,l1859224,e" filled="f" strokeweight=".2542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903661</wp:posOffset>
            </wp:positionH>
            <wp:positionV relativeFrom="paragraph">
              <wp:posOffset>1236</wp:posOffset>
            </wp:positionV>
            <wp:extent cx="732698" cy="53705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98" cy="53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3F3F"/>
          <w:w w:val="90"/>
        </w:rPr>
        <w:t>Australian</w:t>
      </w:r>
      <w:r>
        <w:rPr>
          <w:color w:val="3F3F3F"/>
          <w:spacing w:val="-5"/>
        </w:rPr>
        <w:t xml:space="preserve"> </w:t>
      </w:r>
      <w:r>
        <w:rPr>
          <w:color w:val="3F3F3F"/>
          <w:spacing w:val="-2"/>
        </w:rPr>
        <w:t>Government</w:t>
      </w:r>
    </w:p>
    <w:p w:rsidR="00DD2A6B" w:rsidRDefault="00BD5B1E">
      <w:pPr>
        <w:pStyle w:val="Heading1"/>
        <w:spacing w:before="42" w:line="261" w:lineRule="auto"/>
        <w:ind w:left="1373" w:right="4401"/>
      </w:pPr>
      <w:r>
        <w:rPr>
          <w:color w:val="3F3F3F"/>
          <w:spacing w:val="-2"/>
        </w:rPr>
        <w:t>Department</w:t>
      </w:r>
      <w:r>
        <w:rPr>
          <w:color w:val="3F3F3F"/>
          <w:spacing w:val="-3"/>
        </w:rPr>
        <w:t xml:space="preserve"> </w:t>
      </w:r>
      <w:r>
        <w:rPr>
          <w:color w:val="3F3F3F"/>
          <w:spacing w:val="-2"/>
        </w:rPr>
        <w:t>of</w:t>
      </w:r>
      <w:r>
        <w:rPr>
          <w:color w:val="3F3F3F"/>
          <w:spacing w:val="-8"/>
        </w:rPr>
        <w:t xml:space="preserve"> </w:t>
      </w:r>
      <w:r>
        <w:rPr>
          <w:color w:val="3F3F3F"/>
          <w:spacing w:val="-2"/>
        </w:rPr>
        <w:t>Industry,</w:t>
      </w:r>
      <w:r>
        <w:rPr>
          <w:color w:val="3F3F3F"/>
          <w:spacing w:val="-9"/>
        </w:rPr>
        <w:t xml:space="preserve"> </w:t>
      </w:r>
      <w:r>
        <w:rPr>
          <w:color w:val="3F3F3F"/>
          <w:spacing w:val="-2"/>
        </w:rPr>
        <w:t xml:space="preserve">Science, </w:t>
      </w:r>
      <w:r>
        <w:rPr>
          <w:color w:val="3F3F3F"/>
        </w:rPr>
        <w:t>Energy and Resources</w:t>
      </w:r>
    </w:p>
    <w:p w:rsidR="00DD2A6B" w:rsidRDefault="00DD2A6B">
      <w:pPr>
        <w:pStyle w:val="BodyText"/>
        <w:rPr>
          <w:b/>
        </w:rPr>
      </w:pPr>
    </w:p>
    <w:p w:rsidR="00DD2A6B" w:rsidRDefault="00DD2A6B">
      <w:pPr>
        <w:pStyle w:val="BodyText"/>
        <w:spacing w:before="52"/>
        <w:rPr>
          <w:b/>
        </w:rPr>
      </w:pPr>
    </w:p>
    <w:p w:rsidR="00DD2A6B" w:rsidRDefault="00BD5B1E">
      <w:pPr>
        <w:pStyle w:val="BodyText"/>
        <w:spacing w:line="252" w:lineRule="auto"/>
        <w:ind w:left="123" w:right="7220" w:hanging="4"/>
      </w:pPr>
      <w:proofErr w:type="spellStart"/>
      <w:r>
        <w:rPr>
          <w:color w:val="3F3F3F"/>
          <w:w w:val="105"/>
        </w:rPr>
        <w:t>Mr</w:t>
      </w:r>
      <w:proofErr w:type="spellEnd"/>
      <w:r>
        <w:rPr>
          <w:color w:val="3F3F3F"/>
          <w:w w:val="105"/>
        </w:rPr>
        <w:t xml:space="preserve"> Jason Lange </w:t>
      </w:r>
      <w:r>
        <w:rPr>
          <w:color w:val="3F3F3F"/>
          <w:spacing w:val="-2"/>
          <w:w w:val="105"/>
        </w:rPr>
        <w:t>Executive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spacing w:val="-2"/>
          <w:w w:val="105"/>
        </w:rPr>
        <w:t>Director</w:t>
      </w:r>
    </w:p>
    <w:p w:rsidR="00DD2A6B" w:rsidRDefault="00BD5B1E">
      <w:pPr>
        <w:pStyle w:val="BodyText"/>
        <w:spacing w:line="256" w:lineRule="auto"/>
        <w:ind w:left="117" w:right="6103" w:firstLine="2"/>
      </w:pPr>
      <w:r>
        <w:rPr>
          <w:color w:val="3F3F3F"/>
          <w:w w:val="105"/>
        </w:rPr>
        <w:t>Office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of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Best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Practice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Regulation 1 National Circuit</w:t>
      </w:r>
    </w:p>
    <w:p w:rsidR="00DD2A6B" w:rsidRDefault="00BD5B1E">
      <w:pPr>
        <w:pStyle w:val="BodyText"/>
        <w:spacing w:line="239" w:lineRule="exact"/>
        <w:ind w:left="119"/>
      </w:pPr>
      <w:r>
        <w:rPr>
          <w:color w:val="3F3F3F"/>
          <w:w w:val="105"/>
        </w:rPr>
        <w:t>BARTON</w:t>
      </w:r>
      <w:r>
        <w:rPr>
          <w:color w:val="3F3F3F"/>
          <w:spacing w:val="8"/>
          <w:w w:val="105"/>
        </w:rPr>
        <w:t xml:space="preserve"> </w:t>
      </w:r>
      <w:r>
        <w:rPr>
          <w:color w:val="3F3F3F"/>
          <w:w w:val="105"/>
        </w:rPr>
        <w:t>ACT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spacing w:val="-4"/>
          <w:w w:val="105"/>
        </w:rPr>
        <w:t>2600</w:t>
      </w:r>
    </w:p>
    <w:p w:rsidR="00DD2A6B" w:rsidRDefault="00DD2A6B">
      <w:pPr>
        <w:pStyle w:val="BodyText"/>
        <w:spacing w:before="19"/>
      </w:pPr>
    </w:p>
    <w:p w:rsidR="00DD2A6B" w:rsidRDefault="00BD5B1E">
      <w:pPr>
        <w:pStyle w:val="BodyText"/>
        <w:ind w:left="119"/>
      </w:pPr>
      <w:r>
        <w:rPr>
          <w:color w:val="3F3F3F"/>
          <w:w w:val="105"/>
        </w:rPr>
        <w:t>By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 xml:space="preserve">email: </w:t>
      </w:r>
      <w:hyperlink r:id="rId8">
        <w:r>
          <w:rPr>
            <w:color w:val="2A6091"/>
            <w:w w:val="105"/>
            <w:u w:val="thick" w:color="2A6091"/>
          </w:rPr>
          <w:t>helpdesk-</w:t>
        </w:r>
        <w:r>
          <w:rPr>
            <w:color w:val="2A6091"/>
            <w:spacing w:val="-2"/>
            <w:w w:val="105"/>
            <w:u w:val="thick" w:color="2A6091"/>
          </w:rPr>
          <w:t>OBPR</w:t>
        </w:r>
        <w:r>
          <w:rPr>
            <w:color w:val="4B7293"/>
            <w:spacing w:val="-2"/>
            <w:w w:val="105"/>
            <w:u w:val="thick" w:color="2A6091"/>
          </w:rPr>
          <w:t>@</w:t>
        </w:r>
        <w:r>
          <w:rPr>
            <w:color w:val="2A6091"/>
            <w:spacing w:val="-2"/>
            <w:w w:val="105"/>
            <w:u w:val="thick" w:color="2A6091"/>
          </w:rPr>
          <w:t>pmc.gov</w:t>
        </w:r>
        <w:r>
          <w:rPr>
            <w:color w:val="4B7293"/>
            <w:spacing w:val="-2"/>
            <w:w w:val="105"/>
            <w:u w:val="thick" w:color="2A6091"/>
          </w:rPr>
          <w:t>.</w:t>
        </w:r>
        <w:r>
          <w:rPr>
            <w:color w:val="2A6091"/>
            <w:spacing w:val="-2"/>
            <w:w w:val="105"/>
            <w:u w:val="thick" w:color="2A6091"/>
          </w:rPr>
          <w:t>au</w:t>
        </w:r>
      </w:hyperlink>
    </w:p>
    <w:p w:rsidR="00DD2A6B" w:rsidRDefault="00DD2A6B">
      <w:pPr>
        <w:pStyle w:val="BodyText"/>
      </w:pPr>
    </w:p>
    <w:p w:rsidR="00DD2A6B" w:rsidRDefault="00DD2A6B">
      <w:pPr>
        <w:pStyle w:val="BodyText"/>
        <w:spacing w:before="35"/>
      </w:pPr>
    </w:p>
    <w:p w:rsidR="00DD2A6B" w:rsidRDefault="00BD5B1E">
      <w:pPr>
        <w:pStyle w:val="BodyText"/>
        <w:ind w:left="119"/>
      </w:pPr>
      <w:r>
        <w:rPr>
          <w:color w:val="3F3F3F"/>
        </w:rPr>
        <w:t>Dear</w:t>
      </w:r>
      <w:r>
        <w:rPr>
          <w:color w:val="3F3F3F"/>
          <w:spacing w:val="22"/>
        </w:rPr>
        <w:t xml:space="preserve"> </w:t>
      </w:r>
      <w:proofErr w:type="spellStart"/>
      <w:r>
        <w:rPr>
          <w:color w:val="3F3F3F"/>
        </w:rPr>
        <w:t>Mr</w:t>
      </w:r>
      <w:proofErr w:type="spellEnd"/>
      <w:r>
        <w:rPr>
          <w:color w:val="3F3F3F"/>
          <w:spacing w:val="18"/>
        </w:rPr>
        <w:t xml:space="preserve"> </w:t>
      </w:r>
      <w:r>
        <w:rPr>
          <w:color w:val="3F3F3F"/>
          <w:spacing w:val="-2"/>
        </w:rPr>
        <w:t>Lange</w:t>
      </w:r>
    </w:p>
    <w:p w:rsidR="00DD2A6B" w:rsidRDefault="00DD2A6B">
      <w:pPr>
        <w:pStyle w:val="BodyText"/>
        <w:spacing w:before="50"/>
      </w:pPr>
    </w:p>
    <w:p w:rsidR="00DD2A6B" w:rsidRDefault="00BD5B1E">
      <w:pPr>
        <w:pStyle w:val="Heading1"/>
        <w:spacing w:line="300" w:lineRule="auto"/>
        <w:ind w:firstLine="5"/>
      </w:pPr>
      <w:r>
        <w:rPr>
          <w:color w:val="3F3F3F"/>
          <w:w w:val="105"/>
        </w:rPr>
        <w:t>Fuel Security RIS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-Addendum in relation to Fuel Security Services Payment (FSSP) Rule and Petroleum and Other Fuels Reporting (POFR) Amendment FSSP Rule</w:t>
      </w:r>
    </w:p>
    <w:p w:rsidR="00DD2A6B" w:rsidRDefault="00BD5B1E">
      <w:pPr>
        <w:pStyle w:val="BodyText"/>
        <w:spacing w:before="238" w:line="297" w:lineRule="auto"/>
        <w:ind w:left="116" w:right="209" w:firstLine="1"/>
      </w:pPr>
      <w:r>
        <w:rPr>
          <w:color w:val="3F3F3F"/>
          <w:w w:val="105"/>
        </w:rPr>
        <w:t>I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am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writing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to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submit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the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Regulation Impact Statement (RJS)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addendum prepared for the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FSSP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Rule and POFR Amendment FSSP Rule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for assessment. This addendum relates to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the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 xml:space="preserve">RJS for the </w:t>
      </w:r>
      <w:r>
        <w:rPr>
          <w:i/>
          <w:color w:val="3F3F3F"/>
          <w:w w:val="105"/>
        </w:rPr>
        <w:t>Fuel Security Act 2021</w:t>
      </w:r>
      <w:r>
        <w:rPr>
          <w:i/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(reference 20489 and 42904) and your response letter on 21 May 2021,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 xml:space="preserve">addressed to the Deputy Secretary of the Department of </w:t>
      </w:r>
      <w:proofErr w:type="spellStart"/>
      <w:r>
        <w:rPr>
          <w:color w:val="3F3F3F"/>
          <w:w w:val="105"/>
        </w:rPr>
        <w:t>lndustry</w:t>
      </w:r>
      <w:proofErr w:type="spellEnd"/>
      <w:r>
        <w:rPr>
          <w:color w:val="3F3F3F"/>
          <w:w w:val="105"/>
        </w:rPr>
        <w:t>, Science, Energy and Resources.</w:t>
      </w:r>
    </w:p>
    <w:p w:rsidR="00DD2A6B" w:rsidRDefault="00DD2A6B">
      <w:pPr>
        <w:pStyle w:val="BodyText"/>
        <w:spacing w:before="2"/>
      </w:pPr>
    </w:p>
    <w:p w:rsidR="00DD2A6B" w:rsidRDefault="00BD5B1E">
      <w:pPr>
        <w:pStyle w:val="BodyText"/>
        <w:spacing w:line="297" w:lineRule="auto"/>
        <w:ind w:left="121" w:right="209" w:hanging="1"/>
      </w:pPr>
      <w:r>
        <w:rPr>
          <w:color w:val="3F3F3F"/>
          <w:w w:val="105"/>
        </w:rPr>
        <w:t>As mentioned</w:t>
      </w:r>
      <w:r>
        <w:rPr>
          <w:color w:val="3F3F3F"/>
          <w:spacing w:val="22"/>
          <w:w w:val="105"/>
        </w:rPr>
        <w:t xml:space="preserve"> </w:t>
      </w:r>
      <w:r>
        <w:rPr>
          <w:color w:val="3F3F3F"/>
          <w:w w:val="105"/>
        </w:rPr>
        <w:t>in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the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Department's</w:t>
      </w:r>
      <w:r>
        <w:rPr>
          <w:color w:val="3F3F3F"/>
          <w:spacing w:val="15"/>
          <w:w w:val="105"/>
        </w:rPr>
        <w:t xml:space="preserve"> </w:t>
      </w:r>
      <w:r>
        <w:rPr>
          <w:color w:val="3F3F3F"/>
          <w:w w:val="105"/>
        </w:rPr>
        <w:t>original submission of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the main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RJS, due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to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the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lack of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available information at the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time of publication, the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Department committed to undertake further analysis in relation to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w w:val="105"/>
        </w:rPr>
        <w:t>the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two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measures of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the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Act.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This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addendum</w:t>
      </w:r>
      <w:r>
        <w:rPr>
          <w:color w:val="3F3F3F"/>
          <w:spacing w:val="17"/>
          <w:w w:val="105"/>
        </w:rPr>
        <w:t xml:space="preserve"> </w:t>
      </w:r>
      <w:r>
        <w:rPr>
          <w:color w:val="3F3F3F"/>
          <w:w w:val="105"/>
        </w:rPr>
        <w:t>addresses one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of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these measures, the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FSSP. The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attached addendum provides an outline of this measure and addresses:</w:t>
      </w:r>
    </w:p>
    <w:p w:rsidR="00DD2A6B" w:rsidRDefault="00BD5B1E">
      <w:pPr>
        <w:pStyle w:val="ListParagraph"/>
        <w:numPr>
          <w:ilvl w:val="0"/>
          <w:numId w:val="1"/>
        </w:numPr>
        <w:tabs>
          <w:tab w:val="left" w:pos="842"/>
        </w:tabs>
        <w:spacing w:before="129"/>
        <w:ind w:hanging="361"/>
        <w:rPr>
          <w:sz w:val="21"/>
        </w:rPr>
      </w:pPr>
      <w:r>
        <w:rPr>
          <w:color w:val="3F3F3F"/>
          <w:w w:val="105"/>
          <w:sz w:val="21"/>
        </w:rPr>
        <w:t>The</w:t>
      </w:r>
      <w:r>
        <w:rPr>
          <w:color w:val="3F3F3F"/>
          <w:spacing w:val="-1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FSSP's</w:t>
      </w:r>
      <w:r>
        <w:rPr>
          <w:color w:val="3F3F3F"/>
          <w:spacing w:val="17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key</w:t>
      </w:r>
      <w:r>
        <w:rPr>
          <w:color w:val="3F3F3F"/>
          <w:spacing w:val="20"/>
          <w:w w:val="105"/>
          <w:sz w:val="21"/>
        </w:rPr>
        <w:t xml:space="preserve"> </w:t>
      </w:r>
      <w:r>
        <w:rPr>
          <w:color w:val="3F3F3F"/>
          <w:spacing w:val="-2"/>
          <w:w w:val="105"/>
          <w:sz w:val="21"/>
        </w:rPr>
        <w:t>parameters</w:t>
      </w:r>
    </w:p>
    <w:p w:rsidR="00DD2A6B" w:rsidRDefault="00BD5B1E">
      <w:pPr>
        <w:pStyle w:val="ListParagraph"/>
        <w:numPr>
          <w:ilvl w:val="0"/>
          <w:numId w:val="1"/>
        </w:numPr>
        <w:tabs>
          <w:tab w:val="left" w:pos="842"/>
        </w:tabs>
        <w:ind w:hanging="361"/>
        <w:rPr>
          <w:sz w:val="21"/>
        </w:rPr>
      </w:pPr>
      <w:r>
        <w:rPr>
          <w:color w:val="3F3F3F"/>
          <w:w w:val="105"/>
          <w:sz w:val="21"/>
        </w:rPr>
        <w:t>Administrative</w:t>
      </w:r>
      <w:r>
        <w:rPr>
          <w:color w:val="3F3F3F"/>
          <w:spacing w:val="-14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and</w:t>
      </w:r>
      <w:r>
        <w:rPr>
          <w:color w:val="3F3F3F"/>
          <w:spacing w:val="2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regulatory</w:t>
      </w:r>
      <w:r>
        <w:rPr>
          <w:color w:val="3F3F3F"/>
          <w:spacing w:val="14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requirements</w:t>
      </w:r>
      <w:r>
        <w:rPr>
          <w:color w:val="3F3F3F"/>
          <w:spacing w:val="3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for</w:t>
      </w:r>
      <w:r>
        <w:rPr>
          <w:color w:val="3F3F3F"/>
          <w:spacing w:val="-2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applicants</w:t>
      </w:r>
      <w:r>
        <w:rPr>
          <w:color w:val="3F3F3F"/>
          <w:spacing w:val="6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of</w:t>
      </w:r>
      <w:r>
        <w:rPr>
          <w:color w:val="3F3F3F"/>
          <w:spacing w:val="-9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the</w:t>
      </w:r>
      <w:r>
        <w:rPr>
          <w:color w:val="3F3F3F"/>
          <w:spacing w:val="-8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FSSP,</w:t>
      </w:r>
      <w:r>
        <w:rPr>
          <w:color w:val="3F3F3F"/>
          <w:spacing w:val="-6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as</w:t>
      </w:r>
      <w:r>
        <w:rPr>
          <w:color w:val="3F3F3F"/>
          <w:spacing w:val="-9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well</w:t>
      </w:r>
      <w:r>
        <w:rPr>
          <w:color w:val="3F3F3F"/>
          <w:spacing w:val="-3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as</w:t>
      </w:r>
      <w:r>
        <w:rPr>
          <w:color w:val="3F3F3F"/>
          <w:spacing w:val="-7"/>
          <w:w w:val="105"/>
          <w:sz w:val="21"/>
        </w:rPr>
        <w:t xml:space="preserve"> </w:t>
      </w:r>
      <w:r>
        <w:rPr>
          <w:color w:val="3F3F3F"/>
          <w:spacing w:val="-2"/>
          <w:w w:val="105"/>
          <w:sz w:val="21"/>
        </w:rPr>
        <w:t>obligations</w:t>
      </w:r>
    </w:p>
    <w:p w:rsidR="00DD2A6B" w:rsidRDefault="00BD5B1E">
      <w:pPr>
        <w:pStyle w:val="ListParagraph"/>
        <w:numPr>
          <w:ilvl w:val="0"/>
          <w:numId w:val="1"/>
        </w:numPr>
        <w:tabs>
          <w:tab w:val="left" w:pos="842"/>
        </w:tabs>
        <w:spacing w:before="66"/>
        <w:ind w:hanging="361"/>
        <w:rPr>
          <w:sz w:val="21"/>
        </w:rPr>
      </w:pPr>
      <w:r>
        <w:rPr>
          <w:color w:val="3F3F3F"/>
          <w:w w:val="105"/>
          <w:sz w:val="21"/>
        </w:rPr>
        <w:t>Anticipated</w:t>
      </w:r>
      <w:r>
        <w:rPr>
          <w:color w:val="3F3F3F"/>
          <w:spacing w:val="1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one-off</w:t>
      </w:r>
      <w:r>
        <w:rPr>
          <w:color w:val="3F3F3F"/>
          <w:spacing w:val="-3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and</w:t>
      </w:r>
      <w:r>
        <w:rPr>
          <w:color w:val="3F3F3F"/>
          <w:spacing w:val="-3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ongoing</w:t>
      </w:r>
      <w:r>
        <w:rPr>
          <w:color w:val="3F3F3F"/>
          <w:spacing w:val="-2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participation</w:t>
      </w:r>
      <w:r>
        <w:rPr>
          <w:color w:val="3F3F3F"/>
          <w:spacing w:val="9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costs</w:t>
      </w:r>
      <w:r>
        <w:rPr>
          <w:color w:val="3F3F3F"/>
          <w:spacing w:val="-4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and</w:t>
      </w:r>
      <w:r>
        <w:rPr>
          <w:color w:val="3F3F3F"/>
          <w:spacing w:val="9"/>
          <w:w w:val="105"/>
          <w:sz w:val="21"/>
        </w:rPr>
        <w:t xml:space="preserve"> </w:t>
      </w:r>
      <w:r>
        <w:rPr>
          <w:color w:val="3F3F3F"/>
          <w:spacing w:val="-2"/>
          <w:w w:val="105"/>
          <w:sz w:val="21"/>
        </w:rPr>
        <w:t>benefits</w:t>
      </w:r>
    </w:p>
    <w:p w:rsidR="00DD2A6B" w:rsidRDefault="00DD2A6B">
      <w:pPr>
        <w:pStyle w:val="BodyText"/>
        <w:spacing w:before="7"/>
      </w:pPr>
    </w:p>
    <w:p w:rsidR="00DD2A6B" w:rsidRDefault="00BD5B1E">
      <w:pPr>
        <w:pStyle w:val="BodyText"/>
        <w:spacing w:before="1" w:line="292" w:lineRule="auto"/>
        <w:ind w:left="126" w:hanging="1"/>
      </w:pPr>
      <w:r>
        <w:rPr>
          <w:color w:val="3F3F3F"/>
          <w:w w:val="105"/>
        </w:rPr>
        <w:t>As noted within the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addendum, the Department considers the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entities eligible for this measure will receive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a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significant financial benefit that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far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outweighs the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minor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administrative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costs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associated</w:t>
      </w:r>
      <w:r>
        <w:rPr>
          <w:color w:val="3F3F3F"/>
          <w:spacing w:val="13"/>
          <w:w w:val="105"/>
        </w:rPr>
        <w:t xml:space="preserve"> </w:t>
      </w:r>
      <w:r>
        <w:rPr>
          <w:color w:val="3F3F3F"/>
          <w:w w:val="105"/>
        </w:rPr>
        <w:t>with being part of the FSSP scheme.</w:t>
      </w:r>
    </w:p>
    <w:p w:rsidR="00DD2A6B" w:rsidRDefault="00BD5B1E">
      <w:pPr>
        <w:pStyle w:val="BodyText"/>
        <w:spacing w:before="231" w:line="290" w:lineRule="auto"/>
        <w:ind w:left="124" w:right="209" w:firstLine="4"/>
      </w:pPr>
      <w:r>
        <w:rPr>
          <w:color w:val="3F3F3F"/>
          <w:w w:val="105"/>
        </w:rPr>
        <w:t>While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the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benefits are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based on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the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maximum</w:t>
      </w:r>
      <w:r>
        <w:rPr>
          <w:color w:val="3F3F3F"/>
          <w:spacing w:val="15"/>
          <w:w w:val="105"/>
        </w:rPr>
        <w:t xml:space="preserve"> </w:t>
      </w:r>
      <w:r>
        <w:rPr>
          <w:color w:val="3F3F3F"/>
          <w:w w:val="105"/>
        </w:rPr>
        <w:t>funding available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for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the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measure, the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costs have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been estimated and could vary. However</w:t>
      </w:r>
      <w:r>
        <w:rPr>
          <w:color w:val="727272"/>
          <w:w w:val="105"/>
        </w:rPr>
        <w:t xml:space="preserve">, </w:t>
      </w:r>
      <w:r>
        <w:rPr>
          <w:color w:val="3F3F3F"/>
          <w:w w:val="105"/>
        </w:rPr>
        <w:t>it is very unlikely costs would differ in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a way that would materially impact the net benefit to participants.</w:t>
      </w:r>
    </w:p>
    <w:p w:rsidR="00DD2A6B" w:rsidRDefault="00DD2A6B">
      <w:pPr>
        <w:pStyle w:val="BodyText"/>
        <w:spacing w:before="1"/>
      </w:pPr>
    </w:p>
    <w:p w:rsidR="00DD2A6B" w:rsidRDefault="00BD5B1E">
      <w:pPr>
        <w:pStyle w:val="BodyText"/>
        <w:spacing w:line="295" w:lineRule="auto"/>
        <w:ind w:left="129" w:hanging="2"/>
      </w:pPr>
      <w:r>
        <w:rPr>
          <w:color w:val="3F3F3F"/>
          <w:w w:val="105"/>
        </w:rPr>
        <w:t>I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understand that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the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addendum</w:t>
      </w:r>
      <w:r>
        <w:rPr>
          <w:color w:val="3F3F3F"/>
          <w:spacing w:val="14"/>
          <w:w w:val="105"/>
        </w:rPr>
        <w:t xml:space="preserve"> </w:t>
      </w:r>
      <w:r>
        <w:rPr>
          <w:color w:val="3F3F3F"/>
          <w:w w:val="105"/>
        </w:rPr>
        <w:t>will be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published alongside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the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RJS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and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the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 xml:space="preserve">relevant Explanatory </w:t>
      </w:r>
      <w:r>
        <w:rPr>
          <w:color w:val="3F3F3F"/>
          <w:spacing w:val="-2"/>
          <w:w w:val="105"/>
        </w:rPr>
        <w:t>Statements.</w:t>
      </w:r>
    </w:p>
    <w:p w:rsidR="00DD2A6B" w:rsidRDefault="00BD5B1E">
      <w:pPr>
        <w:pStyle w:val="BodyText"/>
        <w:spacing w:before="233"/>
        <w:ind w:left="130"/>
      </w:pPr>
      <w:r>
        <w:rPr>
          <w:color w:val="3F3F3F"/>
          <w:w w:val="105"/>
        </w:rPr>
        <w:t>Yours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spacing w:val="-2"/>
          <w:w w:val="105"/>
        </w:rPr>
        <w:t>sincerely</w:t>
      </w:r>
    </w:p>
    <w:p w:rsidR="00DD2A6B" w:rsidRDefault="00DD2A6B">
      <w:pPr>
        <w:pStyle w:val="BodyText"/>
        <w:spacing w:before="6"/>
        <w:rPr>
          <w:noProof/>
          <w:lang w:val="en-AU" w:eastAsia="en-AU"/>
        </w:rPr>
      </w:pPr>
    </w:p>
    <w:p w:rsidR="005A5F52" w:rsidRDefault="005A5F52">
      <w:pPr>
        <w:pStyle w:val="BodyText"/>
        <w:spacing w:before="6"/>
        <w:rPr>
          <w:noProof/>
          <w:lang w:val="en-AU" w:eastAsia="en-AU"/>
        </w:rPr>
      </w:pPr>
    </w:p>
    <w:p w:rsidR="005A5F52" w:rsidRDefault="005A5F52">
      <w:pPr>
        <w:pStyle w:val="BodyText"/>
        <w:spacing w:before="6"/>
        <w:rPr>
          <w:noProof/>
          <w:lang w:val="en-AU" w:eastAsia="en-AU"/>
        </w:rPr>
      </w:pPr>
    </w:p>
    <w:p w:rsidR="005A5F52" w:rsidRDefault="005A5F52">
      <w:pPr>
        <w:pStyle w:val="BodyText"/>
        <w:spacing w:before="6"/>
        <w:rPr>
          <w:sz w:val="3"/>
        </w:rPr>
      </w:pPr>
      <w:bookmarkStart w:id="0" w:name="_GoBack"/>
      <w:bookmarkEnd w:id="0"/>
    </w:p>
    <w:p w:rsidR="00DD2A6B" w:rsidRDefault="00BD5B1E">
      <w:pPr>
        <w:pStyle w:val="BodyText"/>
        <w:spacing w:before="50" w:line="252" w:lineRule="auto"/>
        <w:ind w:left="133" w:right="7220" w:firstLine="1"/>
      </w:pPr>
      <w:r>
        <w:rPr>
          <w:color w:val="3F3F3F"/>
          <w:w w:val="105"/>
        </w:rPr>
        <w:t xml:space="preserve">Miranda </w:t>
      </w:r>
      <w:proofErr w:type="spellStart"/>
      <w:r>
        <w:rPr>
          <w:color w:val="3F3F3F"/>
          <w:w w:val="105"/>
        </w:rPr>
        <w:t>Lello</w:t>
      </w:r>
      <w:proofErr w:type="spellEnd"/>
      <w:r>
        <w:rPr>
          <w:color w:val="3F3F3F"/>
          <w:w w:val="105"/>
        </w:rPr>
        <w:t xml:space="preserve"> General Manager Liquid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w w:val="105"/>
        </w:rPr>
        <w:t>Fuels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Branch</w:t>
      </w:r>
    </w:p>
    <w:p w:rsidR="00DD2A6B" w:rsidRDefault="00BD5B1E">
      <w:pPr>
        <w:pStyle w:val="BodyText"/>
        <w:spacing w:line="295" w:lineRule="auto"/>
        <w:ind w:left="141" w:right="4198" w:hanging="4"/>
      </w:pPr>
      <w:r>
        <w:rPr>
          <w:color w:val="3F3F3F"/>
          <w:w w:val="105"/>
        </w:rPr>
        <w:t xml:space="preserve">Department of </w:t>
      </w:r>
      <w:proofErr w:type="spellStart"/>
      <w:r>
        <w:rPr>
          <w:color w:val="3F3F3F"/>
          <w:w w:val="105"/>
        </w:rPr>
        <w:t>lndustry</w:t>
      </w:r>
      <w:proofErr w:type="spellEnd"/>
      <w:r>
        <w:rPr>
          <w:color w:val="3F3F3F"/>
          <w:w w:val="105"/>
        </w:rPr>
        <w:t>, Science</w:t>
      </w:r>
      <w:r>
        <w:rPr>
          <w:color w:val="727272"/>
          <w:w w:val="105"/>
        </w:rPr>
        <w:t>,</w:t>
      </w:r>
      <w:r>
        <w:rPr>
          <w:color w:val="727272"/>
          <w:spacing w:val="-6"/>
          <w:w w:val="105"/>
        </w:rPr>
        <w:t xml:space="preserve"> </w:t>
      </w:r>
      <w:r>
        <w:rPr>
          <w:color w:val="5D5D5D"/>
          <w:w w:val="105"/>
        </w:rPr>
        <w:t xml:space="preserve">Energy </w:t>
      </w:r>
      <w:r>
        <w:rPr>
          <w:color w:val="3F3F3F"/>
          <w:w w:val="105"/>
        </w:rPr>
        <w:t>and Resources 5 July 2021</w:t>
      </w:r>
    </w:p>
    <w:sectPr w:rsidR="00DD2A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20" w:h="16850"/>
      <w:pgMar w:top="98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1F3" w:rsidRDefault="00D431F3" w:rsidP="00D431F3">
      <w:r>
        <w:separator/>
      </w:r>
    </w:p>
  </w:endnote>
  <w:endnote w:type="continuationSeparator" w:id="0">
    <w:p w:rsidR="00D431F3" w:rsidRDefault="00D431F3" w:rsidP="00D4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F3" w:rsidRDefault="00D431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F3" w:rsidRDefault="00D431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F3" w:rsidRDefault="00D43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1F3" w:rsidRDefault="00D431F3" w:rsidP="00D431F3">
      <w:r>
        <w:separator/>
      </w:r>
    </w:p>
  </w:footnote>
  <w:footnote w:type="continuationSeparator" w:id="0">
    <w:p w:rsidR="00D431F3" w:rsidRDefault="00D431F3" w:rsidP="00D43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F3" w:rsidRDefault="00D431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F3" w:rsidRDefault="00D431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F3" w:rsidRDefault="00D431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A29E6"/>
    <w:multiLevelType w:val="hybridMultilevel"/>
    <w:tmpl w:val="4C781390"/>
    <w:lvl w:ilvl="0" w:tplc="D4B47FA8">
      <w:numFmt w:val="bullet"/>
      <w:lvlText w:val="•"/>
      <w:lvlJc w:val="left"/>
      <w:pPr>
        <w:ind w:left="842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3F"/>
        <w:spacing w:val="0"/>
        <w:w w:val="105"/>
        <w:sz w:val="21"/>
        <w:szCs w:val="21"/>
        <w:lang w:val="en-US" w:eastAsia="en-US" w:bidi="ar-SA"/>
      </w:rPr>
    </w:lvl>
    <w:lvl w:ilvl="1" w:tplc="CF48B8A8">
      <w:numFmt w:val="bullet"/>
      <w:lvlText w:val="•"/>
      <w:lvlJc w:val="left"/>
      <w:pPr>
        <w:ind w:left="1685" w:hanging="362"/>
      </w:pPr>
      <w:rPr>
        <w:rFonts w:hint="default"/>
        <w:lang w:val="en-US" w:eastAsia="en-US" w:bidi="ar-SA"/>
      </w:rPr>
    </w:lvl>
    <w:lvl w:ilvl="2" w:tplc="9A788B1E">
      <w:numFmt w:val="bullet"/>
      <w:lvlText w:val="•"/>
      <w:lvlJc w:val="left"/>
      <w:pPr>
        <w:ind w:left="2530" w:hanging="362"/>
      </w:pPr>
      <w:rPr>
        <w:rFonts w:hint="default"/>
        <w:lang w:val="en-US" w:eastAsia="en-US" w:bidi="ar-SA"/>
      </w:rPr>
    </w:lvl>
    <w:lvl w:ilvl="3" w:tplc="7478C3E6">
      <w:numFmt w:val="bullet"/>
      <w:lvlText w:val="•"/>
      <w:lvlJc w:val="left"/>
      <w:pPr>
        <w:ind w:left="3376" w:hanging="362"/>
      </w:pPr>
      <w:rPr>
        <w:rFonts w:hint="default"/>
        <w:lang w:val="en-US" w:eastAsia="en-US" w:bidi="ar-SA"/>
      </w:rPr>
    </w:lvl>
    <w:lvl w:ilvl="4" w:tplc="C582901E">
      <w:numFmt w:val="bullet"/>
      <w:lvlText w:val="•"/>
      <w:lvlJc w:val="left"/>
      <w:pPr>
        <w:ind w:left="4221" w:hanging="362"/>
      </w:pPr>
      <w:rPr>
        <w:rFonts w:hint="default"/>
        <w:lang w:val="en-US" w:eastAsia="en-US" w:bidi="ar-SA"/>
      </w:rPr>
    </w:lvl>
    <w:lvl w:ilvl="5" w:tplc="3E98D64E">
      <w:numFmt w:val="bullet"/>
      <w:lvlText w:val="•"/>
      <w:lvlJc w:val="left"/>
      <w:pPr>
        <w:ind w:left="5066" w:hanging="362"/>
      </w:pPr>
      <w:rPr>
        <w:rFonts w:hint="default"/>
        <w:lang w:val="en-US" w:eastAsia="en-US" w:bidi="ar-SA"/>
      </w:rPr>
    </w:lvl>
    <w:lvl w:ilvl="6" w:tplc="3118F610">
      <w:numFmt w:val="bullet"/>
      <w:lvlText w:val="•"/>
      <w:lvlJc w:val="left"/>
      <w:pPr>
        <w:ind w:left="5912" w:hanging="362"/>
      </w:pPr>
      <w:rPr>
        <w:rFonts w:hint="default"/>
        <w:lang w:val="en-US" w:eastAsia="en-US" w:bidi="ar-SA"/>
      </w:rPr>
    </w:lvl>
    <w:lvl w:ilvl="7" w:tplc="7794DD50">
      <w:numFmt w:val="bullet"/>
      <w:lvlText w:val="•"/>
      <w:lvlJc w:val="left"/>
      <w:pPr>
        <w:ind w:left="6757" w:hanging="362"/>
      </w:pPr>
      <w:rPr>
        <w:rFonts w:hint="default"/>
        <w:lang w:val="en-US" w:eastAsia="en-US" w:bidi="ar-SA"/>
      </w:rPr>
    </w:lvl>
    <w:lvl w:ilvl="8" w:tplc="D8246C6A">
      <w:numFmt w:val="bullet"/>
      <w:lvlText w:val="•"/>
      <w:lvlJc w:val="left"/>
      <w:pPr>
        <w:ind w:left="7602" w:hanging="3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6B"/>
    <w:rsid w:val="00152AD4"/>
    <w:rsid w:val="005A5F52"/>
    <w:rsid w:val="00BD5B1E"/>
    <w:rsid w:val="00CA0601"/>
    <w:rsid w:val="00D431F3"/>
    <w:rsid w:val="00DD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899F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7" w:firstLine="1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91"/>
      <w:ind w:left="137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1"/>
      <w:ind w:left="84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31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1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431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1F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-OBPR@pmc.gov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2024-12-22T19:34:00Z</dcterms:created>
  <dcterms:modified xsi:type="dcterms:W3CDTF">2024-12-22T22:31:00Z</dcterms:modified>
</cp:coreProperties>
</file>